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FreeSerif" w:hAnsi="FreeSerif" w:eastAsia="黑体" w:cs="FreeSerif"/>
          <w:sz w:val="32"/>
        </w:rPr>
      </w:pPr>
      <w:bookmarkStart w:id="0" w:name="_GoBack"/>
      <w:bookmarkEnd w:id="0"/>
      <w:r>
        <w:rPr>
          <w:rFonts w:ascii="FreeSerif" w:hAnsi="FreeSerif" w:eastAsia="黑体" w:cs="FreeSerif"/>
          <w:sz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2023年自治区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“新时代专业技术人才选拔培养项目”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人员汇总表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盟市或部门（单位公章）：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乌拉特前旗人力资源和社会保障局</w:t>
      </w:r>
      <w:r>
        <w:rPr>
          <w:rFonts w:hint="eastAsia" w:ascii="仿宋" w:hAnsi="仿宋" w:eastAsia="仿宋" w:cs="仿宋"/>
          <w:sz w:val="21"/>
          <w:szCs w:val="21"/>
        </w:rPr>
        <w:t xml:space="preserve">            </w:t>
      </w:r>
      <w:r>
        <w:rPr>
          <w:rFonts w:hint="default" w:ascii="仿宋" w:hAnsi="仿宋" w:eastAsia="仿宋" w:cs="仿宋"/>
          <w:sz w:val="21"/>
          <w:szCs w:val="21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</w:rPr>
        <w:t>填表人：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史锦坪</w:t>
      </w:r>
      <w:r>
        <w:rPr>
          <w:rFonts w:hint="default" w:ascii="仿宋" w:hAnsi="仿宋" w:eastAsia="仿宋" w:cs="仿宋"/>
          <w:sz w:val="21"/>
          <w:szCs w:val="21"/>
        </w:rPr>
        <w:t xml:space="preserve">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1"/>
          <w:szCs w:val="21"/>
        </w:rPr>
        <w:t xml:space="preserve">      </w:t>
      </w:r>
      <w:r>
        <w:rPr>
          <w:rFonts w:hint="eastAsia" w:ascii="仿宋" w:hAnsi="仿宋" w:eastAsia="仿宋" w:cs="仿宋"/>
          <w:sz w:val="21"/>
          <w:szCs w:val="21"/>
        </w:rPr>
        <w:t>电话：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3267866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11"/>
        <w:gridCol w:w="610"/>
        <w:gridCol w:w="951"/>
        <w:gridCol w:w="645"/>
        <w:gridCol w:w="610"/>
        <w:gridCol w:w="610"/>
        <w:gridCol w:w="633"/>
        <w:gridCol w:w="1056"/>
        <w:gridCol w:w="610"/>
        <w:gridCol w:w="798"/>
        <w:gridCol w:w="1064"/>
        <w:gridCol w:w="1020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单位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民族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党派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职称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文化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程度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最高学历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毕业学校毕业时间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所属学科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现从事 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专  业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专家称号获得时间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申报层次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17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7"/>
                <w:sz w:val="21"/>
                <w:szCs w:val="21"/>
              </w:rPr>
              <w:t>业绩概述（含获奖情况）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6" w:hRule="atLeast"/>
        </w:trPr>
        <w:tc>
          <w:tcPr>
            <w:tcW w:w="650" w:type="dxa"/>
            <w:noWrap w:val="0"/>
            <w:vAlign w:val="top"/>
          </w:tcPr>
          <w:p>
            <w:pPr>
              <w:spacing w:line="660" w:lineRule="exac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杨慧敏</w:t>
            </w:r>
          </w:p>
        </w:tc>
        <w:tc>
          <w:tcPr>
            <w:tcW w:w="611" w:type="dxa"/>
            <w:noWrap w:val="0"/>
            <w:vAlign w:val="top"/>
          </w:tcPr>
          <w:p>
            <w:pPr>
              <w:spacing w:line="660" w:lineRule="exac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乌拉特前旗水利局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line="660" w:lineRule="exac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951" w:type="dxa"/>
            <w:noWrap w:val="0"/>
            <w:vAlign w:val="top"/>
          </w:tcPr>
          <w:p>
            <w:pPr>
              <w:spacing w:line="660" w:lineRule="exac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1979.10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spacing w:line="660" w:lineRule="exac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汉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line="660" w:lineRule="exac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line="660" w:lineRule="exac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633" w:type="dxa"/>
            <w:noWrap w:val="0"/>
            <w:vAlign w:val="top"/>
          </w:tcPr>
          <w:p>
            <w:pPr>
              <w:spacing w:line="660" w:lineRule="exac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pacing w:line="660" w:lineRule="exac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2009年7月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中央广播电视大学</w:t>
            </w:r>
          </w:p>
          <w:p>
            <w:pPr>
              <w:spacing w:line="660" w:lineRule="exac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水利水电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专业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line="660" w:lineRule="exac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水利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spacing w:line="660" w:lineRule="exac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水利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spacing w:line="660" w:lineRule="exac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2015.12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rPr>
                <w:rFonts w:ascii="FreeSerif" w:hAnsi="FreeSerif" w:eastAsia="仿宋_GB2312" w:cs="FreeSerif"/>
                <w:szCs w:val="21"/>
              </w:rPr>
            </w:pPr>
            <w:r>
              <w:rPr>
                <w:rFonts w:ascii="FreeSerif" w:hAnsi="FreeSerif" w:eastAsia="仿宋_GB2312" w:cs="FreeSerif"/>
                <w:szCs w:val="21"/>
              </w:rPr>
              <w:sym w:font="Wingdings 2" w:char="00A3"/>
            </w:r>
            <w:r>
              <w:rPr>
                <w:rFonts w:ascii="FreeSerif" w:hAnsi="FreeSerif" w:eastAsia="仿宋_GB2312" w:cs="FreeSerif"/>
                <w:szCs w:val="21"/>
              </w:rPr>
              <w:t>一层次</w:t>
            </w:r>
          </w:p>
          <w:p>
            <w:pPr>
              <w:spacing w:line="360" w:lineRule="exact"/>
              <w:rPr>
                <w:rFonts w:ascii="FreeSerif" w:hAnsi="FreeSerif" w:eastAsia="仿宋_GB2312" w:cs="FreeSerif"/>
                <w:szCs w:val="21"/>
              </w:rPr>
            </w:pPr>
            <w:r>
              <w:rPr>
                <w:rFonts w:ascii="FreeSerif" w:hAnsi="FreeSerif" w:eastAsia="仿宋_GB2312" w:cs="FreeSerif"/>
                <w:szCs w:val="21"/>
              </w:rPr>
              <w:sym w:font="Wingdings 2" w:char="0052"/>
            </w:r>
            <w:r>
              <w:rPr>
                <w:rFonts w:ascii="FreeSerif" w:hAnsi="FreeSerif" w:eastAsia="仿宋_GB2312" w:cs="FreeSerif"/>
                <w:szCs w:val="21"/>
              </w:rPr>
              <w:t>二层次</w:t>
            </w:r>
          </w:p>
          <w:p>
            <w:pPr>
              <w:spacing w:line="360" w:lineRule="exact"/>
              <w:rPr>
                <w:rFonts w:ascii="FreeSerif" w:hAnsi="FreeSerif" w:eastAsia="仿宋_GB2312" w:cs="FreeSerif"/>
                <w:szCs w:val="21"/>
              </w:rPr>
            </w:pPr>
            <w:r>
              <w:rPr>
                <w:rFonts w:ascii="FreeSerif" w:hAnsi="FreeSerif" w:eastAsia="仿宋_GB2312" w:cs="FreeSerif"/>
                <w:szCs w:val="21"/>
              </w:rPr>
              <w:sym w:font="Wingdings 2" w:char="00A3"/>
            </w:r>
            <w:r>
              <w:rPr>
                <w:rFonts w:ascii="FreeSerif" w:hAnsi="FreeSerif" w:eastAsia="仿宋_GB2312" w:cs="FreeSerif"/>
                <w:szCs w:val="21"/>
              </w:rPr>
              <w:t>是否接受调剂</w:t>
            </w:r>
          </w:p>
          <w:p>
            <w:pPr>
              <w:spacing w:line="360" w:lineRule="exact"/>
              <w:rPr>
                <w:rFonts w:hint="eastAsia" w:ascii="FreeSerif" w:hAnsi="FreeSerif" w:eastAsia="仿宋_GB2312" w:cs="FreeSeri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从事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水利</w:t>
            </w:r>
            <w:r>
              <w:rPr>
                <w:rFonts w:hint="eastAsia" w:ascii="仿宋" w:hAnsi="仿宋" w:eastAsia="仿宋" w:cs="仿宋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年，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能够组织开展水利工程建管工作，可以参加项目规划设计工作</w:t>
            </w:r>
            <w:r>
              <w:rPr>
                <w:rFonts w:hint="eastAsia" w:ascii="仿宋" w:hAnsi="仿宋" w:eastAsia="仿宋" w:cs="仿宋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负责排水运行管理工作，开展河湖长制工作。</w:t>
            </w:r>
            <w:r>
              <w:rPr>
                <w:rFonts w:hint="eastAsia" w:ascii="仿宋" w:hAnsi="仿宋" w:eastAsia="仿宋" w:cs="仿宋"/>
                <w:szCs w:val="21"/>
              </w:rPr>
              <w:t>在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水利工作中具有较强的业务能力，</w:t>
            </w:r>
            <w:r>
              <w:rPr>
                <w:rFonts w:hint="eastAsia" w:ascii="仿宋" w:hAnsi="仿宋" w:eastAsia="仿宋" w:cs="仿宋"/>
                <w:szCs w:val="21"/>
              </w:rPr>
              <w:t>具有很好的发展潜能。主要业绩包括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发表论文13篇，参加完成20多项设计方案的编制，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撰写调研报告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多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篇。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先后荣</w:t>
            </w:r>
            <w:r>
              <w:rPr>
                <w:rFonts w:hint="eastAsia" w:ascii="仿宋" w:hAnsi="仿宋" w:eastAsia="仿宋" w:cs="仿宋"/>
                <w:szCs w:val="21"/>
              </w:rPr>
              <w:t>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近20次</w:t>
            </w:r>
            <w:r>
              <w:rPr>
                <w:rFonts w:hint="eastAsia" w:ascii="仿宋" w:hAnsi="仿宋" w:eastAsia="仿宋" w:cs="仿宋"/>
                <w:szCs w:val="21"/>
              </w:rPr>
              <w:t>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旗水利局水利工作先进工作者、优秀个人等</w:t>
            </w:r>
            <w:r>
              <w:rPr>
                <w:rFonts w:hint="eastAsia" w:ascii="仿宋" w:hAnsi="仿宋" w:eastAsia="仿宋" w:cs="仿宋"/>
                <w:szCs w:val="21"/>
              </w:rPr>
              <w:t>荣誉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称号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FreeSerif" w:hAnsi="FreeSerif" w:eastAsia="仿宋_GB2312" w:cs="FreeSerif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660" w:lineRule="exact"/>
        <w:rPr>
          <w:rFonts w:hint="eastAsia" w:ascii="仿宋" w:hAnsi="仿宋" w:eastAsia="仿宋" w:cs="仿宋"/>
          <w:sz w:val="32"/>
        </w:rPr>
        <w:sectPr>
          <w:footerReference r:id="rId3" w:type="default"/>
          <w:pgSz w:w="16838" w:h="11906" w:orient="landscape"/>
          <w:pgMar w:top="1803" w:right="1440" w:bottom="1143" w:left="1440" w:header="851" w:footer="992" w:gutter="0"/>
          <w:cols w:space="720" w:num="1"/>
          <w:docGrid w:type="lines" w:linePitch="319" w:charSpace="0"/>
        </w:sectPr>
      </w:pPr>
    </w:p>
    <w:tbl>
      <w:tblPr>
        <w:tblStyle w:val="4"/>
        <w:tblW w:w="12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12"/>
        <w:gridCol w:w="610"/>
        <w:gridCol w:w="951"/>
        <w:gridCol w:w="645"/>
        <w:gridCol w:w="610"/>
        <w:gridCol w:w="610"/>
        <w:gridCol w:w="634"/>
        <w:gridCol w:w="1056"/>
        <w:gridCol w:w="610"/>
        <w:gridCol w:w="799"/>
        <w:gridCol w:w="1064"/>
        <w:gridCol w:w="1016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650" w:type="dxa"/>
            <w:noWrap w:val="0"/>
            <w:vAlign w:val="top"/>
          </w:tcPr>
          <w:p>
            <w:pPr>
              <w:spacing w:line="6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苏瑞霞</w:t>
            </w:r>
          </w:p>
        </w:tc>
        <w:tc>
          <w:tcPr>
            <w:tcW w:w="612" w:type="dxa"/>
            <w:noWrap w:val="0"/>
            <w:vAlign w:val="top"/>
          </w:tcPr>
          <w:p>
            <w:pPr>
              <w:spacing w:line="6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乌拉特前旗水利局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line="6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951" w:type="dxa"/>
            <w:noWrap w:val="0"/>
            <w:vAlign w:val="top"/>
          </w:tcPr>
          <w:p>
            <w:pPr>
              <w:spacing w:line="660" w:lineRule="exact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1979.06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spacing w:line="6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汉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line="6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党员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line="6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634" w:type="dxa"/>
            <w:noWrap w:val="0"/>
            <w:vAlign w:val="top"/>
          </w:tcPr>
          <w:p>
            <w:pPr>
              <w:spacing w:line="6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pacing w:line="660" w:lineRule="exac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2007年7月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中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国农业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大学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农业</w:t>
            </w:r>
          </w:p>
          <w:p>
            <w:pPr>
              <w:spacing w:line="6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水利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专业</w:t>
            </w:r>
          </w:p>
        </w:tc>
        <w:tc>
          <w:tcPr>
            <w:tcW w:w="610" w:type="dxa"/>
            <w:noWrap w:val="0"/>
            <w:vAlign w:val="top"/>
          </w:tcPr>
          <w:p>
            <w:pPr>
              <w:spacing w:line="6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水利</w:t>
            </w:r>
          </w:p>
        </w:tc>
        <w:tc>
          <w:tcPr>
            <w:tcW w:w="799" w:type="dxa"/>
            <w:noWrap w:val="0"/>
            <w:vAlign w:val="top"/>
          </w:tcPr>
          <w:p>
            <w:pPr>
              <w:spacing w:line="6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水利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spacing w:line="6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2015.12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spacing w:line="360" w:lineRule="exact"/>
              <w:rPr>
                <w:rFonts w:ascii="FreeSerif" w:hAnsi="FreeSerif" w:eastAsia="仿宋_GB2312" w:cs="FreeSerif"/>
                <w:szCs w:val="21"/>
              </w:rPr>
            </w:pPr>
            <w:r>
              <w:rPr>
                <w:rFonts w:ascii="FreeSerif" w:hAnsi="FreeSerif" w:eastAsia="仿宋_GB2312" w:cs="FreeSerif"/>
                <w:szCs w:val="21"/>
              </w:rPr>
              <w:sym w:font="Wingdings 2" w:char="00A3"/>
            </w:r>
            <w:r>
              <w:rPr>
                <w:rFonts w:ascii="FreeSerif" w:hAnsi="FreeSerif" w:eastAsia="仿宋_GB2312" w:cs="FreeSerif"/>
                <w:szCs w:val="21"/>
              </w:rPr>
              <w:t>一层次</w:t>
            </w:r>
          </w:p>
          <w:p>
            <w:pPr>
              <w:spacing w:line="360" w:lineRule="exact"/>
              <w:rPr>
                <w:rFonts w:ascii="FreeSerif" w:hAnsi="FreeSerif" w:eastAsia="仿宋_GB2312" w:cs="FreeSerif"/>
                <w:szCs w:val="21"/>
              </w:rPr>
            </w:pPr>
            <w:r>
              <w:rPr>
                <w:rFonts w:ascii="FreeSerif" w:hAnsi="FreeSerif" w:eastAsia="仿宋_GB2312" w:cs="FreeSerif"/>
                <w:szCs w:val="21"/>
              </w:rPr>
              <w:sym w:font="Wingdings 2" w:char="0052"/>
            </w:r>
            <w:r>
              <w:rPr>
                <w:rFonts w:ascii="FreeSerif" w:hAnsi="FreeSerif" w:eastAsia="仿宋_GB2312" w:cs="FreeSerif"/>
                <w:szCs w:val="21"/>
              </w:rPr>
              <w:t>二层次</w:t>
            </w:r>
          </w:p>
          <w:p>
            <w:pPr>
              <w:spacing w:line="360" w:lineRule="exact"/>
              <w:rPr>
                <w:rFonts w:ascii="FreeSerif" w:hAnsi="FreeSerif" w:eastAsia="仿宋_GB2312" w:cs="FreeSerif"/>
                <w:szCs w:val="21"/>
              </w:rPr>
            </w:pPr>
            <w:r>
              <w:rPr>
                <w:rFonts w:ascii="FreeSerif" w:hAnsi="FreeSerif" w:eastAsia="仿宋_GB2312" w:cs="FreeSerif"/>
                <w:szCs w:val="21"/>
              </w:rPr>
              <w:sym w:font="Wingdings 2" w:char="00A3"/>
            </w:r>
            <w:r>
              <w:rPr>
                <w:rFonts w:ascii="FreeSerif" w:hAnsi="FreeSerif" w:eastAsia="仿宋_GB2312" w:cs="FreeSerif"/>
                <w:szCs w:val="21"/>
              </w:rPr>
              <w:t>是否接受调剂</w:t>
            </w:r>
          </w:p>
          <w:p>
            <w:pPr>
              <w:spacing w:line="360" w:lineRule="exact"/>
              <w:rPr>
                <w:rFonts w:hint="eastAsia" w:ascii="FreeSerif" w:hAnsi="FreeSerif" w:eastAsia="仿宋_GB2312" w:cs="FreeSeri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2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从事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水利</w:t>
            </w:r>
            <w:r>
              <w:rPr>
                <w:rFonts w:hint="eastAsia" w:ascii="仿宋" w:hAnsi="仿宋" w:eastAsia="仿宋" w:cs="仿宋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Cs w:val="21"/>
              </w:rPr>
              <w:t>年，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能够组织开展水利工程建管工作，可以参加项目规划设计工作</w:t>
            </w:r>
            <w:r>
              <w:rPr>
                <w:rFonts w:hint="eastAsia" w:ascii="仿宋" w:hAnsi="仿宋" w:eastAsia="仿宋" w:cs="仿宋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负责水土保持治理、水库除险加固、河湖长制工作。</w:t>
            </w:r>
            <w:r>
              <w:rPr>
                <w:rFonts w:hint="eastAsia" w:ascii="仿宋" w:hAnsi="仿宋" w:eastAsia="仿宋" w:cs="仿宋"/>
                <w:szCs w:val="21"/>
              </w:rPr>
              <w:t>在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水利工作中具有较强的钻研能力，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专业技术过硬，业务工作突出</w:t>
            </w:r>
            <w:r>
              <w:rPr>
                <w:rFonts w:hint="eastAsia" w:ascii="仿宋" w:hAnsi="仿宋" w:eastAsia="仿宋" w:cs="仿宋"/>
                <w:szCs w:val="21"/>
              </w:rPr>
              <w:t>。主要业绩包括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发表论文10余篇，参加完成20多项设计方案的编制，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连续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9年参加灌溉水有效利用测算项目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先后荣</w:t>
            </w:r>
            <w:r>
              <w:rPr>
                <w:rFonts w:hint="eastAsia" w:ascii="仿宋" w:hAnsi="仿宋" w:eastAsia="仿宋" w:cs="仿宋"/>
                <w:szCs w:val="21"/>
              </w:rPr>
              <w:t>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多次旗水利局水利工作先进工作者、优秀个人等</w:t>
            </w:r>
            <w:r>
              <w:rPr>
                <w:rFonts w:hint="eastAsia" w:ascii="仿宋" w:hAnsi="仿宋" w:eastAsia="仿宋" w:cs="仿宋"/>
                <w:szCs w:val="21"/>
              </w:rPr>
              <w:t>荣誉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称号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FreeSerif" w:hAnsi="FreeSerif" w:eastAsia="仿宋_GB2312" w:cs="FreeSerif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MjI4Njg5NWIwYzIzOTUxOGNkM2Y2NjE2NmVhYTkifQ=="/>
  </w:docVars>
  <w:rsids>
    <w:rsidRoot w:val="46016FF5"/>
    <w:rsid w:val="16F32885"/>
    <w:rsid w:val="452F4FBA"/>
    <w:rsid w:val="4601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2023-10-07T09:25:00Z</dcterms:created>
  <dc:creator>wangbing</dc:creator>
  <cp:lastModifiedBy>大西几的wps</cp:lastModifiedBy>
  <dcterms:modified xsi:type="dcterms:W3CDTF">2023-10-07T09:37:13Z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99AC58B387B84279B3AAF06B258E914D_11</vt:lpwstr>
  </property>
</Properties>
</file>