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sz w:val="32"/>
          <w:szCs w:val="32"/>
        </w:rPr>
      </w:pPr>
      <w:r>
        <w:rPr>
          <w:rFonts w:hint="eastAsia" w:ascii="宋体" w:hAnsi="宋体"/>
          <w:sz w:val="32"/>
          <w:szCs w:val="32"/>
        </w:rPr>
        <w:t>乌环审[201</w:t>
      </w:r>
      <w:r>
        <w:rPr>
          <w:rFonts w:hint="eastAsia" w:ascii="宋体" w:hAnsi="宋体"/>
          <w:sz w:val="32"/>
          <w:szCs w:val="32"/>
          <w:lang w:val="en-US" w:eastAsia="zh-CN"/>
        </w:rPr>
        <w:t>9</w:t>
      </w:r>
      <w:r>
        <w:rPr>
          <w:rFonts w:hint="eastAsia" w:ascii="宋体" w:hAnsi="宋体"/>
          <w:sz w:val="32"/>
          <w:szCs w:val="32"/>
        </w:rPr>
        <w:t>]1号</w:t>
      </w:r>
      <w:bookmarkStart w:id="0" w:name="_GoBack"/>
      <w:bookmarkEnd w:id="0"/>
    </w:p>
    <w:p>
      <w:pPr>
        <w:pageBreakBefore w:val="0"/>
        <w:widowControl w:val="0"/>
        <w:kinsoku/>
        <w:wordWrap/>
        <w:overflowPunct/>
        <w:topLinePunct w:val="0"/>
        <w:bidi w:val="0"/>
        <w:spacing w:line="500" w:lineRule="exact"/>
        <w:jc w:val="center"/>
        <w:textAlignment w:val="auto"/>
        <w:rPr>
          <w:rFonts w:ascii="宋体" w:hAnsi="宋体"/>
          <w:b/>
          <w:sz w:val="36"/>
          <w:szCs w:val="36"/>
        </w:rPr>
      </w:pPr>
    </w:p>
    <w:p>
      <w:pPr>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乌拉特前旗鑫荣农贸专业合作社</w:t>
      </w:r>
    </w:p>
    <w:p>
      <w:pPr>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地膜吹塑、造粒项目环境影响报告书审批意见</w:t>
      </w:r>
    </w:p>
    <w:p>
      <w:pPr>
        <w:pageBreakBefore w:val="0"/>
        <w:widowControl w:val="0"/>
        <w:kinsoku/>
        <w:wordWrap/>
        <w:overflowPunct/>
        <w:topLinePunct w:val="0"/>
        <w:bidi w:val="0"/>
        <w:adjustRightInd w:val="0"/>
        <w:snapToGrid w:val="0"/>
        <w:spacing w:line="500" w:lineRule="exact"/>
        <w:jc w:val="center"/>
        <w:textAlignment w:val="auto"/>
        <w:rPr>
          <w:rFonts w:hint="eastAsia" w:asciiTheme="majorEastAsia" w:hAnsiTheme="majorEastAsia" w:eastAsiaTheme="majorEastAsia"/>
          <w:color w:val="000000"/>
          <w:sz w:val="44"/>
          <w:szCs w:val="44"/>
        </w:rPr>
      </w:pPr>
    </w:p>
    <w:p>
      <w:pPr>
        <w:keepNext w:val="0"/>
        <w:keepLines w:val="0"/>
        <w:pageBreakBefore w:val="0"/>
        <w:widowControl w:val="0"/>
        <w:kinsoku/>
        <w:wordWrap/>
        <w:overflowPunct/>
        <w:topLinePunct w:val="0"/>
        <w:bidi w:val="0"/>
        <w:snapToGrid/>
        <w:spacing w:line="500" w:lineRule="exac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乌拉特前旗鑫荣农贸专业合作社：</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报送的《乌拉特前旗鑫荣农贸专业合作社地膜吹塑、造粒项目环境影响报告书》（以下简称《报告书》）收悉。经审查，批复如下：</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一、项目位于乌特拉前旗公庙子，坐标为E10</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57</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53</w:t>
      </w:r>
      <w:r>
        <w:rPr>
          <w:rFonts w:hint="eastAsia" w:ascii="仿宋" w:hAnsi="仿宋" w:eastAsia="仿宋" w:cs="仿宋"/>
          <w:kern w:val="0"/>
          <w:sz w:val="32"/>
          <w:szCs w:val="32"/>
        </w:rPr>
        <w:t>"，N40°</w:t>
      </w:r>
      <w:r>
        <w:rPr>
          <w:rFonts w:hint="eastAsia" w:ascii="仿宋" w:hAnsi="仿宋" w:eastAsia="仿宋" w:cs="仿宋"/>
          <w:kern w:val="0"/>
          <w:sz w:val="32"/>
          <w:szCs w:val="32"/>
          <w:lang w:val="en-US" w:eastAsia="zh-CN"/>
        </w:rPr>
        <w:t>37</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14</w:t>
      </w:r>
      <w:r>
        <w:rPr>
          <w:rFonts w:hint="eastAsia" w:ascii="仿宋" w:hAnsi="仿宋" w:eastAsia="仿宋" w:cs="仿宋"/>
          <w:kern w:val="0"/>
          <w:sz w:val="32"/>
          <w:szCs w:val="32"/>
        </w:rPr>
        <w:t>"。项目建设聚乙烯再生颗粒生产线2条，农用地膜生产线4条，年产聚乙烯再生颗粒5000t/a，农用地膜2000t/a。</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根据《报告书》结论，项目在落实《报告书》提出的污染防治措施后，项目建设产生的环境不利影响能够得到缓解和控制。从环保角度分析，我局原则同意按照《报告书》中所列的建设项目性质、规模、地点、生产工艺、环境保护对策措施进行建设。</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二、项目建设与运行应注意做好以下工作：</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认真落实建设期的污染防治措施和生态保护措施。施工时应将表土层集中堆放并进行临时防护。施工场地四周设置施工屏障，粉状物料进行苫盖；对易产生扬尘的作业面（点）和道路洒水抑尘，运输车辆进行苫盖。施工场地建防渗沉淀池，施工废水经沉淀后回用。选用低噪声的施工机械，合理布置施工场地，施工噪声应满足《建筑施工厂界噪声限值》（GB12523-2011）要求。施工过程产生的建筑固废运送到指定地点，生活垃圾由环卫部门集中收集。</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严格落实《报告书》提出的大气污染防治措施。废旧塑料破碎工序过程中产生的粉尘由集气罩收集，经布袋除尘器处理后由15m高排气筒排放，确保破碎粉尘排放浓度满足《合成树脂工业污染物排放标准》（GB31572-2015）表4排放限值要求；生产废气经</w:t>
      </w:r>
      <w:r>
        <w:rPr>
          <w:rFonts w:hint="eastAsia" w:ascii="仿宋" w:hAnsi="仿宋" w:eastAsia="仿宋" w:cs="仿宋"/>
          <w:sz w:val="32"/>
          <w:szCs w:val="32"/>
        </w:rPr>
        <w:t>集气罩+UV光氧催化装置</w:t>
      </w:r>
      <w:r>
        <w:rPr>
          <w:rFonts w:hint="eastAsia" w:ascii="仿宋" w:hAnsi="仿宋" w:eastAsia="仿宋" w:cs="仿宋"/>
          <w:kern w:val="0"/>
          <w:sz w:val="32"/>
          <w:szCs w:val="32"/>
        </w:rPr>
        <w:t>处理后由15m排气筒排放，确保非甲烷总烃排放浓度及单位产品排放量满足《合成树脂工业污染物排放标准》（GB31572-2015）表4排放限值标准要求；粉尘、非甲烷总烃的无组织监控浓度满足《合成树脂工业污染物排放标准》（GB31572-2015）表9企业边界大气污染物浓度限值，不得对周围环境敏感目标产生影响。其他工序的污染防治措施符合《废塑料回收与再生利用污染控制技术规范（试行）》（HJ/T 364-2007）相关要求。</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3、强化地下水污染防治。按照《报告书》要求严格落实厂区一般污染防治区、重点污染防治区的防渗措施，建立地下水动态监测制度，加强地下水水质监控。营运期冷却水循环使用，不外排，清洗废水、甩干废水经三级沉淀处理后全部回用于生产；生活污水排入化粪池，定期由环卫部门清运。</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4、选用低噪声设备，并采取妥善的减振、隔声和消声等噪声控制措施，确保厂界噪声满足《工业企业厂界环境噪声排放标准》(GB12348-2008)中2类标准。</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5、认真落实《报告书》中固体废物污染防治措施，分拣废物、除尘器收集粉尘和沉淀池污泥妥善处置；废旧塑料回收、运输、贮存、预处理和再生利用、环境管理等要符合《废塑料回收与再生利用污染控制技术规范（试行）》（HJ/T364-2007）的相关要求。废活性炭收集至符合《危险废物贮存污染控制标准》（GB18597-2001）要求的危废暂存库委托有资质的部门处置；生活垃圾集中处置。</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6、强化环境风险防范意识，落实环境风险事故防范措施，制定环境风险事故应急预案，提高事故风险防范和污染控制能力。</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7、项目建设必须严格执行环境保护“三同时”制度。项目竣工后要按规定程序进行竣工环境保护验收。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8、项目建设和试运营期间的环境监督管理工作由乌拉特前旗环境监察大队负责。</w:t>
      </w:r>
    </w:p>
    <w:p>
      <w:pPr>
        <w:keepNext w:val="0"/>
        <w:keepLines w:val="0"/>
        <w:pageBreakBefore w:val="0"/>
        <w:widowControl w:val="0"/>
        <w:kinsoku/>
        <w:wordWrap/>
        <w:overflowPunct/>
        <w:topLinePunct w:val="0"/>
        <w:autoSpaceDE/>
        <w:autoSpaceDN/>
        <w:bidi w:val="0"/>
        <w:adjustRightInd/>
        <w:snapToGrid/>
        <w:spacing w:line="500" w:lineRule="exact"/>
        <w:ind w:firstLine="8960" w:firstLineChars="2800"/>
        <w:textAlignment w:val="auto"/>
        <w:outlineLvl w:val="9"/>
        <w:rPr>
          <w:rFonts w:hint="eastAsia" w:ascii="仿宋" w:hAnsi="仿宋" w:eastAsia="仿宋" w:cs="仿宋"/>
          <w:kern w:val="0"/>
          <w:sz w:val="32"/>
          <w:szCs w:val="32"/>
        </w:rPr>
      </w:pPr>
    </w:p>
    <w:p>
      <w:pPr>
        <w:pStyle w:val="2"/>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乌拉特前旗环境保护局</w:t>
      </w:r>
    </w:p>
    <w:p>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outlineLvl w:val="9"/>
        <w:rPr>
          <w:rFonts w:hint="eastAsia" w:ascii="仿宋" w:hAnsi="仿宋" w:eastAsia="仿宋" w:cs="仿宋"/>
          <w:sz w:val="32"/>
          <w:szCs w:val="32"/>
        </w:rPr>
      </w:pPr>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日</w:t>
      </w:r>
    </w:p>
    <w:sectPr>
      <w:footerReference r:id="rId3" w:type="default"/>
      <w:pgSz w:w="11906" w:h="16838"/>
      <w:pgMar w:top="1440" w:right="1417" w:bottom="1440"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TC Zapf Dingbats">
    <w:altName w:val="MS Reference Specialty"/>
    <w:panose1 w:val="05020102010704020609"/>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MS Reference Specialty">
    <w:panose1 w:val="05000500000000000000"/>
    <w:charset w:val="00"/>
    <w:family w:val="auto"/>
    <w:pitch w:val="default"/>
    <w:sig w:usb0="00000000" w:usb1="00000000" w:usb2="00000000" w:usb3="00000000" w:csb0="80000000" w:csb1="00000000"/>
  </w:font>
  <w:font w:name="MS Reference Specialty">
    <w:panose1 w:val="05000500000000000000"/>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77C6C"/>
    <w:rsid w:val="008A35B9"/>
    <w:rsid w:val="00E77C6C"/>
    <w:rsid w:val="086B403B"/>
    <w:rsid w:val="18F851F7"/>
    <w:rsid w:val="4FDD23D8"/>
    <w:rsid w:val="5AA81094"/>
    <w:rsid w:val="724171D7"/>
    <w:rsid w:val="7CF8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ITC Zapf Dingbats" w:hAnsi="ITC Zapf Dingbats" w:eastAsia="宋体" w:cs="ITC Zapf Dingbats"/>
      <w:kern w:val="2"/>
      <w:sz w:val="21"/>
      <w:szCs w:val="24"/>
      <w:lang w:val="en-US" w:eastAsia="zh-CN" w:bidi="ar-SA"/>
    </w:rPr>
  </w:style>
  <w:style w:type="paragraph" w:styleId="2">
    <w:name w:val="heading 1"/>
    <w:basedOn w:val="1"/>
    <w:next w:val="1"/>
    <w:qFormat/>
    <w:uiPriority w:val="0"/>
    <w:pPr>
      <w:keepNext/>
      <w:keepLines/>
      <w:tabs>
        <w:tab w:val="left" w:pos="432"/>
      </w:tabs>
      <w:spacing w:before="300" w:after="300" w:line="520" w:lineRule="exact"/>
      <w:ind w:left="432" w:hanging="432"/>
      <w:outlineLvl w:val="0"/>
    </w:pPr>
    <w:rPr>
      <w:rFonts w:ascii="黑体" w:eastAsia="黑体"/>
      <w:bCs/>
      <w:sz w:val="44"/>
      <w:szCs w:val="44"/>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176</Words>
  <Characters>1008</Characters>
  <Lines>8</Lines>
  <Paragraphs>2</Paragraphs>
  <TotalTime>4</TotalTime>
  <ScaleCrop>false</ScaleCrop>
  <LinksUpToDate>false</LinksUpToDate>
  <CharactersWithSpaces>1182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2017-03-16T01:38:00Z</dcterms:created>
  <dc:creator>Sky123.Org</dc:creator>
  <cp:lastModifiedBy>Administrator</cp:lastModifiedBy>
  <cp:lastPrinted>2019-04-11T07:55:03Z</cp:lastPrinted>
  <dcterms:modified xsi:type="dcterms:W3CDTF">2019-04-11T07:55:44Z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