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乌环审[201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]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号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pacing w:line="50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内蒙古金豪生物科技有限公司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新建年产6000吨工业明胶项目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内蒙古金豪生物科技有限公司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你公司报送的《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内蒙古金豪生物科技有限公司新建年产6000吨工业明胶项目</w:t>
      </w:r>
      <w:r>
        <w:rPr>
          <w:rFonts w:hint="eastAsia" w:ascii="仿宋" w:hAnsi="仿宋" w:eastAsia="仿宋" w:cs="仿宋"/>
          <w:sz w:val="32"/>
          <w:szCs w:val="32"/>
          <w:u w:val="none"/>
        </w:rPr>
        <w:t>环境影响报告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》（以下简称《报告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》）收悉。经审查，批复如下：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该项目拟建于乌拉特前旗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工业</w:t>
      </w:r>
      <w:r>
        <w:rPr>
          <w:rFonts w:hint="eastAsia" w:ascii="仿宋" w:hAnsi="仿宋" w:eastAsia="仿宋" w:cs="仿宋"/>
          <w:sz w:val="32"/>
          <w:szCs w:val="32"/>
        </w:rPr>
        <w:t>园区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中心坐标为：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东经109°22'2.68"，北纬40°34'37.66"</w:t>
      </w:r>
      <w:r>
        <w:rPr>
          <w:rFonts w:hint="eastAsia" w:ascii="仿宋" w:hAnsi="仿宋" w:eastAsia="仿宋" w:cs="仿宋"/>
          <w:kern w:val="4"/>
          <w:sz w:val="32"/>
          <w:szCs w:val="32"/>
        </w:rPr>
        <w:t>。</w:t>
      </w:r>
      <w:r>
        <w:rPr>
          <w:rFonts w:hint="eastAsia" w:ascii="仿宋" w:hAnsi="仿宋" w:eastAsia="仿宋" w:cs="仿宋"/>
          <w:kern w:val="4"/>
          <w:sz w:val="32"/>
          <w:szCs w:val="32"/>
          <w:lang w:eastAsia="zh-CN"/>
        </w:rPr>
        <w:t>项目设计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年产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6000吨工业明胶，动物蛋白填料1500吨，渣饼9000吨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》结论，项目在落实《报告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》提出的污染防治措施后，项目建设产生的环境不利影响能够得到缓解和控制。从环保角度分析，我局原则同意按照《报告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》中所列的建设项目性质、规模、地点、生产工艺、环境保护对策措施进行建设。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项目建设与运行应注意做好以下工作：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认真落实施工期的污染防治措施和生态保护措施。施工时应将表土层集中堆放并进行临时防护。施工场地四周设置施工屏障，粉状物料进行苫盖；对易产生扬尘的作业面（点）和道路洒水抑尘，运输车辆进行苫盖。施工场地建防渗沉淀池，施工废水经沉淀后回用。选用低噪声的施工机械，合理布置施工场地，施工噪声应满足《建筑施工厂界噪声限值》（GB12523-2011）要求。施工过程产生的建筑固废运送到指定地点，生活垃圾由环卫部门集中收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2、强化废气污染防治措施。全面落实《报告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》提出的各项废气污染治理措施，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生物质锅炉</w:t>
      </w:r>
      <w:r>
        <w:rPr>
          <w:rFonts w:hint="eastAsia" w:ascii="仿宋" w:hAnsi="仿宋" w:eastAsia="仿宋" w:cs="仿宋"/>
          <w:sz w:val="32"/>
          <w:szCs w:val="32"/>
        </w:rPr>
        <w:t>废气经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布袋</w:t>
      </w:r>
      <w:r>
        <w:rPr>
          <w:rFonts w:hint="eastAsia" w:ascii="仿宋" w:hAnsi="仿宋" w:eastAsia="仿宋" w:cs="仿宋"/>
          <w:sz w:val="32"/>
          <w:szCs w:val="32"/>
        </w:rPr>
        <w:t>除尘系统处理后经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m高排气筒排放，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烟气中污染物排</w:t>
      </w:r>
      <w:r>
        <w:rPr>
          <w:rFonts w:hint="eastAsia" w:ascii="仿宋" w:hAnsi="仿宋" w:eastAsia="仿宋" w:cs="仿宋"/>
          <w:sz w:val="32"/>
          <w:szCs w:val="32"/>
        </w:rPr>
        <w:t>放浓度满足《锅炉大气污染物排放标准》(GB13271-2014)表2新建锅炉大气污染物排放浓度限值中的燃煤锅炉标准值；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煮皮车间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废气由集气罩收集后经活性炭吸附装置+15m排气筒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排放，污染物排放浓度满足《</w:t>
      </w:r>
      <w:r>
        <w:rPr>
          <w:rFonts w:hint="eastAsia" w:ascii="仿宋" w:hAnsi="仿宋" w:eastAsia="仿宋" w:cs="仿宋"/>
          <w:sz w:val="32"/>
          <w:szCs w:val="32"/>
        </w:rPr>
        <w:t>恶臭污染物排放标准》（GB14554-93）表2标准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；废渣处理工段置于全封闭车间内，恶臭厂界</w:t>
      </w:r>
      <w:r>
        <w:rPr>
          <w:rFonts w:hint="eastAsia" w:ascii="仿宋" w:hAnsi="仿宋" w:eastAsia="仿宋" w:cs="仿宋"/>
          <w:sz w:val="32"/>
          <w:szCs w:val="32"/>
        </w:rPr>
        <w:t>无组织浓度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《恶臭污染物排放标准》（GB14554-93）表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恶臭污染物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厂界标准值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渣场采取封闭措施，</w:t>
      </w:r>
      <w:r>
        <w:rPr>
          <w:rFonts w:hint="eastAsia" w:ascii="仿宋" w:hAnsi="仿宋" w:eastAsia="仿宋" w:cs="仿宋"/>
          <w:sz w:val="32"/>
          <w:szCs w:val="32"/>
        </w:rPr>
        <w:t>厂界无组织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颗粒物</w:t>
      </w:r>
      <w:r>
        <w:rPr>
          <w:rFonts w:hint="eastAsia" w:ascii="仿宋" w:hAnsi="仿宋" w:eastAsia="仿宋" w:cs="仿宋"/>
          <w:sz w:val="32"/>
          <w:szCs w:val="32"/>
        </w:rPr>
        <w:t xml:space="preserve">浓度满足《大气污染物综合排放标准》（GB16297-1996）无组织排放监控限值。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各生产工段产生的废水循环利用；生活污水排入园区污水管网。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、采取有效降噪措施，确保厂界噪声满足《工业企业厂界环境噪声排放标准》（GB12348-2008）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、严格按照《报告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》要求落实固体废物防治措施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。煮皮提胶废渣、生物质导热油炉炉灰、废活性炭等集中堆放于</w:t>
      </w:r>
      <w:r>
        <w:rPr>
          <w:rFonts w:hint="eastAsia" w:ascii="仿宋" w:hAnsi="仿宋" w:eastAsia="仿宋" w:cs="仿宋"/>
          <w:sz w:val="32"/>
          <w:szCs w:val="32"/>
        </w:rPr>
        <w:t>《一般工业固体废物贮存、处置场污染控制标准》（GB18599-2001）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要求的固废暂存间。废活性炭由厂家回收，提胶废渣及炉灰外售综合利用。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废导热油委托有资质部门处置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、强化地下水污染防治。按照《报告表》要求严格落实厂区一般污染防治区、重点污染防治区的防渗措施，建立地下水动态监测制度，加强地下水水质监控。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冬季供暖由生产过程余热提供（停产期间由备用电导热油炉提供）。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、项目建设必须严格执行环境保护“三同时”制度，项目竣工后要按规定程序进行竣工环境保护验收。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项目建设期间的环境监督管理由乌拉特前旗环境监察大队负责。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_GB2312" w:hAnsi="宋体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C6C"/>
    <w:rsid w:val="008A35B9"/>
    <w:rsid w:val="00E77C6C"/>
    <w:rsid w:val="086B403B"/>
    <w:rsid w:val="18F851F7"/>
    <w:rsid w:val="40B223B5"/>
    <w:rsid w:val="4FDD23D8"/>
    <w:rsid w:val="5AA81094"/>
    <w:rsid w:val="724171D7"/>
    <w:rsid w:val="7CF81EAE"/>
    <w:rsid w:val="7FB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00" w:after="300" w:line="520" w:lineRule="exact"/>
      <w:ind w:left="432" w:hanging="432"/>
      <w:outlineLvl w:val="0"/>
    </w:pPr>
    <w:rPr>
      <w:rFonts w:ascii="黑体" w:eastAsia="黑体"/>
      <w:bCs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exact"/>
      <w:ind w:firstLine="522" w:firstLineChars="200"/>
      <w:jc w:val="left"/>
    </w:pPr>
    <w:rPr>
      <w:rFonts w:ascii="宋体" w:hAnsi="宋体"/>
      <w:sz w:val="2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176</Words>
  <Characters>1008</Characters>
  <Lines>8</Lines>
  <Paragraphs>2</Paragraphs>
  <TotalTime>2</TotalTime>
  <ScaleCrop>false</ScaleCrop>
  <LinksUpToDate>false</LinksUpToDate>
  <CharactersWithSpaces>1182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2017-03-16T01:38:00Z</dcterms:created>
  <dc:creator>Sky123.Org</dc:creator>
  <cp:lastModifiedBy>Administrator</cp:lastModifiedBy>
  <cp:lastPrinted>2019-05-16T07:37:44Z</cp:lastPrinted>
  <dcterms:modified xsi:type="dcterms:W3CDTF">2019-05-16T07:37:50Z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