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both"/>
        <w:rPr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乌环表〔201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乌拉特前旗康泽环保有限责任公司一般固废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资源综合利用项目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环评报告表审批意见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乌拉特前旗康泽环保有限责任公司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乌拉特前旗康泽环保有限责任公司一般固废资源综合利用项目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环评报告表》（以下简称《报告表》）收悉。经审查，批复如下：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该项目位于中滩农场七分场（地理坐标为东经109°16′50.10″，北纬40°33′22.76″）。一期建设一条两烘两烧隧道窑；二期建设一条一烘一烧生产线。建设三烘三烧隧道窑烧结砖两条生产线（1号生产线年产5000万块/a、2号生产线年产3000万块/a）及配套辅助设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报告表》结论，项目在落实《报告表》提出的污染防治措施后，项目建设产生的环境不利影响能够得到缓解和控制。从环保角度分析，我局原则同意按照《报告表》中所列的建设项目性质、规模、地点、生产工艺、环境保护对策措施进行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二、项目建设与运行应注意做好以下工作：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1、严格落实《报告表》提出的大气污染防治措施。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焙烧烟气经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脱硫塔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处理后经15m排气筒（1#、2#）排放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SO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、NOx、烟尘、氟化物执行《砖瓦工业大气污染物排放标准》（GB29620-2013）表2中排放限值，厂界无组织氟化物、二氧化硫执行《砖瓦工业大气污染物排放标准》（GB29620-2013）表3中排放限值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破碎、筛分环节产生的粉尘分别设置集尘罩经袋式除尘器处理后由15m排气筒达标排放，处理满足《砖瓦工业大气污染物排放标准》（GB29620-2013）表2中排放限值，厂界无组织颗粒物《砖瓦工业大气污染物排放标准》（GB29620-2013）表3中排放限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2、脱硫废水全部循环利用。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3、采取有效降噪措施，确保厂界噪声满足《工业企业厂界环境噪声排放标准》（GB12348-2008）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类标准要求。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4、严格按照《报告表》要求落实固体废物防治措施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生产过程中产生的除尘灰和废砖坯回用于生产；脱硫石膏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作为原料回用于生产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5、项目建设必须严格执行环境保护“三同时”制度。项目竣工后要按规定程序进行竣工环境保护验收，验收合格后方可正式生产。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6、项目建设期间的环境监督管理由乌拉特前旗环境监察大队负责。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乌拉特前旗环境保护局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乌拉特前旗环境保护局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日印发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TC Zapf Dingbats">
    <w:altName w:val="MS Reference Specialty"/>
    <w:panose1 w:val="05020102010704020609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CB"/>
    <w:rsid w:val="002E62CB"/>
    <w:rsid w:val="00DC0996"/>
    <w:rsid w:val="01080FEF"/>
    <w:rsid w:val="0276765D"/>
    <w:rsid w:val="03A5674D"/>
    <w:rsid w:val="060F5E83"/>
    <w:rsid w:val="07D911A7"/>
    <w:rsid w:val="087F1336"/>
    <w:rsid w:val="08A8627E"/>
    <w:rsid w:val="0A47515B"/>
    <w:rsid w:val="0AC27885"/>
    <w:rsid w:val="0B2D1161"/>
    <w:rsid w:val="0CF45FEE"/>
    <w:rsid w:val="0F1D1D2C"/>
    <w:rsid w:val="10A74858"/>
    <w:rsid w:val="11DA4C2B"/>
    <w:rsid w:val="125E59DC"/>
    <w:rsid w:val="1A5A43D9"/>
    <w:rsid w:val="1A770CEF"/>
    <w:rsid w:val="1A915808"/>
    <w:rsid w:val="1C906280"/>
    <w:rsid w:val="1CC224C1"/>
    <w:rsid w:val="1FCA12FC"/>
    <w:rsid w:val="20506E65"/>
    <w:rsid w:val="20536E96"/>
    <w:rsid w:val="20B749B5"/>
    <w:rsid w:val="21E8121E"/>
    <w:rsid w:val="22D574CB"/>
    <w:rsid w:val="22EC638F"/>
    <w:rsid w:val="23322DB4"/>
    <w:rsid w:val="234208F1"/>
    <w:rsid w:val="23820B9A"/>
    <w:rsid w:val="24D319FB"/>
    <w:rsid w:val="25C71688"/>
    <w:rsid w:val="273629ED"/>
    <w:rsid w:val="29004860"/>
    <w:rsid w:val="29632EBE"/>
    <w:rsid w:val="29E93313"/>
    <w:rsid w:val="2EC96D4D"/>
    <w:rsid w:val="30645AB2"/>
    <w:rsid w:val="307131F8"/>
    <w:rsid w:val="312E454F"/>
    <w:rsid w:val="31757046"/>
    <w:rsid w:val="33076A78"/>
    <w:rsid w:val="34F47AF1"/>
    <w:rsid w:val="36FC5CA7"/>
    <w:rsid w:val="3A0A5345"/>
    <w:rsid w:val="3A0A55BA"/>
    <w:rsid w:val="3A1A2F2A"/>
    <w:rsid w:val="3AFE05E6"/>
    <w:rsid w:val="3B9B0619"/>
    <w:rsid w:val="3BD9116D"/>
    <w:rsid w:val="3F5D5F17"/>
    <w:rsid w:val="43903A03"/>
    <w:rsid w:val="45406AFE"/>
    <w:rsid w:val="474C6621"/>
    <w:rsid w:val="47F30191"/>
    <w:rsid w:val="48C55688"/>
    <w:rsid w:val="497A39C1"/>
    <w:rsid w:val="4DC05D75"/>
    <w:rsid w:val="4E0F0E79"/>
    <w:rsid w:val="4EEE632B"/>
    <w:rsid w:val="4F943166"/>
    <w:rsid w:val="505A78AA"/>
    <w:rsid w:val="528146A2"/>
    <w:rsid w:val="56036954"/>
    <w:rsid w:val="56C56492"/>
    <w:rsid w:val="58280C13"/>
    <w:rsid w:val="5DFF3869"/>
    <w:rsid w:val="602B0A9A"/>
    <w:rsid w:val="606F2EBB"/>
    <w:rsid w:val="621C115F"/>
    <w:rsid w:val="63184232"/>
    <w:rsid w:val="643F2B24"/>
    <w:rsid w:val="64601F8D"/>
    <w:rsid w:val="66470D53"/>
    <w:rsid w:val="66994760"/>
    <w:rsid w:val="697D3312"/>
    <w:rsid w:val="6A2710B2"/>
    <w:rsid w:val="6B067DBD"/>
    <w:rsid w:val="6BAA0129"/>
    <w:rsid w:val="6C645E6B"/>
    <w:rsid w:val="6EEA6AE3"/>
    <w:rsid w:val="6F5E082A"/>
    <w:rsid w:val="70B93608"/>
    <w:rsid w:val="71601259"/>
    <w:rsid w:val="71F30862"/>
    <w:rsid w:val="72A61EA6"/>
    <w:rsid w:val="72CA1286"/>
    <w:rsid w:val="73A43A09"/>
    <w:rsid w:val="75C37B78"/>
    <w:rsid w:val="76965F75"/>
    <w:rsid w:val="7817479B"/>
    <w:rsid w:val="7C20676B"/>
    <w:rsid w:val="7C7E6C53"/>
    <w:rsid w:val="7D15328E"/>
    <w:rsid w:val="7DF06027"/>
    <w:rsid w:val="7EDB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ITC Zapf Dingbats" w:hAnsi="ITC Zapf Dingbats" w:eastAsia="宋体" w:cs="ITC Zapf Dingbats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nhideWhenUsed/>
    <w:qFormat/>
    <w:uiPriority w:val="1"/>
    <w:rPr>
      <w:rFonts w:eastAsia="楷体_GB2312"/>
      <w:sz w:val="28"/>
      <w:szCs w:val="20"/>
    </w:rPr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0"/>
      </w:tabs>
      <w:adjustRightInd w:val="0"/>
      <w:spacing w:before="60" w:line="460" w:lineRule="exact"/>
      <w:ind w:firstLine="420" w:firstLineChars="200"/>
      <w:textAlignment w:val="baseline"/>
    </w:pPr>
    <w:rPr>
      <w:spacing w:val="10"/>
      <w:sz w:val="28"/>
      <w:szCs w:val="24"/>
    </w:rPr>
  </w:style>
  <w:style w:type="paragraph" w:styleId="3">
    <w:name w:val="Body Text Indent"/>
    <w:basedOn w:val="1"/>
    <w:next w:val="1"/>
    <w:qFormat/>
    <w:uiPriority w:val="0"/>
    <w:pPr>
      <w:pBdr>
        <w:top w:val="single" w:color="auto" w:sz="6" w:space="0"/>
        <w:left w:val="single" w:color="auto" w:sz="6" w:space="1"/>
        <w:bottom w:val="single" w:color="auto" w:sz="6" w:space="1"/>
        <w:right w:val="single" w:color="auto" w:sz="6" w:space="1"/>
      </w:pBdr>
      <w:tabs>
        <w:tab w:val="left" w:pos="0"/>
      </w:tabs>
      <w:spacing w:line="460" w:lineRule="exact"/>
      <w:ind w:firstLine="480"/>
    </w:pPr>
    <w:rPr>
      <w:rFonts w:ascii="宋体" w:hAnsi="宋体"/>
      <w:sz w:val="24"/>
      <w:szCs w:val="24"/>
    </w:rPr>
  </w:style>
  <w:style w:type="paragraph" w:styleId="4">
    <w:name w:val="Body Text Indent 2"/>
    <w:basedOn w:val="1"/>
    <w:next w:val="1"/>
    <w:qFormat/>
    <w:uiPriority w:val="0"/>
    <w:pPr>
      <w:spacing w:line="400" w:lineRule="exact"/>
      <w:ind w:firstLine="567"/>
    </w:pPr>
    <w:rPr>
      <w:sz w:val="2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默认段落字体 Para Char"/>
    <w:basedOn w:val="1"/>
    <w:next w:val="1"/>
    <w:link w:val="7"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楷体_GB2312"/>
      <w:sz w:val="28"/>
      <w:szCs w:val="20"/>
    </w:rPr>
  </w:style>
  <w:style w:type="character" w:styleId="9">
    <w:name w:val="page number"/>
    <w:basedOn w:val="7"/>
    <w:qFormat/>
    <w:uiPriority w:val="0"/>
  </w:style>
  <w:style w:type="character" w:customStyle="1" w:styleId="11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semiHidden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0"/>
    <w:pPr>
      <w:ind w:firstLine="200" w:firstLineChars="200"/>
    </w:pPr>
    <w:rPr>
      <w:rFonts w:ascii="宋体" w:hAnsi="Times New Roman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170</Words>
  <Characters>975</Characters>
  <Lines>8</Lines>
  <Paragraphs>2</Paragraphs>
  <TotalTime>3</TotalTime>
  <ScaleCrop>false</ScaleCrop>
  <LinksUpToDate>false</LinksUpToDate>
  <CharactersWithSpaces>1143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2017-01-13T07:46:00Z</dcterms:created>
  <dc:creator>Sky123.Org</dc:creator>
  <cp:lastModifiedBy>Yueer</cp:lastModifiedBy>
  <cp:lastPrinted>2019-07-22T02:16:00Z</cp:lastPrinted>
  <dcterms:modified xsi:type="dcterms:W3CDTF">2019-09-02T01:54:37Z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