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rPr>
          <w:rFonts w:hint="default" w:ascii="Times New Roman" w:hAnsi="Times New Roman" w:eastAsia="宋体" w:cs="Times New Roman"/>
          <w:color w:val="auto"/>
          <w:sz w:val="32"/>
          <w:szCs w:val="32"/>
          <w:highlight w:val="none"/>
        </w:rPr>
      </w:pPr>
      <w:bookmarkStart w:id="0" w:name="_Toc327383040"/>
      <w:bookmarkStart w:id="1" w:name="_Toc262675110"/>
      <w:bookmarkStart w:id="2" w:name="_Toc464475310"/>
      <w:bookmarkStart w:id="473" w:name="_GoBack"/>
    </w:p>
    <w:p>
      <w:pPr>
        <w:shd w:val="clear"/>
        <w:jc w:val="center"/>
        <w:rPr>
          <w:rFonts w:hint="default" w:ascii="Times New Roman" w:hAnsi="Times New Roman" w:eastAsia="宋体" w:cs="Times New Roman"/>
          <w:color w:val="auto"/>
          <w:sz w:val="32"/>
          <w:szCs w:val="32"/>
          <w:highlight w:val="none"/>
        </w:rPr>
      </w:pPr>
    </w:p>
    <w:p>
      <w:pPr>
        <w:shd w:val="clear"/>
        <w:jc w:val="center"/>
        <w:rPr>
          <w:rFonts w:hint="default" w:ascii="Times New Roman" w:hAnsi="Times New Roman" w:eastAsia="宋体" w:cs="Times New Roman"/>
          <w:color w:val="auto"/>
          <w:sz w:val="32"/>
          <w:szCs w:val="32"/>
          <w:highlight w:val="none"/>
        </w:rPr>
      </w:pPr>
    </w:p>
    <w:p>
      <w:pPr>
        <w:shd w:val="clear"/>
        <w:jc w:val="center"/>
        <w:rPr>
          <w:rFonts w:hint="default" w:ascii="Times New Roman" w:hAnsi="Times New Roman" w:eastAsia="宋体" w:cs="Times New Roman"/>
          <w:b/>
          <w:bCs/>
          <w:color w:val="auto"/>
          <w:sz w:val="52"/>
          <w:szCs w:val="52"/>
          <w:highlight w:val="none"/>
          <w:lang w:eastAsia="zh-CN"/>
        </w:rPr>
      </w:pPr>
      <w:r>
        <w:rPr>
          <w:rFonts w:hint="default" w:ascii="Times New Roman" w:hAnsi="Times New Roman" w:eastAsia="宋体" w:cs="Times New Roman"/>
          <w:b/>
          <w:bCs/>
          <w:color w:val="auto"/>
          <w:sz w:val="52"/>
          <w:szCs w:val="52"/>
          <w:highlight w:val="none"/>
          <w:lang w:eastAsia="zh-CN"/>
        </w:rPr>
        <w:t>内蒙古华伟泽农业有限公司高新滴灌带（管）、PE管材管件、地膜、再生资源回收利用建设项目</w:t>
      </w:r>
    </w:p>
    <w:p>
      <w:pPr>
        <w:shd w:val="clear"/>
        <w:tabs>
          <w:tab w:val="center" w:pos="4155"/>
          <w:tab w:val="left" w:pos="6727"/>
        </w:tabs>
        <w:jc w:val="center"/>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b/>
          <w:bCs/>
          <w:color w:val="auto"/>
          <w:sz w:val="52"/>
          <w:szCs w:val="52"/>
          <w:highlight w:val="none"/>
        </w:rPr>
        <w:t>环境影响报告书</w:t>
      </w:r>
    </w:p>
    <w:p>
      <w:pPr>
        <w:shd w:val="clear"/>
        <w:jc w:val="center"/>
        <w:rPr>
          <w:rFonts w:hint="default" w:ascii="Times New Roman" w:hAnsi="Times New Roman" w:eastAsia="宋体" w:cs="Times New Roman"/>
          <w:color w:val="auto"/>
          <w:sz w:val="44"/>
          <w:szCs w:val="44"/>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highlight w:val="none"/>
        </w:rPr>
      </w:pPr>
    </w:p>
    <w:p>
      <w:pPr>
        <w:shd w:val="clear"/>
        <w:jc w:val="center"/>
        <w:rPr>
          <w:rFonts w:hint="default" w:ascii="Times New Roman" w:hAnsi="Times New Roman" w:eastAsia="宋体" w:cs="Times New Roman"/>
          <w:color w:val="auto"/>
          <w:sz w:val="32"/>
          <w:szCs w:val="32"/>
          <w:highlight w:val="none"/>
        </w:rPr>
      </w:pPr>
    </w:p>
    <w:p>
      <w:pPr>
        <w:shd w:val="clear"/>
        <w:jc w:val="center"/>
        <w:rPr>
          <w:rFonts w:hint="default" w:ascii="Times New Roman" w:hAnsi="Times New Roman" w:eastAsia="宋体" w:cs="Times New Roman"/>
          <w:color w:val="auto"/>
          <w:sz w:val="32"/>
          <w:szCs w:val="32"/>
          <w:highlight w:val="none"/>
        </w:rPr>
      </w:pPr>
    </w:p>
    <w:p>
      <w:pPr>
        <w:shd w:val="clear"/>
        <w:jc w:val="center"/>
        <w:rPr>
          <w:rFonts w:hint="default" w:ascii="Times New Roman" w:hAnsi="Times New Roman" w:eastAsia="宋体" w:cs="Times New Roman"/>
          <w:color w:val="auto"/>
          <w:sz w:val="32"/>
          <w:szCs w:val="32"/>
          <w:highlight w:val="none"/>
        </w:rPr>
      </w:pPr>
    </w:p>
    <w:p>
      <w:pPr>
        <w:shd w:val="clear"/>
        <w:jc w:val="center"/>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bCs/>
          <w:color w:val="auto"/>
          <w:sz w:val="32"/>
          <w:szCs w:val="32"/>
          <w:highlight w:val="none"/>
        </w:rPr>
        <w:t>内蒙古蒙环环境工程有限公司</w:t>
      </w:r>
    </w:p>
    <w:p>
      <w:pPr>
        <w:shd w:val="clear"/>
        <w:jc w:val="cente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t>二〇</w:t>
      </w:r>
      <w:r>
        <w:rPr>
          <w:rFonts w:hint="default" w:ascii="Times New Roman" w:hAnsi="Times New Roman" w:eastAsia="宋体" w:cs="Times New Roman"/>
          <w:b/>
          <w:bCs/>
          <w:color w:val="auto"/>
          <w:sz w:val="28"/>
          <w:szCs w:val="28"/>
          <w:highlight w:val="none"/>
          <w:lang w:val="en-US" w:eastAsia="zh-CN"/>
        </w:rPr>
        <w:t>二二</w:t>
      </w:r>
      <w:r>
        <w:rPr>
          <w:rFonts w:hint="default" w:ascii="Times New Roman" w:hAnsi="Times New Roman" w:eastAsia="宋体" w:cs="Times New Roman"/>
          <w:b/>
          <w:bCs/>
          <w:color w:val="auto"/>
          <w:sz w:val="28"/>
          <w:szCs w:val="28"/>
          <w:highlight w:val="none"/>
        </w:rPr>
        <w:t>年</w:t>
      </w:r>
      <w:r>
        <w:rPr>
          <w:rFonts w:hint="eastAsia" w:cs="Times New Roman"/>
          <w:b/>
          <w:bCs/>
          <w:color w:val="auto"/>
          <w:sz w:val="28"/>
          <w:szCs w:val="28"/>
          <w:highlight w:val="none"/>
          <w:lang w:val="en-US" w:eastAsia="zh-CN"/>
        </w:rPr>
        <w:t>六</w:t>
      </w:r>
      <w:r>
        <w:rPr>
          <w:rFonts w:hint="default" w:ascii="Times New Roman" w:hAnsi="Times New Roman" w:eastAsia="宋体" w:cs="Times New Roman"/>
          <w:b/>
          <w:bCs/>
          <w:color w:val="auto"/>
          <w:sz w:val="28"/>
          <w:szCs w:val="28"/>
          <w:highlight w:val="none"/>
        </w:rPr>
        <w:t>月</w:t>
      </w:r>
    </w:p>
    <w:p>
      <w:pPr>
        <w:shd w:val="clear"/>
        <w:spacing w:line="360" w:lineRule="auto"/>
        <w:jc w:val="center"/>
        <w:rPr>
          <w:rFonts w:hint="default" w:ascii="Times New Roman" w:hAnsi="Times New Roman" w:eastAsia="宋体" w:cs="Times New Roman"/>
          <w:color w:val="auto"/>
          <w:sz w:val="28"/>
          <w:szCs w:val="28"/>
          <w:highlight w:val="none"/>
          <w:u w:val="single"/>
        </w:rPr>
      </w:pPr>
    </w:p>
    <w:p>
      <w:pPr>
        <w:pStyle w:val="4"/>
        <w:keepNext w:val="0"/>
        <w:pageBreakBefore/>
        <w:shd w:val="clear"/>
        <w:spacing w:before="120" w:after="120"/>
        <w:jc w:val="center"/>
        <w:rPr>
          <w:rFonts w:hint="default" w:ascii="Times New Roman" w:hAnsi="Times New Roman" w:eastAsia="宋体" w:cs="Times New Roman"/>
          <w:color w:val="auto"/>
          <w:highlight w:val="none"/>
        </w:rPr>
        <w:sectPr>
          <w:headerReference r:id="rId4" w:type="first"/>
          <w:footerReference r:id="rId6" w:type="first"/>
          <w:headerReference r:id="rId3" w:type="default"/>
          <w:footerReference r:id="rId5" w:type="default"/>
          <w:pgSz w:w="11907" w:h="16840"/>
          <w:pgMar w:top="1440" w:right="1797" w:bottom="1440" w:left="1797" w:header="851" w:footer="992" w:gutter="0"/>
          <w:pgNumType w:fmt="decimal" w:start="1"/>
          <w:cols w:space="425" w:num="1"/>
          <w:docGrid w:type="linesAndChars" w:linePitch="312" w:charSpace="0"/>
        </w:sectPr>
      </w:pPr>
    </w:p>
    <w:p>
      <w:pPr>
        <w:shd w:val="clear"/>
        <w:rPr>
          <w:rFonts w:hint="default" w:ascii="Times New Roman" w:hAnsi="Times New Roman" w:eastAsia="宋体" w:cs="Times New Roman"/>
          <w:color w:val="auto"/>
        </w:rPr>
        <w:sectPr>
          <w:pgSz w:w="11907" w:h="16840"/>
          <w:pgMar w:top="1440" w:right="1797" w:bottom="1440" w:left="1797" w:header="851" w:footer="992" w:gutter="0"/>
          <w:pgNumType w:fmt="decimal" w:start="1"/>
          <w:cols w:space="425" w:num="1"/>
          <w:docGrid w:type="linesAndChars" w:linePitch="312" w:charSpace="0"/>
        </w:sectPr>
      </w:pPr>
    </w:p>
    <w:p>
      <w:pPr>
        <w:pStyle w:val="63"/>
        <w:tabs>
          <w:tab w:val="right" w:leader="dot" w:pos="8313"/>
        </w:tabs>
        <w:jc w:val="center"/>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目录</w:t>
      </w:r>
    </w:p>
    <w:p>
      <w:pPr>
        <w:pStyle w:val="63"/>
        <w:tabs>
          <w:tab w:val="right" w:leader="dot" w:pos="8313"/>
        </w:tabs>
        <w:rPr>
          <w:color w:val="auto"/>
          <w:sz w:val="24"/>
          <w:szCs w:val="24"/>
        </w:rPr>
      </w:pPr>
      <w:r>
        <w:rPr>
          <w:rFonts w:hint="default" w:ascii="Times New Roman" w:hAnsi="Times New Roman" w:eastAsia="宋体" w:cs="Times New Roman"/>
          <w:b w:val="0"/>
          <w:color w:val="auto"/>
          <w:sz w:val="72"/>
          <w:szCs w:val="72"/>
          <w:highlight w:val="none"/>
        </w:rPr>
        <w:fldChar w:fldCharType="begin"/>
      </w:r>
      <w:r>
        <w:rPr>
          <w:rFonts w:hint="default" w:ascii="Times New Roman" w:hAnsi="Times New Roman" w:eastAsia="宋体" w:cs="Times New Roman"/>
          <w:b w:val="0"/>
          <w:color w:val="auto"/>
          <w:sz w:val="72"/>
          <w:szCs w:val="72"/>
          <w:highlight w:val="none"/>
        </w:rPr>
        <w:instrText xml:space="preserve"> TOC \o "1-2" \h \z \u </w:instrText>
      </w:r>
      <w:r>
        <w:rPr>
          <w:rFonts w:hint="default" w:ascii="Times New Roman" w:hAnsi="Times New Roman" w:eastAsia="宋体" w:cs="Times New Roman"/>
          <w:b w:val="0"/>
          <w:color w:val="auto"/>
          <w:sz w:val="72"/>
          <w:szCs w:val="72"/>
          <w:highlight w:val="none"/>
        </w:rPr>
        <w:fldChar w:fldCharType="separate"/>
      </w: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_Toc21956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bCs/>
          <w:color w:val="auto"/>
          <w:sz w:val="24"/>
          <w:szCs w:val="24"/>
        </w:rPr>
        <w:t>1概述</w:t>
      </w:r>
      <w:r>
        <w:rPr>
          <w:color w:val="auto"/>
          <w:sz w:val="24"/>
          <w:szCs w:val="24"/>
        </w:rPr>
        <w:tab/>
      </w:r>
      <w:r>
        <w:rPr>
          <w:color w:val="auto"/>
          <w:sz w:val="24"/>
          <w:szCs w:val="24"/>
        </w:rPr>
        <w:fldChar w:fldCharType="begin"/>
      </w:r>
      <w:r>
        <w:rPr>
          <w:color w:val="auto"/>
          <w:sz w:val="24"/>
          <w:szCs w:val="24"/>
        </w:rPr>
        <w:instrText xml:space="preserve"> PAGEREF _Toc21956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_Toc16929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1.1 建设项目的由来</w:t>
      </w:r>
      <w:r>
        <w:rPr>
          <w:color w:val="auto"/>
          <w:sz w:val="24"/>
          <w:szCs w:val="24"/>
        </w:rPr>
        <w:tab/>
      </w:r>
      <w:r>
        <w:rPr>
          <w:color w:val="auto"/>
          <w:sz w:val="24"/>
          <w:szCs w:val="24"/>
        </w:rPr>
        <w:fldChar w:fldCharType="begin"/>
      </w:r>
      <w:r>
        <w:rPr>
          <w:color w:val="auto"/>
          <w:sz w:val="24"/>
          <w:szCs w:val="24"/>
        </w:rPr>
        <w:instrText xml:space="preserve"> PAGEREF _Toc16929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_Toc20600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1.2 项目建设的特点</w:t>
      </w:r>
      <w:r>
        <w:rPr>
          <w:color w:val="auto"/>
          <w:sz w:val="24"/>
          <w:szCs w:val="24"/>
        </w:rPr>
        <w:tab/>
      </w:r>
      <w:r>
        <w:rPr>
          <w:color w:val="auto"/>
          <w:sz w:val="24"/>
          <w:szCs w:val="24"/>
        </w:rPr>
        <w:fldChar w:fldCharType="begin"/>
      </w:r>
      <w:r>
        <w:rPr>
          <w:color w:val="auto"/>
          <w:sz w:val="24"/>
          <w:szCs w:val="24"/>
        </w:rPr>
        <w:instrText xml:space="preserve"> PAGEREF _Toc20600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_Toc15453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1.3环境影响评价的工作过程</w:t>
      </w:r>
      <w:r>
        <w:rPr>
          <w:color w:val="auto"/>
          <w:sz w:val="24"/>
          <w:szCs w:val="24"/>
        </w:rPr>
        <w:tab/>
      </w:r>
      <w:r>
        <w:rPr>
          <w:color w:val="auto"/>
          <w:sz w:val="24"/>
          <w:szCs w:val="24"/>
        </w:rPr>
        <w:fldChar w:fldCharType="begin"/>
      </w:r>
      <w:r>
        <w:rPr>
          <w:color w:val="auto"/>
          <w:sz w:val="24"/>
          <w:szCs w:val="24"/>
        </w:rPr>
        <w:instrText xml:space="preserve"> PAGEREF _Toc15453 \h </w:instrText>
      </w:r>
      <w:r>
        <w:rPr>
          <w:color w:val="auto"/>
          <w:sz w:val="24"/>
          <w:szCs w:val="24"/>
        </w:rPr>
        <w:fldChar w:fldCharType="separate"/>
      </w:r>
      <w:r>
        <w:rPr>
          <w:color w:val="auto"/>
          <w:sz w:val="24"/>
          <w:szCs w:val="24"/>
        </w:rPr>
        <w:t>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_Toc28411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1.4 分析判定相关情况</w:t>
      </w:r>
      <w:r>
        <w:rPr>
          <w:color w:val="auto"/>
          <w:sz w:val="24"/>
          <w:szCs w:val="24"/>
        </w:rPr>
        <w:tab/>
      </w:r>
      <w:r>
        <w:rPr>
          <w:color w:val="auto"/>
          <w:sz w:val="24"/>
          <w:szCs w:val="24"/>
        </w:rPr>
        <w:fldChar w:fldCharType="begin"/>
      </w:r>
      <w:r>
        <w:rPr>
          <w:color w:val="auto"/>
          <w:sz w:val="24"/>
          <w:szCs w:val="24"/>
        </w:rPr>
        <w:instrText xml:space="preserve"> PAGEREF _Toc28411 \h </w:instrText>
      </w:r>
      <w:r>
        <w:rPr>
          <w:color w:val="auto"/>
          <w:sz w:val="24"/>
          <w:szCs w:val="24"/>
        </w:rPr>
        <w:fldChar w:fldCharType="separate"/>
      </w:r>
      <w:r>
        <w:rPr>
          <w:color w:val="auto"/>
          <w:sz w:val="24"/>
          <w:szCs w:val="24"/>
        </w:rPr>
        <w:t>5</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_Toc1602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1.5 项目关注的主要环境问题</w:t>
      </w:r>
      <w:r>
        <w:rPr>
          <w:color w:val="auto"/>
          <w:sz w:val="24"/>
          <w:szCs w:val="24"/>
        </w:rPr>
        <w:tab/>
      </w:r>
      <w:r>
        <w:rPr>
          <w:color w:val="auto"/>
          <w:sz w:val="24"/>
          <w:szCs w:val="24"/>
        </w:rPr>
        <w:fldChar w:fldCharType="begin"/>
      </w:r>
      <w:r>
        <w:rPr>
          <w:color w:val="auto"/>
          <w:sz w:val="24"/>
          <w:szCs w:val="24"/>
        </w:rPr>
        <w:instrText xml:space="preserve"> PAGEREF _Toc1602 \h </w:instrText>
      </w:r>
      <w:r>
        <w:rPr>
          <w:color w:val="auto"/>
          <w:sz w:val="24"/>
          <w:szCs w:val="24"/>
        </w:rPr>
        <w:fldChar w:fldCharType="separate"/>
      </w:r>
      <w:r>
        <w:rPr>
          <w:color w:val="auto"/>
          <w:sz w:val="24"/>
          <w:szCs w:val="24"/>
        </w:rPr>
        <w:t>13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_Toc7095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1.6 评价结论</w:t>
      </w:r>
      <w:r>
        <w:rPr>
          <w:color w:val="auto"/>
          <w:sz w:val="24"/>
          <w:szCs w:val="24"/>
        </w:rPr>
        <w:tab/>
      </w:r>
      <w:r>
        <w:rPr>
          <w:color w:val="auto"/>
          <w:sz w:val="24"/>
          <w:szCs w:val="24"/>
        </w:rPr>
        <w:fldChar w:fldCharType="begin"/>
      </w:r>
      <w:r>
        <w:rPr>
          <w:color w:val="auto"/>
          <w:sz w:val="24"/>
          <w:szCs w:val="24"/>
        </w:rPr>
        <w:instrText xml:space="preserve"> PAGEREF _Toc7095 \h </w:instrText>
      </w:r>
      <w:r>
        <w:rPr>
          <w:color w:val="auto"/>
          <w:sz w:val="24"/>
          <w:szCs w:val="24"/>
        </w:rPr>
        <w:fldChar w:fldCharType="separate"/>
      </w:r>
      <w:r>
        <w:rPr>
          <w:color w:val="auto"/>
          <w:sz w:val="24"/>
          <w:szCs w:val="24"/>
        </w:rPr>
        <w:t>13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63"/>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_Toc20332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40"/>
          <w:highlight w:val="none"/>
        </w:rPr>
        <w:t>2总则</w:t>
      </w:r>
      <w:r>
        <w:rPr>
          <w:color w:val="auto"/>
          <w:sz w:val="24"/>
          <w:szCs w:val="24"/>
        </w:rPr>
        <w:tab/>
      </w:r>
      <w:r>
        <w:rPr>
          <w:color w:val="auto"/>
          <w:sz w:val="24"/>
          <w:szCs w:val="24"/>
        </w:rPr>
        <w:fldChar w:fldCharType="begin"/>
      </w:r>
      <w:r>
        <w:rPr>
          <w:color w:val="auto"/>
          <w:sz w:val="24"/>
          <w:szCs w:val="24"/>
        </w:rPr>
        <w:instrText xml:space="preserve"> PAGEREF _Toc20332 \h </w:instrText>
      </w:r>
      <w:r>
        <w:rPr>
          <w:color w:val="auto"/>
          <w:sz w:val="24"/>
          <w:szCs w:val="24"/>
        </w:rPr>
        <w:fldChar w:fldCharType="separate"/>
      </w:r>
      <w:r>
        <w:rPr>
          <w:color w:val="auto"/>
          <w:sz w:val="24"/>
          <w:szCs w:val="24"/>
        </w:rPr>
        <w:t>14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_Toc1596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2.1评价目的及指导思想</w:t>
      </w:r>
      <w:r>
        <w:rPr>
          <w:color w:val="auto"/>
          <w:sz w:val="24"/>
          <w:szCs w:val="24"/>
        </w:rPr>
        <w:tab/>
      </w:r>
      <w:r>
        <w:rPr>
          <w:color w:val="auto"/>
          <w:sz w:val="24"/>
          <w:szCs w:val="24"/>
        </w:rPr>
        <w:fldChar w:fldCharType="begin"/>
      </w:r>
      <w:r>
        <w:rPr>
          <w:color w:val="auto"/>
          <w:sz w:val="24"/>
          <w:szCs w:val="24"/>
        </w:rPr>
        <w:instrText xml:space="preserve"> PAGEREF _Toc1596 \h </w:instrText>
      </w:r>
      <w:r>
        <w:rPr>
          <w:color w:val="auto"/>
          <w:sz w:val="24"/>
          <w:szCs w:val="24"/>
        </w:rPr>
        <w:fldChar w:fldCharType="separate"/>
      </w:r>
      <w:r>
        <w:rPr>
          <w:color w:val="auto"/>
          <w:sz w:val="24"/>
          <w:szCs w:val="24"/>
        </w:rPr>
        <w:t>14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_Toc8562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2.2编制依据</w:t>
      </w:r>
      <w:r>
        <w:rPr>
          <w:color w:val="auto"/>
          <w:sz w:val="24"/>
          <w:szCs w:val="24"/>
        </w:rPr>
        <w:tab/>
      </w:r>
      <w:r>
        <w:rPr>
          <w:color w:val="auto"/>
          <w:sz w:val="24"/>
          <w:szCs w:val="24"/>
        </w:rPr>
        <w:fldChar w:fldCharType="begin"/>
      </w:r>
      <w:r>
        <w:rPr>
          <w:color w:val="auto"/>
          <w:sz w:val="24"/>
          <w:szCs w:val="24"/>
        </w:rPr>
        <w:instrText xml:space="preserve"> PAGEREF _Toc8562 \h </w:instrText>
      </w:r>
      <w:r>
        <w:rPr>
          <w:color w:val="auto"/>
          <w:sz w:val="24"/>
          <w:szCs w:val="24"/>
        </w:rPr>
        <w:fldChar w:fldCharType="separate"/>
      </w:r>
      <w:r>
        <w:rPr>
          <w:color w:val="auto"/>
          <w:sz w:val="24"/>
          <w:szCs w:val="24"/>
        </w:rPr>
        <w:t>14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_Toc12435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2.3评价内容、评价重点</w:t>
      </w:r>
      <w:r>
        <w:rPr>
          <w:color w:val="auto"/>
          <w:sz w:val="24"/>
          <w:szCs w:val="24"/>
        </w:rPr>
        <w:tab/>
      </w:r>
      <w:r>
        <w:rPr>
          <w:color w:val="auto"/>
          <w:sz w:val="24"/>
          <w:szCs w:val="24"/>
        </w:rPr>
        <w:fldChar w:fldCharType="begin"/>
      </w:r>
      <w:r>
        <w:rPr>
          <w:color w:val="auto"/>
          <w:sz w:val="24"/>
          <w:szCs w:val="24"/>
        </w:rPr>
        <w:instrText xml:space="preserve"> PAGEREF _Toc12435 \h </w:instrText>
      </w:r>
      <w:r>
        <w:rPr>
          <w:color w:val="auto"/>
          <w:sz w:val="24"/>
          <w:szCs w:val="24"/>
        </w:rPr>
        <w:fldChar w:fldCharType="separate"/>
      </w:r>
      <w:r>
        <w:rPr>
          <w:color w:val="auto"/>
          <w:sz w:val="24"/>
          <w:szCs w:val="24"/>
        </w:rPr>
        <w:t>16</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_Toc16852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2.4 环境影响因素与评价因子</w:t>
      </w:r>
      <w:r>
        <w:rPr>
          <w:color w:val="auto"/>
          <w:sz w:val="24"/>
          <w:szCs w:val="24"/>
        </w:rPr>
        <w:tab/>
      </w:r>
      <w:r>
        <w:rPr>
          <w:color w:val="auto"/>
          <w:sz w:val="24"/>
          <w:szCs w:val="24"/>
        </w:rPr>
        <w:fldChar w:fldCharType="begin"/>
      </w:r>
      <w:r>
        <w:rPr>
          <w:color w:val="auto"/>
          <w:sz w:val="24"/>
          <w:szCs w:val="24"/>
        </w:rPr>
        <w:instrText xml:space="preserve"> PAGEREF _Toc16852 \h </w:instrText>
      </w:r>
      <w:r>
        <w:rPr>
          <w:color w:val="auto"/>
          <w:sz w:val="24"/>
          <w:szCs w:val="24"/>
        </w:rPr>
        <w:fldChar w:fldCharType="separate"/>
      </w:r>
      <w:r>
        <w:rPr>
          <w:color w:val="auto"/>
          <w:sz w:val="24"/>
          <w:szCs w:val="24"/>
        </w:rPr>
        <w:t>17</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_Toc28496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2.5评价标准</w:t>
      </w:r>
      <w:r>
        <w:rPr>
          <w:color w:val="auto"/>
          <w:sz w:val="24"/>
          <w:szCs w:val="24"/>
        </w:rPr>
        <w:tab/>
      </w:r>
      <w:r>
        <w:rPr>
          <w:color w:val="auto"/>
          <w:sz w:val="24"/>
          <w:szCs w:val="24"/>
        </w:rPr>
        <w:fldChar w:fldCharType="begin"/>
      </w:r>
      <w:r>
        <w:rPr>
          <w:color w:val="auto"/>
          <w:sz w:val="24"/>
          <w:szCs w:val="24"/>
        </w:rPr>
        <w:instrText xml:space="preserve"> PAGEREF _Toc28496 \h </w:instrText>
      </w:r>
      <w:r>
        <w:rPr>
          <w:color w:val="auto"/>
          <w:sz w:val="24"/>
          <w:szCs w:val="24"/>
        </w:rPr>
        <w:fldChar w:fldCharType="separate"/>
      </w:r>
      <w:r>
        <w:rPr>
          <w:color w:val="auto"/>
          <w:sz w:val="24"/>
          <w:szCs w:val="24"/>
        </w:rPr>
        <w:t>18</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_Toc11151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2.6评价等级与评价范围</w:t>
      </w:r>
      <w:r>
        <w:rPr>
          <w:color w:val="auto"/>
          <w:sz w:val="24"/>
          <w:szCs w:val="24"/>
        </w:rPr>
        <w:tab/>
      </w:r>
      <w:r>
        <w:rPr>
          <w:color w:val="auto"/>
          <w:sz w:val="24"/>
          <w:szCs w:val="24"/>
        </w:rPr>
        <w:fldChar w:fldCharType="begin"/>
      </w:r>
      <w:r>
        <w:rPr>
          <w:color w:val="auto"/>
          <w:sz w:val="24"/>
          <w:szCs w:val="24"/>
        </w:rPr>
        <w:instrText xml:space="preserve"> PAGEREF _Toc11151 \h </w:instrText>
      </w:r>
      <w:r>
        <w:rPr>
          <w:color w:val="auto"/>
          <w:sz w:val="24"/>
          <w:szCs w:val="24"/>
        </w:rPr>
        <w:fldChar w:fldCharType="separate"/>
      </w:r>
      <w:r>
        <w:rPr>
          <w:color w:val="auto"/>
          <w:sz w:val="24"/>
          <w:szCs w:val="24"/>
        </w:rPr>
        <w:t>23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_Toc12141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2.7相关规划符合性及环境功能区划</w:t>
      </w:r>
      <w:r>
        <w:rPr>
          <w:color w:val="auto"/>
          <w:sz w:val="24"/>
          <w:szCs w:val="24"/>
        </w:rPr>
        <w:tab/>
      </w:r>
      <w:r>
        <w:rPr>
          <w:color w:val="auto"/>
          <w:sz w:val="24"/>
          <w:szCs w:val="24"/>
        </w:rPr>
        <w:fldChar w:fldCharType="begin"/>
      </w:r>
      <w:r>
        <w:rPr>
          <w:color w:val="auto"/>
          <w:sz w:val="24"/>
          <w:szCs w:val="24"/>
        </w:rPr>
        <w:instrText xml:space="preserve"> PAGEREF _Toc12141 \h </w:instrText>
      </w:r>
      <w:r>
        <w:rPr>
          <w:color w:val="auto"/>
          <w:sz w:val="24"/>
          <w:szCs w:val="24"/>
        </w:rPr>
        <w:fldChar w:fldCharType="separate"/>
      </w:r>
      <w:r>
        <w:rPr>
          <w:color w:val="auto"/>
          <w:sz w:val="24"/>
          <w:szCs w:val="24"/>
        </w:rPr>
        <w:t>32</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_Toc9715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2.8环境保护目标</w:t>
      </w:r>
      <w:r>
        <w:rPr>
          <w:color w:val="auto"/>
          <w:sz w:val="24"/>
          <w:szCs w:val="24"/>
        </w:rPr>
        <w:tab/>
      </w:r>
      <w:r>
        <w:rPr>
          <w:color w:val="auto"/>
          <w:sz w:val="24"/>
          <w:szCs w:val="24"/>
        </w:rPr>
        <w:fldChar w:fldCharType="begin"/>
      </w:r>
      <w:r>
        <w:rPr>
          <w:color w:val="auto"/>
          <w:sz w:val="24"/>
          <w:szCs w:val="24"/>
        </w:rPr>
        <w:instrText xml:space="preserve"> PAGEREF _Toc9715 \h </w:instrText>
      </w:r>
      <w:r>
        <w:rPr>
          <w:color w:val="auto"/>
          <w:sz w:val="24"/>
          <w:szCs w:val="24"/>
        </w:rPr>
        <w:fldChar w:fldCharType="separate"/>
      </w:r>
      <w:r>
        <w:rPr>
          <w:color w:val="auto"/>
          <w:sz w:val="24"/>
          <w:szCs w:val="24"/>
        </w:rPr>
        <w:t>42</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63"/>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_Toc30767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40"/>
          <w:highlight w:val="none"/>
        </w:rPr>
        <w:t>3工程概况及工程分析</w:t>
      </w:r>
      <w:r>
        <w:rPr>
          <w:color w:val="auto"/>
          <w:sz w:val="24"/>
          <w:szCs w:val="24"/>
        </w:rPr>
        <w:tab/>
      </w:r>
      <w:r>
        <w:rPr>
          <w:color w:val="auto"/>
          <w:sz w:val="24"/>
          <w:szCs w:val="24"/>
        </w:rPr>
        <w:fldChar w:fldCharType="begin"/>
      </w:r>
      <w:r>
        <w:rPr>
          <w:color w:val="auto"/>
          <w:sz w:val="24"/>
          <w:szCs w:val="24"/>
        </w:rPr>
        <w:instrText xml:space="preserve"> PAGEREF _Toc30767 \h </w:instrText>
      </w:r>
      <w:r>
        <w:rPr>
          <w:color w:val="auto"/>
          <w:sz w:val="24"/>
          <w:szCs w:val="24"/>
        </w:rPr>
        <w:fldChar w:fldCharType="separate"/>
      </w:r>
      <w:r>
        <w:rPr>
          <w:color w:val="auto"/>
          <w:sz w:val="24"/>
          <w:szCs w:val="24"/>
        </w:rPr>
        <w:t>47</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_Toc27527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3.1建设项目概况</w:t>
      </w:r>
      <w:r>
        <w:rPr>
          <w:color w:val="auto"/>
          <w:sz w:val="24"/>
          <w:szCs w:val="24"/>
        </w:rPr>
        <w:tab/>
      </w:r>
      <w:r>
        <w:rPr>
          <w:color w:val="auto"/>
          <w:sz w:val="24"/>
          <w:szCs w:val="24"/>
        </w:rPr>
        <w:fldChar w:fldCharType="begin"/>
      </w:r>
      <w:r>
        <w:rPr>
          <w:color w:val="auto"/>
          <w:sz w:val="24"/>
          <w:szCs w:val="24"/>
        </w:rPr>
        <w:instrText xml:space="preserve"> PAGEREF _Toc27527 \h </w:instrText>
      </w:r>
      <w:r>
        <w:rPr>
          <w:color w:val="auto"/>
          <w:sz w:val="24"/>
          <w:szCs w:val="24"/>
        </w:rPr>
        <w:fldChar w:fldCharType="separate"/>
      </w:r>
      <w:r>
        <w:rPr>
          <w:color w:val="auto"/>
          <w:sz w:val="24"/>
          <w:szCs w:val="24"/>
        </w:rPr>
        <w:t>47</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_Toc28939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3.2工程分析</w:t>
      </w:r>
      <w:r>
        <w:rPr>
          <w:color w:val="auto"/>
          <w:sz w:val="24"/>
          <w:szCs w:val="24"/>
        </w:rPr>
        <w:tab/>
      </w:r>
      <w:r>
        <w:rPr>
          <w:color w:val="auto"/>
          <w:sz w:val="24"/>
          <w:szCs w:val="24"/>
        </w:rPr>
        <w:fldChar w:fldCharType="begin"/>
      </w:r>
      <w:r>
        <w:rPr>
          <w:color w:val="auto"/>
          <w:sz w:val="24"/>
          <w:szCs w:val="24"/>
        </w:rPr>
        <w:instrText xml:space="preserve"> PAGEREF _Toc28939 \h </w:instrText>
      </w:r>
      <w:r>
        <w:rPr>
          <w:color w:val="auto"/>
          <w:sz w:val="24"/>
          <w:szCs w:val="24"/>
        </w:rPr>
        <w:fldChar w:fldCharType="separate"/>
      </w:r>
      <w:r>
        <w:rPr>
          <w:color w:val="auto"/>
          <w:sz w:val="24"/>
          <w:szCs w:val="24"/>
        </w:rPr>
        <w:t>64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_Toc10439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3.3 污染源强核算</w:t>
      </w:r>
      <w:r>
        <w:rPr>
          <w:color w:val="auto"/>
          <w:sz w:val="24"/>
          <w:szCs w:val="24"/>
        </w:rPr>
        <w:tab/>
      </w:r>
      <w:r>
        <w:rPr>
          <w:color w:val="auto"/>
          <w:sz w:val="24"/>
          <w:szCs w:val="24"/>
        </w:rPr>
        <w:fldChar w:fldCharType="begin"/>
      </w:r>
      <w:r>
        <w:rPr>
          <w:color w:val="auto"/>
          <w:sz w:val="24"/>
          <w:szCs w:val="24"/>
        </w:rPr>
        <w:instrText xml:space="preserve"> PAGEREF _Toc10439 \h </w:instrText>
      </w:r>
      <w:r>
        <w:rPr>
          <w:color w:val="auto"/>
          <w:sz w:val="24"/>
          <w:szCs w:val="24"/>
        </w:rPr>
        <w:fldChar w:fldCharType="separate"/>
      </w:r>
      <w:r>
        <w:rPr>
          <w:color w:val="auto"/>
          <w:sz w:val="24"/>
          <w:szCs w:val="24"/>
        </w:rPr>
        <w:t>68</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_Toc13289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3.4 项目各污染源汇总</w:t>
      </w:r>
      <w:r>
        <w:rPr>
          <w:color w:val="auto"/>
          <w:sz w:val="24"/>
          <w:szCs w:val="24"/>
        </w:rPr>
        <w:tab/>
      </w:r>
      <w:r>
        <w:rPr>
          <w:color w:val="auto"/>
          <w:sz w:val="24"/>
          <w:szCs w:val="24"/>
        </w:rPr>
        <w:fldChar w:fldCharType="begin"/>
      </w:r>
      <w:r>
        <w:rPr>
          <w:color w:val="auto"/>
          <w:sz w:val="24"/>
          <w:szCs w:val="24"/>
        </w:rPr>
        <w:instrText xml:space="preserve"> PAGEREF _Toc13289 \h </w:instrText>
      </w:r>
      <w:r>
        <w:rPr>
          <w:color w:val="auto"/>
          <w:sz w:val="24"/>
          <w:szCs w:val="24"/>
        </w:rPr>
        <w:fldChar w:fldCharType="separate"/>
      </w:r>
      <w:r>
        <w:rPr>
          <w:color w:val="auto"/>
          <w:sz w:val="24"/>
          <w:szCs w:val="24"/>
        </w:rPr>
        <w:t>79</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_Toc6643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44"/>
          <w:lang w:val="en-US" w:eastAsia="zh-CN"/>
        </w:rPr>
        <w:t>3.5总量控制</w:t>
      </w:r>
      <w:r>
        <w:rPr>
          <w:color w:val="auto"/>
          <w:sz w:val="24"/>
          <w:szCs w:val="24"/>
        </w:rPr>
        <w:tab/>
      </w:r>
      <w:r>
        <w:rPr>
          <w:color w:val="auto"/>
          <w:sz w:val="24"/>
          <w:szCs w:val="24"/>
        </w:rPr>
        <w:fldChar w:fldCharType="begin"/>
      </w:r>
      <w:r>
        <w:rPr>
          <w:color w:val="auto"/>
          <w:sz w:val="24"/>
          <w:szCs w:val="24"/>
        </w:rPr>
        <w:instrText xml:space="preserve"> PAGEREF _Toc6643 \h </w:instrText>
      </w:r>
      <w:r>
        <w:rPr>
          <w:color w:val="auto"/>
          <w:sz w:val="24"/>
          <w:szCs w:val="24"/>
        </w:rPr>
        <w:fldChar w:fldCharType="separate"/>
      </w:r>
      <w:r>
        <w:rPr>
          <w:color w:val="auto"/>
          <w:sz w:val="24"/>
          <w:szCs w:val="24"/>
        </w:rPr>
        <w:t>82</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63"/>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_Toc13873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40"/>
          <w:highlight w:val="none"/>
        </w:rPr>
        <w:t>4</w:t>
      </w:r>
      <w:r>
        <w:rPr>
          <w:rFonts w:hint="default" w:ascii="Times New Roman" w:hAnsi="Times New Roman" w:eastAsia="宋体" w:cs="Times New Roman"/>
          <w:bCs w:val="0"/>
          <w:color w:val="auto"/>
          <w:sz w:val="24"/>
          <w:szCs w:val="40"/>
          <w:highlight w:val="none"/>
        </w:rPr>
        <w:t>环境现状调查与评价</w:t>
      </w:r>
      <w:r>
        <w:rPr>
          <w:color w:val="auto"/>
          <w:sz w:val="24"/>
          <w:szCs w:val="24"/>
        </w:rPr>
        <w:tab/>
      </w:r>
      <w:r>
        <w:rPr>
          <w:color w:val="auto"/>
          <w:sz w:val="24"/>
          <w:szCs w:val="24"/>
        </w:rPr>
        <w:fldChar w:fldCharType="begin"/>
      </w:r>
      <w:r>
        <w:rPr>
          <w:color w:val="auto"/>
          <w:sz w:val="24"/>
          <w:szCs w:val="24"/>
        </w:rPr>
        <w:instrText xml:space="preserve"> PAGEREF _Toc13873 \h </w:instrText>
      </w:r>
      <w:r>
        <w:rPr>
          <w:color w:val="auto"/>
          <w:sz w:val="24"/>
          <w:szCs w:val="24"/>
        </w:rPr>
        <w:fldChar w:fldCharType="separate"/>
      </w:r>
      <w:r>
        <w:rPr>
          <w:color w:val="auto"/>
          <w:sz w:val="24"/>
          <w:szCs w:val="24"/>
        </w:rPr>
        <w:t>83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_Toc2133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4.1自然环境概况</w:t>
      </w:r>
      <w:r>
        <w:rPr>
          <w:color w:val="auto"/>
          <w:sz w:val="24"/>
          <w:szCs w:val="24"/>
        </w:rPr>
        <w:tab/>
      </w:r>
      <w:r>
        <w:rPr>
          <w:color w:val="auto"/>
          <w:sz w:val="24"/>
          <w:szCs w:val="24"/>
        </w:rPr>
        <w:fldChar w:fldCharType="begin"/>
      </w:r>
      <w:r>
        <w:rPr>
          <w:color w:val="auto"/>
          <w:sz w:val="24"/>
          <w:szCs w:val="24"/>
        </w:rPr>
        <w:instrText xml:space="preserve"> PAGEREF _Toc2133 \h </w:instrText>
      </w:r>
      <w:r>
        <w:rPr>
          <w:color w:val="auto"/>
          <w:sz w:val="24"/>
          <w:szCs w:val="24"/>
        </w:rPr>
        <w:fldChar w:fldCharType="separate"/>
      </w:r>
      <w:r>
        <w:rPr>
          <w:color w:val="auto"/>
          <w:sz w:val="24"/>
          <w:szCs w:val="24"/>
        </w:rPr>
        <w:t>83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_Toc10114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环境空气质量现状调查与评价</w:t>
      </w:r>
      <w:r>
        <w:rPr>
          <w:color w:val="auto"/>
          <w:sz w:val="24"/>
          <w:szCs w:val="24"/>
        </w:rPr>
        <w:tab/>
      </w:r>
      <w:r>
        <w:rPr>
          <w:color w:val="auto"/>
          <w:sz w:val="24"/>
          <w:szCs w:val="24"/>
        </w:rPr>
        <w:fldChar w:fldCharType="begin"/>
      </w:r>
      <w:r>
        <w:rPr>
          <w:color w:val="auto"/>
          <w:sz w:val="24"/>
          <w:szCs w:val="24"/>
        </w:rPr>
        <w:instrText xml:space="preserve"> PAGEREF _Toc10114 \h </w:instrText>
      </w:r>
      <w:r>
        <w:rPr>
          <w:color w:val="auto"/>
          <w:sz w:val="24"/>
          <w:szCs w:val="24"/>
        </w:rPr>
        <w:fldChar w:fldCharType="separate"/>
      </w:r>
      <w:r>
        <w:rPr>
          <w:color w:val="auto"/>
          <w:sz w:val="24"/>
          <w:szCs w:val="24"/>
        </w:rPr>
        <w:t>89</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_Toc10909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水环境质量现状监测与评价</w:t>
      </w:r>
      <w:r>
        <w:rPr>
          <w:color w:val="auto"/>
          <w:sz w:val="24"/>
          <w:szCs w:val="24"/>
        </w:rPr>
        <w:tab/>
      </w:r>
      <w:r>
        <w:rPr>
          <w:color w:val="auto"/>
          <w:sz w:val="24"/>
          <w:szCs w:val="24"/>
        </w:rPr>
        <w:fldChar w:fldCharType="begin"/>
      </w:r>
      <w:r>
        <w:rPr>
          <w:color w:val="auto"/>
          <w:sz w:val="24"/>
          <w:szCs w:val="24"/>
        </w:rPr>
        <w:instrText xml:space="preserve"> PAGEREF _Toc10909 \h </w:instrText>
      </w:r>
      <w:r>
        <w:rPr>
          <w:color w:val="auto"/>
          <w:sz w:val="24"/>
          <w:szCs w:val="24"/>
        </w:rPr>
        <w:fldChar w:fldCharType="separate"/>
      </w:r>
      <w:r>
        <w:rPr>
          <w:color w:val="auto"/>
          <w:sz w:val="24"/>
          <w:szCs w:val="24"/>
        </w:rPr>
        <w:t>93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_Toc23316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土壤</w:t>
      </w:r>
      <w:r>
        <w:rPr>
          <w:rFonts w:hint="default" w:ascii="Times New Roman" w:hAnsi="Times New Roman" w:eastAsia="宋体" w:cs="Times New Roman"/>
          <w:color w:val="auto"/>
          <w:sz w:val="24"/>
          <w:szCs w:val="24"/>
          <w:highlight w:val="none"/>
        </w:rPr>
        <w:t>环境质量现状监测与评价</w:t>
      </w:r>
      <w:r>
        <w:rPr>
          <w:color w:val="auto"/>
          <w:sz w:val="24"/>
          <w:szCs w:val="24"/>
        </w:rPr>
        <w:tab/>
      </w:r>
      <w:r>
        <w:rPr>
          <w:color w:val="auto"/>
          <w:sz w:val="24"/>
          <w:szCs w:val="24"/>
        </w:rPr>
        <w:fldChar w:fldCharType="begin"/>
      </w:r>
      <w:r>
        <w:rPr>
          <w:color w:val="auto"/>
          <w:sz w:val="24"/>
          <w:szCs w:val="24"/>
        </w:rPr>
        <w:instrText xml:space="preserve"> PAGEREF _Toc23316 \h </w:instrText>
      </w:r>
      <w:r>
        <w:rPr>
          <w:color w:val="auto"/>
          <w:sz w:val="24"/>
          <w:szCs w:val="24"/>
        </w:rPr>
        <w:fldChar w:fldCharType="separate"/>
      </w:r>
      <w:r>
        <w:rPr>
          <w:color w:val="auto"/>
          <w:sz w:val="24"/>
          <w:szCs w:val="24"/>
        </w:rPr>
        <w:t>102</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_Toc18763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声环境现状监测与评价</w:t>
      </w:r>
      <w:r>
        <w:rPr>
          <w:color w:val="auto"/>
          <w:sz w:val="24"/>
          <w:szCs w:val="24"/>
        </w:rPr>
        <w:tab/>
      </w:r>
      <w:r>
        <w:rPr>
          <w:color w:val="auto"/>
          <w:sz w:val="24"/>
          <w:szCs w:val="24"/>
        </w:rPr>
        <w:fldChar w:fldCharType="begin"/>
      </w:r>
      <w:r>
        <w:rPr>
          <w:color w:val="auto"/>
          <w:sz w:val="24"/>
          <w:szCs w:val="24"/>
        </w:rPr>
        <w:instrText xml:space="preserve"> PAGEREF _Toc18763 \h </w:instrText>
      </w:r>
      <w:r>
        <w:rPr>
          <w:color w:val="auto"/>
          <w:sz w:val="24"/>
          <w:szCs w:val="24"/>
        </w:rPr>
        <w:fldChar w:fldCharType="separate"/>
      </w:r>
      <w:r>
        <w:rPr>
          <w:color w:val="auto"/>
          <w:sz w:val="24"/>
          <w:szCs w:val="24"/>
        </w:rPr>
        <w:t>112</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_Toc14593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生态</w:t>
      </w:r>
      <w:r>
        <w:rPr>
          <w:rFonts w:hint="default" w:ascii="Times New Roman" w:hAnsi="Times New Roman" w:eastAsia="宋体" w:cs="Times New Roman"/>
          <w:color w:val="auto"/>
          <w:sz w:val="24"/>
          <w:szCs w:val="24"/>
          <w:highlight w:val="none"/>
        </w:rPr>
        <w:t>环境现状评价</w:t>
      </w:r>
      <w:r>
        <w:rPr>
          <w:color w:val="auto"/>
          <w:sz w:val="24"/>
          <w:szCs w:val="24"/>
        </w:rPr>
        <w:tab/>
      </w:r>
      <w:r>
        <w:rPr>
          <w:color w:val="auto"/>
          <w:sz w:val="24"/>
          <w:szCs w:val="24"/>
        </w:rPr>
        <w:fldChar w:fldCharType="begin"/>
      </w:r>
      <w:r>
        <w:rPr>
          <w:color w:val="auto"/>
          <w:sz w:val="24"/>
          <w:szCs w:val="24"/>
        </w:rPr>
        <w:instrText xml:space="preserve"> PAGEREF _Toc14593 \h </w:instrText>
      </w:r>
      <w:r>
        <w:rPr>
          <w:color w:val="auto"/>
          <w:sz w:val="24"/>
          <w:szCs w:val="24"/>
        </w:rPr>
        <w:fldChar w:fldCharType="separate"/>
      </w:r>
      <w:r>
        <w:rPr>
          <w:color w:val="auto"/>
          <w:sz w:val="24"/>
          <w:szCs w:val="24"/>
        </w:rPr>
        <w:t>113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63"/>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_Toc20287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40"/>
          <w:highlight w:val="none"/>
        </w:rPr>
        <w:t>5环境影响预测及评价</w:t>
      </w:r>
      <w:r>
        <w:rPr>
          <w:color w:val="auto"/>
          <w:sz w:val="24"/>
          <w:szCs w:val="24"/>
        </w:rPr>
        <w:tab/>
      </w:r>
      <w:r>
        <w:rPr>
          <w:color w:val="auto"/>
          <w:sz w:val="24"/>
          <w:szCs w:val="24"/>
        </w:rPr>
        <w:fldChar w:fldCharType="begin"/>
      </w:r>
      <w:r>
        <w:rPr>
          <w:color w:val="auto"/>
          <w:sz w:val="24"/>
          <w:szCs w:val="24"/>
        </w:rPr>
        <w:instrText xml:space="preserve"> PAGEREF _Toc20287 \h </w:instrText>
      </w:r>
      <w:r>
        <w:rPr>
          <w:color w:val="auto"/>
          <w:sz w:val="24"/>
          <w:szCs w:val="24"/>
        </w:rPr>
        <w:fldChar w:fldCharType="separate"/>
      </w:r>
      <w:r>
        <w:rPr>
          <w:color w:val="auto"/>
          <w:sz w:val="24"/>
          <w:szCs w:val="24"/>
        </w:rPr>
        <w:t>115</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_Toc24337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5.1施工期环境影响预测及评价</w:t>
      </w:r>
      <w:r>
        <w:rPr>
          <w:color w:val="auto"/>
          <w:sz w:val="24"/>
          <w:szCs w:val="24"/>
        </w:rPr>
        <w:tab/>
      </w:r>
      <w:r>
        <w:rPr>
          <w:color w:val="auto"/>
          <w:sz w:val="24"/>
          <w:szCs w:val="24"/>
        </w:rPr>
        <w:fldChar w:fldCharType="begin"/>
      </w:r>
      <w:r>
        <w:rPr>
          <w:color w:val="auto"/>
          <w:sz w:val="24"/>
          <w:szCs w:val="24"/>
        </w:rPr>
        <w:instrText xml:space="preserve"> PAGEREF _Toc24337 \h </w:instrText>
      </w:r>
      <w:r>
        <w:rPr>
          <w:color w:val="auto"/>
          <w:sz w:val="24"/>
          <w:szCs w:val="24"/>
        </w:rPr>
        <w:fldChar w:fldCharType="separate"/>
      </w:r>
      <w:r>
        <w:rPr>
          <w:color w:val="auto"/>
          <w:sz w:val="24"/>
          <w:szCs w:val="24"/>
        </w:rPr>
        <w:t>115</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_Toc28644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5.2大气环境环境影响预测及评价</w:t>
      </w:r>
      <w:r>
        <w:rPr>
          <w:color w:val="auto"/>
          <w:sz w:val="24"/>
          <w:szCs w:val="24"/>
        </w:rPr>
        <w:tab/>
      </w:r>
      <w:r>
        <w:rPr>
          <w:color w:val="auto"/>
          <w:sz w:val="24"/>
          <w:szCs w:val="24"/>
        </w:rPr>
        <w:fldChar w:fldCharType="begin"/>
      </w:r>
      <w:r>
        <w:rPr>
          <w:color w:val="auto"/>
          <w:sz w:val="24"/>
          <w:szCs w:val="24"/>
        </w:rPr>
        <w:instrText xml:space="preserve"> PAGEREF _Toc28644 \h </w:instrText>
      </w:r>
      <w:r>
        <w:rPr>
          <w:color w:val="auto"/>
          <w:sz w:val="24"/>
          <w:szCs w:val="24"/>
        </w:rPr>
        <w:fldChar w:fldCharType="separate"/>
      </w:r>
      <w:r>
        <w:rPr>
          <w:color w:val="auto"/>
          <w:sz w:val="24"/>
          <w:szCs w:val="24"/>
        </w:rPr>
        <w:t>118</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_Toc5316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5.3水环境影响分析</w:t>
      </w:r>
      <w:r>
        <w:rPr>
          <w:color w:val="auto"/>
          <w:sz w:val="24"/>
          <w:szCs w:val="24"/>
        </w:rPr>
        <w:tab/>
      </w:r>
      <w:r>
        <w:rPr>
          <w:color w:val="auto"/>
          <w:sz w:val="24"/>
          <w:szCs w:val="24"/>
        </w:rPr>
        <w:fldChar w:fldCharType="begin"/>
      </w:r>
      <w:r>
        <w:rPr>
          <w:color w:val="auto"/>
          <w:sz w:val="24"/>
          <w:szCs w:val="24"/>
        </w:rPr>
        <w:instrText xml:space="preserve"> PAGEREF _Toc5316 \h </w:instrText>
      </w:r>
      <w:r>
        <w:rPr>
          <w:color w:val="auto"/>
          <w:sz w:val="24"/>
          <w:szCs w:val="24"/>
        </w:rPr>
        <w:fldChar w:fldCharType="separate"/>
      </w:r>
      <w:r>
        <w:rPr>
          <w:color w:val="auto"/>
          <w:sz w:val="24"/>
          <w:szCs w:val="24"/>
        </w:rPr>
        <w:t>129</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_Toc6030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5.4声环境影响预测及评价</w:t>
      </w:r>
      <w:r>
        <w:rPr>
          <w:color w:val="auto"/>
          <w:sz w:val="24"/>
          <w:szCs w:val="24"/>
        </w:rPr>
        <w:tab/>
      </w:r>
      <w:r>
        <w:rPr>
          <w:color w:val="auto"/>
          <w:sz w:val="24"/>
          <w:szCs w:val="24"/>
        </w:rPr>
        <w:fldChar w:fldCharType="begin"/>
      </w:r>
      <w:r>
        <w:rPr>
          <w:color w:val="auto"/>
          <w:sz w:val="24"/>
          <w:szCs w:val="24"/>
        </w:rPr>
        <w:instrText xml:space="preserve"> PAGEREF _Toc6030 \h </w:instrText>
      </w:r>
      <w:r>
        <w:rPr>
          <w:color w:val="auto"/>
          <w:sz w:val="24"/>
          <w:szCs w:val="24"/>
        </w:rPr>
        <w:fldChar w:fldCharType="separate"/>
      </w:r>
      <w:r>
        <w:rPr>
          <w:color w:val="auto"/>
          <w:sz w:val="24"/>
          <w:szCs w:val="24"/>
        </w:rPr>
        <w:t>141</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_Toc5279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5.5固体废物环境影响分析</w:t>
      </w:r>
      <w:r>
        <w:rPr>
          <w:color w:val="auto"/>
          <w:sz w:val="24"/>
          <w:szCs w:val="24"/>
        </w:rPr>
        <w:tab/>
      </w:r>
      <w:r>
        <w:rPr>
          <w:color w:val="auto"/>
          <w:sz w:val="24"/>
          <w:szCs w:val="24"/>
        </w:rPr>
        <w:fldChar w:fldCharType="begin"/>
      </w:r>
      <w:r>
        <w:rPr>
          <w:color w:val="auto"/>
          <w:sz w:val="24"/>
          <w:szCs w:val="24"/>
        </w:rPr>
        <w:instrText xml:space="preserve"> PAGEREF _Toc5279 \h </w:instrText>
      </w:r>
      <w:r>
        <w:rPr>
          <w:color w:val="auto"/>
          <w:sz w:val="24"/>
          <w:szCs w:val="24"/>
        </w:rPr>
        <w:fldChar w:fldCharType="separate"/>
      </w:r>
      <w:r>
        <w:rPr>
          <w:color w:val="auto"/>
          <w:sz w:val="24"/>
          <w:szCs w:val="24"/>
        </w:rPr>
        <w:t>145</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_Toc16396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土壤环境影响分析</w:t>
      </w:r>
      <w:r>
        <w:rPr>
          <w:color w:val="auto"/>
          <w:sz w:val="24"/>
          <w:szCs w:val="24"/>
        </w:rPr>
        <w:tab/>
      </w:r>
      <w:r>
        <w:rPr>
          <w:color w:val="auto"/>
          <w:sz w:val="24"/>
          <w:szCs w:val="24"/>
        </w:rPr>
        <w:fldChar w:fldCharType="begin"/>
      </w:r>
      <w:r>
        <w:rPr>
          <w:color w:val="auto"/>
          <w:sz w:val="24"/>
          <w:szCs w:val="24"/>
        </w:rPr>
        <w:instrText xml:space="preserve"> PAGEREF _Toc16396 \h </w:instrText>
      </w:r>
      <w:r>
        <w:rPr>
          <w:color w:val="auto"/>
          <w:sz w:val="24"/>
          <w:szCs w:val="24"/>
        </w:rPr>
        <w:fldChar w:fldCharType="separate"/>
      </w:r>
      <w:r>
        <w:rPr>
          <w:color w:val="auto"/>
          <w:sz w:val="24"/>
          <w:szCs w:val="24"/>
        </w:rPr>
        <w:t>149</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_Toc32022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7生态</w:t>
      </w:r>
      <w:r>
        <w:rPr>
          <w:rFonts w:hint="default" w:ascii="Times New Roman" w:hAnsi="Times New Roman" w:eastAsia="宋体" w:cs="Times New Roman"/>
          <w:color w:val="auto"/>
          <w:sz w:val="24"/>
          <w:szCs w:val="24"/>
        </w:rPr>
        <w:t>环境影响分析</w:t>
      </w:r>
      <w:r>
        <w:rPr>
          <w:color w:val="auto"/>
          <w:sz w:val="24"/>
          <w:szCs w:val="24"/>
        </w:rPr>
        <w:tab/>
      </w:r>
      <w:r>
        <w:rPr>
          <w:color w:val="auto"/>
          <w:sz w:val="24"/>
          <w:szCs w:val="24"/>
        </w:rPr>
        <w:fldChar w:fldCharType="begin"/>
      </w:r>
      <w:r>
        <w:rPr>
          <w:color w:val="auto"/>
          <w:sz w:val="24"/>
          <w:szCs w:val="24"/>
        </w:rPr>
        <w:instrText xml:space="preserve"> PAGEREF _Toc32022 \h </w:instrText>
      </w:r>
      <w:r>
        <w:rPr>
          <w:color w:val="auto"/>
          <w:sz w:val="24"/>
          <w:szCs w:val="24"/>
        </w:rPr>
        <w:fldChar w:fldCharType="separate"/>
      </w:r>
      <w:r>
        <w:rPr>
          <w:color w:val="auto"/>
          <w:sz w:val="24"/>
          <w:szCs w:val="24"/>
        </w:rPr>
        <w:t>152</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_Toc21111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环境风险分析</w:t>
      </w:r>
      <w:r>
        <w:rPr>
          <w:color w:val="auto"/>
          <w:sz w:val="24"/>
          <w:szCs w:val="24"/>
        </w:rPr>
        <w:tab/>
      </w:r>
      <w:r>
        <w:rPr>
          <w:color w:val="auto"/>
          <w:sz w:val="24"/>
          <w:szCs w:val="24"/>
        </w:rPr>
        <w:fldChar w:fldCharType="begin"/>
      </w:r>
      <w:r>
        <w:rPr>
          <w:color w:val="auto"/>
          <w:sz w:val="24"/>
          <w:szCs w:val="24"/>
        </w:rPr>
        <w:instrText xml:space="preserve"> PAGEREF _Toc21111 \h </w:instrText>
      </w:r>
      <w:r>
        <w:rPr>
          <w:color w:val="auto"/>
          <w:sz w:val="24"/>
          <w:szCs w:val="24"/>
        </w:rPr>
        <w:fldChar w:fldCharType="separate"/>
      </w:r>
      <w:r>
        <w:rPr>
          <w:color w:val="auto"/>
          <w:sz w:val="24"/>
          <w:szCs w:val="24"/>
        </w:rPr>
        <w:t>153</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63"/>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_Toc3459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40"/>
          <w:highlight w:val="none"/>
        </w:rPr>
        <w:t>6环保措施及其可行性论证</w:t>
      </w:r>
      <w:r>
        <w:rPr>
          <w:color w:val="auto"/>
          <w:sz w:val="24"/>
          <w:szCs w:val="24"/>
        </w:rPr>
        <w:tab/>
      </w:r>
      <w:r>
        <w:rPr>
          <w:color w:val="auto"/>
          <w:sz w:val="24"/>
          <w:szCs w:val="24"/>
        </w:rPr>
        <w:fldChar w:fldCharType="begin"/>
      </w:r>
      <w:r>
        <w:rPr>
          <w:color w:val="auto"/>
          <w:sz w:val="24"/>
          <w:szCs w:val="24"/>
        </w:rPr>
        <w:instrText xml:space="preserve"> PAGEREF _Toc3459 \h </w:instrText>
      </w:r>
      <w:r>
        <w:rPr>
          <w:color w:val="auto"/>
          <w:sz w:val="24"/>
          <w:szCs w:val="24"/>
        </w:rPr>
        <w:fldChar w:fldCharType="separate"/>
      </w:r>
      <w:r>
        <w:rPr>
          <w:color w:val="auto"/>
          <w:sz w:val="24"/>
          <w:szCs w:val="24"/>
        </w:rPr>
        <w:t>162</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_Toc18629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6.1施工期防治措施可行性分析</w:t>
      </w:r>
      <w:r>
        <w:rPr>
          <w:color w:val="auto"/>
          <w:sz w:val="24"/>
          <w:szCs w:val="24"/>
        </w:rPr>
        <w:tab/>
      </w:r>
      <w:r>
        <w:rPr>
          <w:color w:val="auto"/>
          <w:sz w:val="24"/>
          <w:szCs w:val="24"/>
        </w:rPr>
        <w:fldChar w:fldCharType="begin"/>
      </w:r>
      <w:r>
        <w:rPr>
          <w:color w:val="auto"/>
          <w:sz w:val="24"/>
          <w:szCs w:val="24"/>
        </w:rPr>
        <w:instrText xml:space="preserve"> PAGEREF _Toc18629 \h </w:instrText>
      </w:r>
      <w:r>
        <w:rPr>
          <w:color w:val="auto"/>
          <w:sz w:val="24"/>
          <w:szCs w:val="24"/>
        </w:rPr>
        <w:fldChar w:fldCharType="separate"/>
      </w:r>
      <w:r>
        <w:rPr>
          <w:color w:val="auto"/>
          <w:sz w:val="24"/>
          <w:szCs w:val="24"/>
        </w:rPr>
        <w:t>162</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_Toc14340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6.2大气污染防治措施及可行性分析</w:t>
      </w:r>
      <w:r>
        <w:rPr>
          <w:color w:val="auto"/>
          <w:sz w:val="24"/>
          <w:szCs w:val="24"/>
        </w:rPr>
        <w:tab/>
      </w:r>
      <w:r>
        <w:rPr>
          <w:color w:val="auto"/>
          <w:sz w:val="24"/>
          <w:szCs w:val="24"/>
        </w:rPr>
        <w:fldChar w:fldCharType="begin"/>
      </w:r>
      <w:r>
        <w:rPr>
          <w:color w:val="auto"/>
          <w:sz w:val="24"/>
          <w:szCs w:val="24"/>
        </w:rPr>
        <w:instrText xml:space="preserve"> PAGEREF _Toc14340 \h </w:instrText>
      </w:r>
      <w:r>
        <w:rPr>
          <w:color w:val="auto"/>
          <w:sz w:val="24"/>
          <w:szCs w:val="24"/>
        </w:rPr>
        <w:fldChar w:fldCharType="separate"/>
      </w:r>
      <w:r>
        <w:rPr>
          <w:color w:val="auto"/>
          <w:sz w:val="24"/>
          <w:szCs w:val="24"/>
        </w:rPr>
        <w:t>165</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_Toc5289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6.3废水污染防治措施及可行性分析</w:t>
      </w:r>
      <w:r>
        <w:rPr>
          <w:color w:val="auto"/>
          <w:sz w:val="24"/>
          <w:szCs w:val="24"/>
        </w:rPr>
        <w:tab/>
      </w:r>
      <w:r>
        <w:rPr>
          <w:color w:val="auto"/>
          <w:sz w:val="24"/>
          <w:szCs w:val="24"/>
        </w:rPr>
        <w:fldChar w:fldCharType="begin"/>
      </w:r>
      <w:r>
        <w:rPr>
          <w:color w:val="auto"/>
          <w:sz w:val="24"/>
          <w:szCs w:val="24"/>
        </w:rPr>
        <w:instrText xml:space="preserve"> PAGEREF _Toc5289 \h </w:instrText>
      </w:r>
      <w:r>
        <w:rPr>
          <w:color w:val="auto"/>
          <w:sz w:val="24"/>
          <w:szCs w:val="24"/>
        </w:rPr>
        <w:fldChar w:fldCharType="separate"/>
      </w:r>
      <w:r>
        <w:rPr>
          <w:color w:val="auto"/>
          <w:sz w:val="24"/>
          <w:szCs w:val="24"/>
        </w:rPr>
        <w:t>167</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_Toc5955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6.4地下水污染防治措施及可行性分析</w:t>
      </w:r>
      <w:r>
        <w:rPr>
          <w:color w:val="auto"/>
          <w:sz w:val="24"/>
          <w:szCs w:val="24"/>
        </w:rPr>
        <w:tab/>
      </w:r>
      <w:r>
        <w:rPr>
          <w:color w:val="auto"/>
          <w:sz w:val="24"/>
          <w:szCs w:val="24"/>
        </w:rPr>
        <w:fldChar w:fldCharType="begin"/>
      </w:r>
      <w:r>
        <w:rPr>
          <w:color w:val="auto"/>
          <w:sz w:val="24"/>
          <w:szCs w:val="24"/>
        </w:rPr>
        <w:instrText xml:space="preserve"> PAGEREF _Toc5955 \h </w:instrText>
      </w:r>
      <w:r>
        <w:rPr>
          <w:color w:val="auto"/>
          <w:sz w:val="24"/>
          <w:szCs w:val="24"/>
        </w:rPr>
        <w:fldChar w:fldCharType="separate"/>
      </w:r>
      <w:r>
        <w:rPr>
          <w:color w:val="auto"/>
          <w:sz w:val="24"/>
          <w:szCs w:val="24"/>
        </w:rPr>
        <w:t>168</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_Toc16073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6.5噪声防治措施及可行性分析</w:t>
      </w:r>
      <w:r>
        <w:rPr>
          <w:color w:val="auto"/>
          <w:sz w:val="24"/>
          <w:szCs w:val="24"/>
        </w:rPr>
        <w:tab/>
      </w:r>
      <w:r>
        <w:rPr>
          <w:color w:val="auto"/>
          <w:sz w:val="24"/>
          <w:szCs w:val="24"/>
        </w:rPr>
        <w:fldChar w:fldCharType="begin"/>
      </w:r>
      <w:r>
        <w:rPr>
          <w:color w:val="auto"/>
          <w:sz w:val="24"/>
          <w:szCs w:val="24"/>
        </w:rPr>
        <w:instrText xml:space="preserve"> PAGEREF _Toc16073 \h </w:instrText>
      </w:r>
      <w:r>
        <w:rPr>
          <w:color w:val="auto"/>
          <w:sz w:val="24"/>
          <w:szCs w:val="24"/>
        </w:rPr>
        <w:fldChar w:fldCharType="separate"/>
      </w:r>
      <w:r>
        <w:rPr>
          <w:color w:val="auto"/>
          <w:sz w:val="24"/>
          <w:szCs w:val="24"/>
        </w:rPr>
        <w:t>170</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_Toc3948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6.6固体废物污染防治措施及可行性分析</w:t>
      </w:r>
      <w:r>
        <w:rPr>
          <w:color w:val="auto"/>
          <w:sz w:val="24"/>
          <w:szCs w:val="24"/>
        </w:rPr>
        <w:tab/>
      </w:r>
      <w:r>
        <w:rPr>
          <w:color w:val="auto"/>
          <w:sz w:val="24"/>
          <w:szCs w:val="24"/>
        </w:rPr>
        <w:fldChar w:fldCharType="begin"/>
      </w:r>
      <w:r>
        <w:rPr>
          <w:color w:val="auto"/>
          <w:sz w:val="24"/>
          <w:szCs w:val="24"/>
        </w:rPr>
        <w:instrText xml:space="preserve"> PAGEREF _Toc3948 \h </w:instrText>
      </w:r>
      <w:r>
        <w:rPr>
          <w:color w:val="auto"/>
          <w:sz w:val="24"/>
          <w:szCs w:val="24"/>
        </w:rPr>
        <w:fldChar w:fldCharType="separate"/>
      </w:r>
      <w:r>
        <w:rPr>
          <w:color w:val="auto"/>
          <w:sz w:val="24"/>
          <w:szCs w:val="24"/>
        </w:rPr>
        <w:t>171</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63"/>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_Toc2131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40"/>
          <w:highlight w:val="none"/>
        </w:rPr>
        <w:t>7环境经济损益分析</w:t>
      </w:r>
      <w:r>
        <w:rPr>
          <w:color w:val="auto"/>
          <w:sz w:val="24"/>
          <w:szCs w:val="24"/>
        </w:rPr>
        <w:tab/>
      </w:r>
      <w:r>
        <w:rPr>
          <w:color w:val="auto"/>
          <w:sz w:val="24"/>
          <w:szCs w:val="24"/>
        </w:rPr>
        <w:fldChar w:fldCharType="begin"/>
      </w:r>
      <w:r>
        <w:rPr>
          <w:color w:val="auto"/>
          <w:sz w:val="24"/>
          <w:szCs w:val="24"/>
        </w:rPr>
        <w:instrText xml:space="preserve"> PAGEREF _Toc2131 \h </w:instrText>
      </w:r>
      <w:r>
        <w:rPr>
          <w:color w:val="auto"/>
          <w:sz w:val="24"/>
          <w:szCs w:val="24"/>
        </w:rPr>
        <w:fldChar w:fldCharType="separate"/>
      </w:r>
      <w:r>
        <w:rPr>
          <w:color w:val="auto"/>
          <w:sz w:val="24"/>
          <w:szCs w:val="24"/>
        </w:rPr>
        <w:t>174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_Toc23516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7.1社会</w:t>
      </w:r>
      <w:r>
        <w:rPr>
          <w:rFonts w:hint="default" w:ascii="Times New Roman" w:hAnsi="Times New Roman" w:eastAsia="宋体" w:cs="Times New Roman"/>
          <w:color w:val="auto"/>
          <w:sz w:val="24"/>
          <w:szCs w:val="24"/>
          <w:lang w:val="en-US" w:eastAsia="zh-CN"/>
        </w:rPr>
        <w:t>经济</w:t>
      </w:r>
      <w:r>
        <w:rPr>
          <w:rFonts w:hint="default" w:ascii="Times New Roman" w:hAnsi="Times New Roman" w:eastAsia="宋体" w:cs="Times New Roman"/>
          <w:color w:val="auto"/>
          <w:sz w:val="24"/>
          <w:szCs w:val="24"/>
        </w:rPr>
        <w:t>效益分析</w:t>
      </w:r>
      <w:r>
        <w:rPr>
          <w:color w:val="auto"/>
          <w:sz w:val="24"/>
          <w:szCs w:val="24"/>
        </w:rPr>
        <w:tab/>
      </w:r>
      <w:r>
        <w:rPr>
          <w:color w:val="auto"/>
          <w:sz w:val="24"/>
          <w:szCs w:val="24"/>
        </w:rPr>
        <w:fldChar w:fldCharType="begin"/>
      </w:r>
      <w:r>
        <w:rPr>
          <w:color w:val="auto"/>
          <w:sz w:val="24"/>
          <w:szCs w:val="24"/>
        </w:rPr>
        <w:instrText xml:space="preserve"> PAGEREF _Toc23516 \h </w:instrText>
      </w:r>
      <w:r>
        <w:rPr>
          <w:color w:val="auto"/>
          <w:sz w:val="24"/>
          <w:szCs w:val="24"/>
        </w:rPr>
        <w:fldChar w:fldCharType="separate"/>
      </w:r>
      <w:r>
        <w:rPr>
          <w:color w:val="auto"/>
          <w:sz w:val="24"/>
          <w:szCs w:val="24"/>
        </w:rPr>
        <w:t>174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_Toc27248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环境效益分析</w:t>
      </w:r>
      <w:r>
        <w:rPr>
          <w:color w:val="auto"/>
          <w:sz w:val="24"/>
          <w:szCs w:val="24"/>
        </w:rPr>
        <w:tab/>
      </w:r>
      <w:r>
        <w:rPr>
          <w:color w:val="auto"/>
          <w:sz w:val="24"/>
          <w:szCs w:val="24"/>
        </w:rPr>
        <w:fldChar w:fldCharType="begin"/>
      </w:r>
      <w:r>
        <w:rPr>
          <w:color w:val="auto"/>
          <w:sz w:val="24"/>
          <w:szCs w:val="24"/>
        </w:rPr>
        <w:instrText xml:space="preserve"> PAGEREF _Toc27248 \h </w:instrText>
      </w:r>
      <w:r>
        <w:rPr>
          <w:color w:val="auto"/>
          <w:sz w:val="24"/>
          <w:szCs w:val="24"/>
        </w:rPr>
        <w:fldChar w:fldCharType="separate"/>
      </w:r>
      <w:r>
        <w:rPr>
          <w:color w:val="auto"/>
          <w:sz w:val="24"/>
          <w:szCs w:val="24"/>
        </w:rPr>
        <w:t>174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63"/>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_Toc5974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40"/>
          <w:highlight w:val="none"/>
        </w:rPr>
        <w:t>8环境管理及环境监测计划</w:t>
      </w:r>
      <w:r>
        <w:rPr>
          <w:color w:val="auto"/>
          <w:sz w:val="24"/>
          <w:szCs w:val="24"/>
        </w:rPr>
        <w:tab/>
      </w:r>
      <w:r>
        <w:rPr>
          <w:color w:val="auto"/>
          <w:sz w:val="24"/>
          <w:szCs w:val="24"/>
        </w:rPr>
        <w:fldChar w:fldCharType="begin"/>
      </w:r>
      <w:r>
        <w:rPr>
          <w:color w:val="auto"/>
          <w:sz w:val="24"/>
          <w:szCs w:val="24"/>
        </w:rPr>
        <w:instrText xml:space="preserve"> PAGEREF _Toc5974 \h </w:instrText>
      </w:r>
      <w:r>
        <w:rPr>
          <w:color w:val="auto"/>
          <w:sz w:val="24"/>
          <w:szCs w:val="24"/>
        </w:rPr>
        <w:fldChar w:fldCharType="separate"/>
      </w:r>
      <w:r>
        <w:rPr>
          <w:color w:val="auto"/>
          <w:sz w:val="24"/>
          <w:szCs w:val="24"/>
        </w:rPr>
        <w:t>176</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_Toc27183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8.1环境管理</w:t>
      </w:r>
      <w:r>
        <w:rPr>
          <w:color w:val="auto"/>
          <w:sz w:val="24"/>
          <w:szCs w:val="24"/>
        </w:rPr>
        <w:tab/>
      </w:r>
      <w:r>
        <w:rPr>
          <w:color w:val="auto"/>
          <w:sz w:val="24"/>
          <w:szCs w:val="24"/>
        </w:rPr>
        <w:fldChar w:fldCharType="begin"/>
      </w:r>
      <w:r>
        <w:rPr>
          <w:color w:val="auto"/>
          <w:sz w:val="24"/>
          <w:szCs w:val="24"/>
        </w:rPr>
        <w:instrText xml:space="preserve"> PAGEREF _Toc27183 \h </w:instrText>
      </w:r>
      <w:r>
        <w:rPr>
          <w:color w:val="auto"/>
          <w:sz w:val="24"/>
          <w:szCs w:val="24"/>
        </w:rPr>
        <w:fldChar w:fldCharType="separate"/>
      </w:r>
      <w:r>
        <w:rPr>
          <w:color w:val="auto"/>
          <w:sz w:val="24"/>
          <w:szCs w:val="24"/>
        </w:rPr>
        <w:t>176</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_Toc31415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8.2环境监测</w:t>
      </w:r>
      <w:r>
        <w:rPr>
          <w:color w:val="auto"/>
          <w:sz w:val="24"/>
          <w:szCs w:val="24"/>
        </w:rPr>
        <w:tab/>
      </w:r>
      <w:r>
        <w:rPr>
          <w:color w:val="auto"/>
          <w:sz w:val="24"/>
          <w:szCs w:val="24"/>
        </w:rPr>
        <w:fldChar w:fldCharType="begin"/>
      </w:r>
      <w:r>
        <w:rPr>
          <w:color w:val="auto"/>
          <w:sz w:val="24"/>
          <w:szCs w:val="24"/>
        </w:rPr>
        <w:instrText xml:space="preserve"> PAGEREF _Toc31415 \h </w:instrText>
      </w:r>
      <w:r>
        <w:rPr>
          <w:color w:val="auto"/>
          <w:sz w:val="24"/>
          <w:szCs w:val="24"/>
        </w:rPr>
        <w:fldChar w:fldCharType="separate"/>
      </w:r>
      <w:r>
        <w:rPr>
          <w:color w:val="auto"/>
          <w:sz w:val="24"/>
          <w:szCs w:val="24"/>
        </w:rPr>
        <w:t>177</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_Toc11477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highlight w:val="none"/>
        </w:rPr>
        <w:t>8.3排污口规范化管理</w:t>
      </w:r>
      <w:r>
        <w:rPr>
          <w:color w:val="auto"/>
          <w:sz w:val="24"/>
          <w:szCs w:val="24"/>
        </w:rPr>
        <w:tab/>
      </w:r>
      <w:r>
        <w:rPr>
          <w:color w:val="auto"/>
          <w:sz w:val="24"/>
          <w:szCs w:val="24"/>
        </w:rPr>
        <w:fldChar w:fldCharType="begin"/>
      </w:r>
      <w:r>
        <w:rPr>
          <w:color w:val="auto"/>
          <w:sz w:val="24"/>
          <w:szCs w:val="24"/>
        </w:rPr>
        <w:instrText xml:space="preserve"> PAGEREF _Toc11477 \h </w:instrText>
      </w:r>
      <w:r>
        <w:rPr>
          <w:color w:val="auto"/>
          <w:sz w:val="24"/>
          <w:szCs w:val="24"/>
        </w:rPr>
        <w:fldChar w:fldCharType="separate"/>
      </w:r>
      <w:r>
        <w:rPr>
          <w:color w:val="auto"/>
          <w:sz w:val="24"/>
          <w:szCs w:val="24"/>
        </w:rPr>
        <w:t>179</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_Toc11911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8.4竣工环保验收</w:t>
      </w:r>
      <w:r>
        <w:rPr>
          <w:color w:val="auto"/>
          <w:sz w:val="24"/>
          <w:szCs w:val="24"/>
        </w:rPr>
        <w:tab/>
      </w:r>
      <w:r>
        <w:rPr>
          <w:color w:val="auto"/>
          <w:sz w:val="24"/>
          <w:szCs w:val="24"/>
        </w:rPr>
        <w:fldChar w:fldCharType="begin"/>
      </w:r>
      <w:r>
        <w:rPr>
          <w:color w:val="auto"/>
          <w:sz w:val="24"/>
          <w:szCs w:val="24"/>
        </w:rPr>
        <w:instrText xml:space="preserve"> PAGEREF _Toc11911 \h </w:instrText>
      </w:r>
      <w:r>
        <w:rPr>
          <w:color w:val="auto"/>
          <w:sz w:val="24"/>
          <w:szCs w:val="24"/>
        </w:rPr>
        <w:fldChar w:fldCharType="separate"/>
      </w:r>
      <w:r>
        <w:rPr>
          <w:color w:val="auto"/>
          <w:sz w:val="24"/>
          <w:szCs w:val="24"/>
        </w:rPr>
        <w:t>180</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63"/>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_Toc22463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9结论与建议</w:t>
      </w:r>
      <w:r>
        <w:rPr>
          <w:color w:val="auto"/>
          <w:sz w:val="24"/>
          <w:szCs w:val="24"/>
        </w:rPr>
        <w:tab/>
      </w:r>
      <w:r>
        <w:rPr>
          <w:color w:val="auto"/>
          <w:sz w:val="24"/>
          <w:szCs w:val="24"/>
        </w:rPr>
        <w:fldChar w:fldCharType="begin"/>
      </w:r>
      <w:r>
        <w:rPr>
          <w:color w:val="auto"/>
          <w:sz w:val="24"/>
          <w:szCs w:val="24"/>
        </w:rPr>
        <w:instrText xml:space="preserve"> PAGEREF _Toc22463 \h </w:instrText>
      </w:r>
      <w:r>
        <w:rPr>
          <w:color w:val="auto"/>
          <w:sz w:val="24"/>
          <w:szCs w:val="24"/>
        </w:rPr>
        <w:fldChar w:fldCharType="separate"/>
      </w:r>
      <w:r>
        <w:rPr>
          <w:color w:val="auto"/>
          <w:sz w:val="24"/>
          <w:szCs w:val="24"/>
        </w:rPr>
        <w:t>184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_Toc11738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9.1结论</w:t>
      </w:r>
      <w:r>
        <w:rPr>
          <w:color w:val="auto"/>
          <w:sz w:val="24"/>
          <w:szCs w:val="24"/>
        </w:rPr>
        <w:tab/>
      </w:r>
      <w:r>
        <w:rPr>
          <w:color w:val="auto"/>
          <w:sz w:val="24"/>
          <w:szCs w:val="24"/>
        </w:rPr>
        <w:fldChar w:fldCharType="begin"/>
      </w:r>
      <w:r>
        <w:rPr>
          <w:color w:val="auto"/>
          <w:sz w:val="24"/>
          <w:szCs w:val="24"/>
        </w:rPr>
        <w:instrText xml:space="preserve"> PAGEREF _Toc11738 \h </w:instrText>
      </w:r>
      <w:r>
        <w:rPr>
          <w:color w:val="auto"/>
          <w:sz w:val="24"/>
          <w:szCs w:val="24"/>
        </w:rPr>
        <w:fldChar w:fldCharType="separate"/>
      </w:r>
      <w:r>
        <w:rPr>
          <w:color w:val="auto"/>
          <w:sz w:val="24"/>
          <w:szCs w:val="24"/>
        </w:rPr>
        <w:t>184</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78"/>
        <w:tabs>
          <w:tab w:val="right" w:leader="dot" w:pos="8313"/>
        </w:tabs>
        <w:rPr>
          <w:color w:val="auto"/>
          <w:sz w:val="24"/>
          <w:szCs w:val="24"/>
        </w:rPr>
      </w:pPr>
      <w:r>
        <w:rPr>
          <w:rFonts w:hint="default" w:ascii="Times New Roman" w:hAnsi="Times New Roman" w:eastAsia="宋体" w:cs="Times New Roman"/>
          <w:color w:val="auto"/>
          <w:sz w:val="24"/>
          <w:szCs w:val="72"/>
          <w:highlight w:val="none"/>
        </w:rPr>
        <w:fldChar w:fldCharType="begin"/>
      </w:r>
      <w:r>
        <w:rPr>
          <w:rFonts w:hint="default" w:ascii="Times New Roman" w:hAnsi="Times New Roman" w:eastAsia="宋体" w:cs="Times New Roman"/>
          <w:color w:val="auto"/>
          <w:sz w:val="24"/>
          <w:szCs w:val="72"/>
          <w:highlight w:val="none"/>
        </w:rPr>
        <w:instrText xml:space="preserve"> HYPERLINK \l _Toc24628 </w:instrText>
      </w:r>
      <w:r>
        <w:rPr>
          <w:rFonts w:hint="default" w:ascii="Times New Roman" w:hAnsi="Times New Roman" w:eastAsia="宋体" w:cs="Times New Roman"/>
          <w:color w:val="auto"/>
          <w:sz w:val="24"/>
          <w:szCs w:val="72"/>
          <w:highlight w:val="none"/>
        </w:rPr>
        <w:fldChar w:fldCharType="separate"/>
      </w:r>
      <w:r>
        <w:rPr>
          <w:rFonts w:hint="default" w:ascii="Times New Roman" w:hAnsi="Times New Roman" w:eastAsia="宋体" w:cs="Times New Roman"/>
          <w:color w:val="auto"/>
          <w:sz w:val="24"/>
          <w:szCs w:val="24"/>
        </w:rPr>
        <w:t>9.2建议</w:t>
      </w:r>
      <w:r>
        <w:rPr>
          <w:color w:val="auto"/>
          <w:sz w:val="24"/>
          <w:szCs w:val="24"/>
        </w:rPr>
        <w:tab/>
      </w:r>
      <w:r>
        <w:rPr>
          <w:color w:val="auto"/>
          <w:sz w:val="24"/>
          <w:szCs w:val="24"/>
        </w:rPr>
        <w:fldChar w:fldCharType="begin"/>
      </w:r>
      <w:r>
        <w:rPr>
          <w:color w:val="auto"/>
          <w:sz w:val="24"/>
          <w:szCs w:val="24"/>
        </w:rPr>
        <w:instrText xml:space="preserve"> PAGEREF _Toc24628 \h </w:instrText>
      </w:r>
      <w:r>
        <w:rPr>
          <w:color w:val="auto"/>
          <w:sz w:val="24"/>
          <w:szCs w:val="24"/>
        </w:rPr>
        <w:fldChar w:fldCharType="separate"/>
      </w:r>
      <w:r>
        <w:rPr>
          <w:color w:val="auto"/>
          <w:sz w:val="24"/>
          <w:szCs w:val="24"/>
        </w:rPr>
        <w:t>189</w:t>
      </w:r>
      <w:r>
        <w:rPr>
          <w:color w:val="auto"/>
          <w:sz w:val="24"/>
          <w:szCs w:val="24"/>
        </w:rPr>
        <w:fldChar w:fldCharType="end"/>
      </w:r>
      <w:r>
        <w:rPr>
          <w:rFonts w:hint="default" w:ascii="Times New Roman" w:hAnsi="Times New Roman" w:eastAsia="宋体" w:cs="Times New Roman"/>
          <w:color w:val="auto"/>
          <w:sz w:val="24"/>
          <w:szCs w:val="72"/>
          <w:highlight w:val="none"/>
        </w:rPr>
        <w:fldChar w:fldCharType="end"/>
      </w:r>
    </w:p>
    <w:p>
      <w:pPr>
        <w:pStyle w:val="4"/>
        <w:keepNext w:val="0"/>
        <w:pageBreakBefore/>
        <w:shd w:val="clear"/>
        <w:tabs>
          <w:tab w:val="right" w:leader="dot" w:pos="8303"/>
        </w:tabs>
        <w:spacing w:before="120" w:after="120"/>
        <w:ind w:left="0" w:leftChars="0" w:firstLine="0" w:firstLineChars="0"/>
        <w:jc w:val="both"/>
        <w:rPr>
          <w:rStyle w:val="103"/>
          <w:rFonts w:hint="default" w:ascii="Times New Roman" w:hAnsi="Times New Roman" w:eastAsia="宋体" w:cs="Times New Roman"/>
          <w:b/>
          <w:bCs/>
          <w:color w:val="auto"/>
        </w:rPr>
      </w:pPr>
      <w:r>
        <w:rPr>
          <w:rFonts w:hint="default" w:ascii="Times New Roman" w:hAnsi="Times New Roman" w:eastAsia="宋体" w:cs="Times New Roman"/>
          <w:color w:val="auto"/>
          <w:sz w:val="48"/>
          <w:szCs w:val="72"/>
          <w:highlight w:val="none"/>
        </w:rPr>
        <w:fldChar w:fldCharType="end"/>
      </w:r>
      <w:bookmarkEnd w:id="0"/>
      <w:bookmarkEnd w:id="1"/>
      <w:bookmarkEnd w:id="2"/>
      <w:bookmarkStart w:id="3" w:name="_Toc21956"/>
      <w:r>
        <w:rPr>
          <w:rStyle w:val="103"/>
          <w:rFonts w:hint="default" w:ascii="Times New Roman" w:hAnsi="Times New Roman" w:eastAsia="宋体" w:cs="Times New Roman"/>
          <w:b/>
          <w:bCs/>
          <w:color w:val="auto"/>
        </w:rPr>
        <w:t>1概述</w:t>
      </w:r>
      <w:bookmarkEnd w:id="3"/>
    </w:p>
    <w:p>
      <w:pPr>
        <w:pStyle w:val="5"/>
        <w:bidi w:val="0"/>
        <w:rPr>
          <w:rFonts w:hint="default" w:ascii="Times New Roman" w:hAnsi="Times New Roman" w:eastAsia="宋体" w:cs="Times New Roman"/>
          <w:color w:val="auto"/>
        </w:rPr>
      </w:pPr>
      <w:bookmarkStart w:id="4" w:name="_Toc16929"/>
      <w:r>
        <w:rPr>
          <w:rFonts w:hint="default" w:ascii="Times New Roman" w:hAnsi="Times New Roman" w:eastAsia="宋体" w:cs="Times New Roman"/>
          <w:color w:val="auto"/>
        </w:rPr>
        <w:t>1.1 建设项目的由来</w:t>
      </w:r>
      <w:bookmarkEnd w:id="4"/>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塑料因具有较好的透明性和耐磨性，且化学性质稳定、耐冲击能力强、质量轻、绝缘性好、强度高、不会腐蚀，所以在生产、生活中得到了广泛的应用，给人类带来巨大好处，同时也留下无穷的后患——白色污染。我国塑料制品产量、用量居全球第一，人均年消费塑料三公斤左右（发达国家人均年消费八公斤），白色污染程度居全球第四，废弃塑料造成的白色污染越来越严重，并使生态环境遭受严重破坏。</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旧塑料仍具有良好的综合材料性能，可满足吹膜、拉丝、拉管、注塑、挤出型材等技术要求，大量应用于塑料制品的生产。废旧塑料的再生利用分为直接再生利用和改性再生利用，直接再生利用是将回收的废旧塑料经过分类、清洗、破碎、造粒后直接加工成型，其工艺比较简单；改性再生塑料是指将再生塑料通过物理或化学方法改性（如复合、增强、接枝）后，再加工成型，工艺较复杂，需特定的机械设备，再生性能好。废旧塑料的再生利用技术已经广泛应用于农业、渔业、建筑业、工业和日用品等领域。</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将废旧滴灌带、废旧大棚膜等废旧塑料加工成颗粒和塑料产品，不仅可以有效地减少“白色污染”，而且能够变废为宝，节能能源，保护环境。塑料的重新回收再循环利用已成为塑料工业今后发展的重点和热点，其社会意义和经济效益不言而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基于上述背景，</w:t>
      </w:r>
      <w:r>
        <w:rPr>
          <w:rFonts w:hint="default" w:ascii="Times New Roman" w:hAnsi="Times New Roman" w:eastAsia="宋体" w:cs="Times New Roman"/>
          <w:color w:val="auto"/>
          <w:sz w:val="24"/>
          <w:highlight w:val="none"/>
          <w:lang w:eastAsia="zh-CN"/>
        </w:rPr>
        <w:t>内蒙古华伟泽农业有限公司</w:t>
      </w:r>
      <w:r>
        <w:rPr>
          <w:rFonts w:hint="default" w:ascii="Times New Roman" w:hAnsi="Times New Roman" w:eastAsia="宋体" w:cs="Times New Roman"/>
          <w:color w:val="auto"/>
          <w:sz w:val="24"/>
          <w:highlight w:val="none"/>
        </w:rPr>
        <w:t>决定投资</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0万元</w:t>
      </w:r>
      <w:r>
        <w:rPr>
          <w:rFonts w:hint="default" w:ascii="Times New Roman" w:hAnsi="Times New Roman" w:eastAsia="宋体" w:cs="Times New Roman"/>
          <w:color w:val="auto"/>
          <w:sz w:val="24"/>
          <w:highlight w:val="none"/>
          <w:lang w:val="en-US" w:eastAsia="zh-CN"/>
        </w:rPr>
        <w:t>在乌拉特前旗额尔登布拉格苏木旧乡政府院内</w:t>
      </w:r>
      <w:r>
        <w:rPr>
          <w:rFonts w:hint="default" w:ascii="Times New Roman" w:hAnsi="Times New Roman" w:eastAsia="宋体" w:cs="Times New Roman"/>
          <w:color w:val="auto"/>
          <w:sz w:val="24"/>
          <w:highlight w:val="none"/>
        </w:rPr>
        <w:t>建设</w:t>
      </w:r>
      <w:r>
        <w:rPr>
          <w:rFonts w:hint="default" w:ascii="Times New Roman" w:hAnsi="Times New Roman" w:eastAsia="宋体" w:cs="Times New Roman"/>
          <w:color w:val="auto"/>
          <w:sz w:val="24"/>
          <w:highlight w:val="none"/>
          <w:lang w:eastAsia="zh-CN"/>
        </w:rPr>
        <w:t>“内蒙古华伟泽农业有限公司高新滴灌带（管）、PE管材管件、地膜、再生资源回收利用建设项目”。</w:t>
      </w:r>
      <w:r>
        <w:rPr>
          <w:rFonts w:hint="default" w:ascii="Times New Roman" w:hAnsi="Times New Roman" w:eastAsia="宋体" w:cs="Times New Roman"/>
          <w:color w:val="auto"/>
          <w:sz w:val="24"/>
          <w:highlight w:val="none"/>
        </w:rPr>
        <w:t>项目建设2条再生塑料颗粒生产线，</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条滴灌带生产线</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4条PE管材管件生产线和2条地膜生产线，</w:t>
      </w:r>
      <w:r>
        <w:rPr>
          <w:rFonts w:hint="default" w:ascii="Times New Roman" w:hAnsi="Times New Roman" w:eastAsia="宋体" w:cs="Times New Roman"/>
          <w:color w:val="auto"/>
          <w:sz w:val="24"/>
          <w:highlight w:val="none"/>
        </w:rPr>
        <w:t>项目建成后，</w:t>
      </w:r>
      <w:r>
        <w:rPr>
          <w:rFonts w:hint="default" w:ascii="Times New Roman" w:hAnsi="Times New Roman" w:eastAsia="宋体" w:cs="Times New Roman"/>
          <w:color w:val="auto"/>
          <w:sz w:val="24"/>
          <w:highlight w:val="none"/>
          <w:lang w:val="en-US" w:eastAsia="zh-CN"/>
        </w:rPr>
        <w:t>年生</w:t>
      </w:r>
      <w:r>
        <w:rPr>
          <w:rFonts w:hint="default" w:ascii="Times New Roman" w:hAnsi="Times New Roman" w:eastAsia="宋体" w:cs="Times New Roman"/>
          <w:color w:val="auto"/>
          <w:sz w:val="24"/>
          <w:highlight w:val="none"/>
        </w:rPr>
        <w:t>产滴灌带</w:t>
      </w:r>
      <w:r>
        <w:rPr>
          <w:rFonts w:hint="default" w:ascii="Times New Roman" w:hAnsi="Times New Roman" w:eastAsia="宋体" w:cs="Times New Roman"/>
          <w:color w:val="auto"/>
          <w:sz w:val="24"/>
          <w:highlight w:val="none"/>
          <w:lang w:val="en-US" w:eastAsia="zh-CN"/>
        </w:rPr>
        <w:t>5000</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年生</w:t>
      </w:r>
      <w:r>
        <w:rPr>
          <w:rFonts w:hint="default" w:ascii="Times New Roman" w:hAnsi="Times New Roman" w:eastAsia="宋体" w:cs="Times New Roman"/>
          <w:color w:val="auto"/>
          <w:sz w:val="24"/>
          <w:highlight w:val="none"/>
        </w:rPr>
        <w:t>产</w:t>
      </w:r>
      <w:r>
        <w:rPr>
          <w:rFonts w:hint="default" w:ascii="Times New Roman" w:hAnsi="Times New Roman" w:eastAsia="宋体" w:cs="Times New Roman"/>
          <w:color w:val="auto"/>
          <w:sz w:val="24"/>
          <w:highlight w:val="none"/>
          <w:lang w:val="en-US" w:eastAsia="zh-CN"/>
        </w:rPr>
        <w:t>地膜2000t，年生</w:t>
      </w:r>
      <w:r>
        <w:rPr>
          <w:rFonts w:hint="default" w:ascii="Times New Roman" w:hAnsi="Times New Roman" w:eastAsia="宋体" w:cs="Times New Roman"/>
          <w:color w:val="auto"/>
          <w:sz w:val="24"/>
          <w:highlight w:val="none"/>
        </w:rPr>
        <w:t>产</w:t>
      </w:r>
      <w:r>
        <w:rPr>
          <w:rFonts w:hint="default" w:ascii="Times New Roman" w:hAnsi="Times New Roman" w:eastAsia="宋体" w:cs="Times New Roman"/>
          <w:color w:val="auto"/>
          <w:sz w:val="24"/>
          <w:highlight w:val="none"/>
          <w:lang w:val="en-US" w:eastAsia="zh-CN"/>
        </w:rPr>
        <w:t>PE管材管件2000t</w:t>
      </w:r>
      <w:r>
        <w:rPr>
          <w:rFonts w:hint="default" w:ascii="Times New Roman" w:hAnsi="Times New Roman" w:eastAsia="宋体" w:cs="Times New Roman"/>
          <w:color w:val="auto"/>
          <w:sz w:val="24"/>
          <w:highlight w:val="none"/>
        </w:rPr>
        <w:t>。</w:t>
      </w:r>
    </w:p>
    <w:p>
      <w:pPr>
        <w:pStyle w:val="5"/>
        <w:shd w:val="clear"/>
        <w:spacing w:before="60" w:after="60"/>
        <w:rPr>
          <w:rFonts w:hint="default" w:ascii="Times New Roman" w:hAnsi="Times New Roman" w:eastAsia="宋体" w:cs="Times New Roman"/>
          <w:color w:val="auto"/>
          <w:highlight w:val="none"/>
        </w:rPr>
      </w:pPr>
      <w:bookmarkStart w:id="5" w:name="_Toc20600"/>
      <w:r>
        <w:rPr>
          <w:rFonts w:hint="default" w:ascii="Times New Roman" w:hAnsi="Times New Roman" w:eastAsia="宋体" w:cs="Times New Roman"/>
          <w:color w:val="auto"/>
          <w:highlight w:val="none"/>
        </w:rPr>
        <w:t>1.2 项目建设的特点</w:t>
      </w:r>
      <w:bookmarkEnd w:id="5"/>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（1）项目为新建项目；</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（2）项目生产工艺较简单，以热熔性可再生塑料（全部为回收棚膜及滴灌带）为原料，熔融再生</w:t>
      </w:r>
      <w:r>
        <w:rPr>
          <w:rFonts w:hint="default" w:ascii="Times New Roman" w:hAnsi="Times New Roman" w:eastAsia="宋体" w:cs="Times New Roman"/>
          <w:color w:val="auto"/>
          <w:sz w:val="24"/>
          <w:highlight w:val="none"/>
          <w:lang w:eastAsia="zh-CN"/>
        </w:rPr>
        <w:t>制得再生塑料颗粒，</w:t>
      </w:r>
      <w:r>
        <w:rPr>
          <w:rFonts w:hint="default" w:ascii="Times New Roman" w:hAnsi="Times New Roman" w:eastAsia="宋体" w:cs="Times New Roman"/>
          <w:color w:val="auto"/>
          <w:sz w:val="24"/>
          <w:highlight w:val="none"/>
        </w:rPr>
        <w:t>重新加热塑化</w:t>
      </w:r>
      <w:r>
        <w:rPr>
          <w:rFonts w:hint="default" w:ascii="Times New Roman" w:hAnsi="Times New Roman" w:eastAsia="宋体" w:cs="Times New Roman"/>
          <w:color w:val="auto"/>
          <w:sz w:val="24"/>
          <w:highlight w:val="none"/>
          <w:lang w:val="en-US" w:eastAsia="zh-CN"/>
        </w:rPr>
        <w:t>生产</w:t>
      </w:r>
      <w:r>
        <w:rPr>
          <w:rFonts w:hint="default" w:ascii="Times New Roman" w:hAnsi="Times New Roman" w:eastAsia="宋体" w:cs="Times New Roman"/>
          <w:color w:val="auto"/>
          <w:sz w:val="24"/>
          <w:highlight w:val="none"/>
        </w:rPr>
        <w:t>滴灌带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地膜、PE管材管件</w:t>
      </w:r>
      <w:r>
        <w:rPr>
          <w:rFonts w:hint="default" w:ascii="Times New Roman" w:hAnsi="Times New Roman" w:eastAsia="宋体" w:cs="Times New Roman"/>
          <w:color w:val="auto"/>
          <w:sz w:val="24"/>
          <w:highlight w:val="none"/>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（3）项目所产生的污染物主要为废气及固废。</w:t>
      </w:r>
    </w:p>
    <w:p>
      <w:pPr>
        <w:pStyle w:val="5"/>
        <w:shd w:val="clear"/>
        <w:spacing w:before="60" w:after="60"/>
        <w:rPr>
          <w:rFonts w:hint="default" w:ascii="Times New Roman" w:hAnsi="Times New Roman" w:eastAsia="宋体" w:cs="Times New Roman"/>
          <w:color w:val="auto"/>
          <w:highlight w:val="none"/>
        </w:rPr>
      </w:pPr>
      <w:bookmarkStart w:id="6" w:name="_Toc15453"/>
      <w:r>
        <w:rPr>
          <w:rFonts w:hint="default" w:ascii="Times New Roman" w:hAnsi="Times New Roman" w:eastAsia="宋体" w:cs="Times New Roman"/>
          <w:color w:val="auto"/>
          <w:highlight w:val="none"/>
        </w:rPr>
        <w:t>1.3环境影响评价的工作过程</w:t>
      </w:r>
      <w:bookmarkEnd w:id="6"/>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结合项目建设内容，根据《中华人民共和国环境保护法》、《中华人民共和国环境影响评价法》和《建设项目环境保护管理条例》以及《建设项目环境影响评价分类管理名录》的有关规定，本项目属于“</w:t>
      </w:r>
      <w:r>
        <w:rPr>
          <w:rFonts w:hint="default" w:ascii="Times New Roman" w:hAnsi="Times New Roman" w:eastAsia="宋体" w:cs="Times New Roman"/>
          <w:color w:val="auto"/>
          <w:kern w:val="0"/>
          <w:sz w:val="24"/>
          <w:highlight w:val="none"/>
          <w:lang w:val="en-US" w:eastAsia="zh-CN"/>
        </w:rPr>
        <w:t>二十六</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橡胶和塑料制品业</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中“53塑料制品业--以再生塑料为原料生产的”</w:t>
      </w:r>
      <w:r>
        <w:rPr>
          <w:rFonts w:hint="default" w:ascii="Times New Roman" w:hAnsi="Times New Roman" w:eastAsia="宋体" w:cs="Times New Roman"/>
          <w:color w:val="auto"/>
          <w:kern w:val="0"/>
          <w:sz w:val="24"/>
          <w:highlight w:val="none"/>
        </w:rPr>
        <w:t>，应编制环境影响报告书，为此，</w:t>
      </w:r>
      <w:r>
        <w:rPr>
          <w:rFonts w:hint="default" w:ascii="Times New Roman" w:hAnsi="Times New Roman" w:eastAsia="宋体" w:cs="Times New Roman"/>
          <w:color w:val="auto"/>
          <w:sz w:val="24"/>
          <w:highlight w:val="none"/>
          <w:lang w:eastAsia="zh-CN"/>
        </w:rPr>
        <w:t>内蒙古华伟泽农业有限公司</w:t>
      </w:r>
      <w:r>
        <w:rPr>
          <w:rFonts w:hint="default" w:ascii="Times New Roman" w:hAnsi="Times New Roman" w:eastAsia="宋体" w:cs="Times New Roman"/>
          <w:color w:val="auto"/>
          <w:sz w:val="24"/>
          <w:highlight w:val="none"/>
        </w:rPr>
        <w:t>委托内蒙古蒙环环境工程有限公司承担该项目的环境影响评价工作。接受委托后，我公司组织项目工作组人员进行了现场踏勘，对建设项目周围的自然环境状况、污染源等进行了调查，确定了评价重点、评价级别和评价工作内容。</w:t>
      </w:r>
      <w:r>
        <w:rPr>
          <w:rFonts w:hint="default" w:ascii="Times New Roman" w:hAnsi="Times New Roman" w:eastAsia="宋体" w:cs="Times New Roman"/>
          <w:bCs/>
          <w:color w:val="auto"/>
          <w:kern w:val="0"/>
          <w:sz w:val="24"/>
          <w:highlight w:val="none"/>
        </w:rPr>
        <w:t>本项目的环境影响评价工作分为三个阶段，即前期准备、调研和工作方案阶段，分析论证和预测评价阶段，环境影响评价文件编制阶段。具体流程见图</w:t>
      </w:r>
      <w:r>
        <w:rPr>
          <w:rFonts w:hint="default" w:ascii="Times New Roman" w:hAnsi="Times New Roman" w:eastAsia="宋体" w:cs="Times New Roman"/>
          <w:bCs/>
          <w:color w:val="auto"/>
          <w:kern w:val="0"/>
          <w:sz w:val="24"/>
          <w:highlight w:val="none"/>
          <w:lang w:val="en-US" w:eastAsia="zh-CN"/>
        </w:rPr>
        <w:t>1.3-</w:t>
      </w:r>
      <w:r>
        <w:rPr>
          <w:rFonts w:hint="default" w:ascii="Times New Roman" w:hAnsi="Times New Roman" w:eastAsia="宋体" w:cs="Times New Roman"/>
          <w:bCs/>
          <w:color w:val="auto"/>
          <w:kern w:val="0"/>
          <w:sz w:val="24"/>
          <w:highlight w:val="none"/>
        </w:rPr>
        <w:t>1。</w:t>
      </w:r>
    </w:p>
    <w:p>
      <w:pPr>
        <w:shd w:val="clear"/>
        <w:jc w:val="center"/>
        <w:rPr>
          <w:rFonts w:hint="default" w:ascii="Times New Roman" w:hAnsi="Times New Roman" w:eastAsia="宋体" w:cs="Times New Roman"/>
          <w:color w:val="auto"/>
          <w:kern w:val="0"/>
          <w:sz w:val="24"/>
          <w:highlight w:val="none"/>
        </w:rPr>
      </w:pPr>
      <w:bookmarkStart w:id="7" w:name="_Toc327383041"/>
      <w:bookmarkStart w:id="8" w:name="_Toc243119280"/>
      <w:r>
        <w:rPr>
          <w:rFonts w:hint="default" w:ascii="Times New Roman" w:hAnsi="Times New Roman" w:eastAsia="宋体" w:cs="Times New Roman"/>
          <w:color w:val="auto"/>
          <w:highlight w:val="none"/>
        </w:rPr>
        <w:drawing>
          <wp:inline distT="0" distB="0" distL="0" distR="0">
            <wp:extent cx="5255895" cy="4947285"/>
            <wp:effectExtent l="0" t="0" r="1905" b="571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55895" cy="4947285"/>
                    </a:xfrm>
                    <a:prstGeom prst="rect">
                      <a:avLst/>
                    </a:prstGeom>
                    <a:noFill/>
                    <a:ln>
                      <a:noFill/>
                    </a:ln>
                  </pic:spPr>
                </pic:pic>
              </a:graphicData>
            </a:graphic>
          </wp:inline>
        </w:drawing>
      </w:r>
    </w:p>
    <w:p>
      <w:pPr>
        <w:shd w:val="clear"/>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图1</w:t>
      </w:r>
      <w:r>
        <w:rPr>
          <w:rFonts w:hint="default" w:ascii="Times New Roman" w:hAnsi="Times New Roman" w:eastAsia="宋体" w:cs="Times New Roman"/>
          <w:b/>
          <w:bCs/>
          <w:color w:val="auto"/>
          <w:kern w:val="0"/>
          <w:sz w:val="24"/>
          <w:highlight w:val="none"/>
          <w:lang w:val="en-US" w:eastAsia="zh-CN"/>
        </w:rPr>
        <w:t>.3-1</w:t>
      </w:r>
      <w:r>
        <w:rPr>
          <w:rFonts w:hint="default" w:ascii="Times New Roman" w:hAnsi="Times New Roman" w:eastAsia="宋体" w:cs="Times New Roman"/>
          <w:b/>
          <w:bCs/>
          <w:color w:val="auto"/>
          <w:kern w:val="0"/>
          <w:sz w:val="24"/>
          <w:highlight w:val="none"/>
        </w:rPr>
        <w:t xml:space="preserve"> 建设项目环境影响评价工作程序图</w:t>
      </w:r>
    </w:p>
    <w:p>
      <w:pPr>
        <w:pStyle w:val="5"/>
        <w:shd w:val="clear"/>
        <w:spacing w:before="60" w:after="60"/>
        <w:rPr>
          <w:rFonts w:hint="default" w:ascii="Times New Roman" w:hAnsi="Times New Roman" w:eastAsia="宋体" w:cs="Times New Roman"/>
          <w:color w:val="auto"/>
          <w:highlight w:val="none"/>
        </w:rPr>
      </w:pPr>
      <w:bookmarkStart w:id="9" w:name="_Toc28411"/>
      <w:r>
        <w:rPr>
          <w:rFonts w:hint="default" w:ascii="Times New Roman" w:hAnsi="Times New Roman" w:eastAsia="宋体" w:cs="Times New Roman"/>
          <w:color w:val="auto"/>
          <w:highlight w:val="none"/>
        </w:rPr>
        <w:t>1.4 分析判定相关情况</w:t>
      </w:r>
      <w:bookmarkEnd w:id="9"/>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val="en-US" w:eastAsia="zh-CN"/>
        </w:rPr>
        <w:t>1</w:t>
      </w:r>
      <w:r>
        <w:rPr>
          <w:rFonts w:hint="default" w:ascii="Times New Roman" w:hAnsi="Times New Roman" w:eastAsia="宋体" w:cs="Times New Roman"/>
          <w:bCs/>
          <w:color w:val="auto"/>
          <w:kern w:val="0"/>
          <w:sz w:val="24"/>
          <w:highlight w:val="none"/>
          <w:lang w:eastAsia="zh-CN"/>
        </w:rPr>
        <w:t>）产业政策符合性分析</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本</w:t>
      </w:r>
      <w:r>
        <w:rPr>
          <w:rFonts w:hint="default" w:ascii="Times New Roman" w:hAnsi="Times New Roman" w:eastAsia="宋体" w:cs="Times New Roman"/>
          <w:bCs/>
          <w:color w:val="auto"/>
          <w:kern w:val="0"/>
          <w:sz w:val="24"/>
          <w:highlight w:val="none"/>
        </w:rPr>
        <w:t>项目</w:t>
      </w:r>
      <w:r>
        <w:rPr>
          <w:rFonts w:hint="default" w:ascii="Times New Roman" w:hAnsi="Times New Roman" w:eastAsia="宋体" w:cs="Times New Roman"/>
          <w:bCs/>
          <w:color w:val="auto"/>
          <w:kern w:val="0"/>
          <w:sz w:val="24"/>
          <w:highlight w:val="none"/>
          <w:lang w:val="en-US" w:eastAsia="zh-CN"/>
        </w:rPr>
        <w:t>利用废旧塑料生产可再生塑料颗粒，进一步生产</w:t>
      </w:r>
      <w:r>
        <w:rPr>
          <w:rFonts w:hint="default" w:ascii="Times New Roman" w:hAnsi="Times New Roman" w:eastAsia="宋体" w:cs="Times New Roman"/>
          <w:color w:val="auto"/>
          <w:sz w:val="24"/>
          <w:highlight w:val="none"/>
        </w:rPr>
        <w:t>滴灌带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地膜、PE管材管件</w:t>
      </w:r>
      <w:r>
        <w:rPr>
          <w:rFonts w:hint="default" w:ascii="Times New Roman" w:hAnsi="Times New Roman" w:eastAsia="宋体" w:cs="Times New Roman"/>
          <w:bCs/>
          <w:color w:val="auto"/>
          <w:kern w:val="0"/>
          <w:sz w:val="24"/>
          <w:highlight w:val="none"/>
          <w:lang w:val="en-US" w:eastAsia="zh-CN"/>
        </w:rPr>
        <w:t>。</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Cs/>
          <w:color w:val="auto"/>
          <w:kern w:val="0"/>
          <w:sz w:val="24"/>
          <w:highlight w:val="none"/>
          <w:lang w:val="en-US" w:eastAsia="zh-CN"/>
        </w:rPr>
        <w:t>利用废旧塑料生产可再生塑料颗粒</w:t>
      </w:r>
      <w:r>
        <w:rPr>
          <w:rFonts w:hint="default" w:ascii="Times New Roman" w:hAnsi="Times New Roman" w:eastAsia="宋体" w:cs="Times New Roman"/>
          <w:bCs/>
          <w:color w:val="auto"/>
          <w:kern w:val="0"/>
          <w:sz w:val="24"/>
          <w:highlight w:val="none"/>
        </w:rPr>
        <w:t>属于废塑料资源化回收利用，符合中华人民共和国国家发展和改革委员会《产业结构调整指导目录（2019年本）中第一类鼓励类：“四十三、环境保护与资源节约综合利用</w:t>
      </w:r>
      <w:r>
        <w:rPr>
          <w:rFonts w:hint="default" w:ascii="Times New Roman" w:hAnsi="Times New Roman" w:eastAsia="宋体" w:cs="Times New Roman"/>
          <w:bCs/>
          <w:color w:val="auto"/>
          <w:kern w:val="0"/>
          <w:sz w:val="24"/>
          <w:highlight w:val="none"/>
          <w:lang w:val="en-US" w:eastAsia="zh-CN"/>
        </w:rPr>
        <w:t>--</w:t>
      </w:r>
      <w:r>
        <w:rPr>
          <w:rFonts w:hint="default" w:ascii="Times New Roman" w:hAnsi="Times New Roman" w:eastAsia="宋体" w:cs="Times New Roman"/>
          <w:bCs/>
          <w:color w:val="auto"/>
          <w:kern w:val="0"/>
          <w:sz w:val="24"/>
          <w:highlight w:val="none"/>
        </w:rPr>
        <w:t>27、废旧木材、废旧电器电子产品、废印刷电路板、废旧电池、废旧船舶、废旧农机、</w:t>
      </w:r>
      <w:r>
        <w:rPr>
          <w:rFonts w:hint="default" w:ascii="Times New Roman" w:hAnsi="Times New Roman" w:eastAsia="宋体" w:cs="Times New Roman"/>
          <w:b/>
          <w:bCs w:val="0"/>
          <w:color w:val="auto"/>
          <w:kern w:val="0"/>
          <w:sz w:val="24"/>
          <w:highlight w:val="none"/>
        </w:rPr>
        <w:t>废塑料、</w:t>
      </w:r>
      <w:r>
        <w:rPr>
          <w:rFonts w:hint="default" w:ascii="Times New Roman" w:hAnsi="Times New Roman" w:eastAsia="宋体" w:cs="Times New Roman"/>
          <w:bCs/>
          <w:color w:val="auto"/>
          <w:kern w:val="0"/>
          <w:sz w:val="24"/>
          <w:highlight w:val="none"/>
        </w:rPr>
        <w:t>废旧纺织品及纺织废料和边角料、废（碎）玻璃、废橡胶、废弃油脂等废旧物资等资源循环再利用技术、设备开发及应用”</w:t>
      </w:r>
      <w:r>
        <w:rPr>
          <w:rFonts w:hint="default" w:ascii="Times New Roman" w:hAnsi="Times New Roman" w:eastAsia="宋体" w:cs="Times New Roman"/>
          <w:bCs/>
          <w:color w:val="auto"/>
          <w:kern w:val="0"/>
          <w:sz w:val="24"/>
          <w:highlight w:val="none"/>
          <w:lang w:eastAsia="zh-CN"/>
        </w:rPr>
        <w:t>；生产</w:t>
      </w:r>
      <w:r>
        <w:rPr>
          <w:rFonts w:hint="default" w:ascii="Times New Roman" w:hAnsi="Times New Roman" w:eastAsia="宋体" w:cs="Times New Roman"/>
          <w:color w:val="auto"/>
          <w:sz w:val="24"/>
          <w:highlight w:val="none"/>
        </w:rPr>
        <w:t>滴灌带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地膜、PE管材管件</w:t>
      </w:r>
      <w:r>
        <w:rPr>
          <w:rFonts w:hint="default" w:ascii="Times New Roman" w:hAnsi="Times New Roman" w:eastAsia="宋体" w:cs="Times New Roman"/>
          <w:bCs/>
          <w:color w:val="auto"/>
          <w:kern w:val="0"/>
          <w:sz w:val="24"/>
          <w:highlight w:val="none"/>
          <w:lang w:eastAsia="zh-CN"/>
        </w:rPr>
        <w:t>属于塑料制品制造业，</w:t>
      </w:r>
      <w:r>
        <w:rPr>
          <w:rFonts w:hint="default" w:ascii="Times New Roman" w:hAnsi="Times New Roman" w:eastAsia="宋体" w:cs="Times New Roman"/>
          <w:b w:val="0"/>
          <w:bCs w:val="0"/>
          <w:color w:val="auto"/>
          <w:sz w:val="24"/>
          <w:szCs w:val="24"/>
          <w:vertAlign w:val="baseline"/>
          <w:lang w:eastAsia="zh-CN"/>
        </w:rPr>
        <w:t>不属于《产业结构调整指导目录（2019年本）》（国家发展和改革委员会令 第29号）中鼓励类、限制类、淘汰类，故本项目属于国家政策允许建设的项目。</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本项目已取得乌拉特前旗发展和改革委员会出具的《项目备案告知书》，项目代码：2020-150823-29-03-025414。</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 w:val="0"/>
          <w:bCs w:val="0"/>
          <w:color w:val="auto"/>
          <w:sz w:val="24"/>
          <w:szCs w:val="24"/>
          <w:vertAlign w:val="baseline"/>
          <w:lang w:eastAsia="zh-CN"/>
        </w:rPr>
        <w:t>综上，本项目的建设符合国家产业政策</w:t>
      </w:r>
      <w:r>
        <w:rPr>
          <w:rFonts w:hint="default" w:ascii="Times New Roman" w:hAnsi="Times New Roman" w:eastAsia="宋体" w:cs="Times New Roman"/>
          <w:bCs/>
          <w:color w:val="auto"/>
          <w:kern w:val="0"/>
          <w:sz w:val="24"/>
          <w:highlight w:val="none"/>
        </w:rPr>
        <w:t>。</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val="en-US" w:eastAsia="zh-CN"/>
        </w:rPr>
        <w:t>2</w:t>
      </w:r>
      <w:r>
        <w:rPr>
          <w:rFonts w:hint="default" w:ascii="Times New Roman" w:hAnsi="Times New Roman" w:eastAsia="宋体" w:cs="Times New Roman"/>
          <w:bCs/>
          <w:color w:val="auto"/>
          <w:kern w:val="0"/>
          <w:sz w:val="24"/>
          <w:highlight w:val="none"/>
          <w:lang w:eastAsia="zh-CN"/>
        </w:rPr>
        <w:t>）乌拉特前旗总体规划符合性分析</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根据《乌拉特前旗土地利用总体规划（2009-2020年）》</w:t>
      </w:r>
      <w:r>
        <w:rPr>
          <w:rFonts w:hint="default" w:ascii="Times New Roman" w:hAnsi="Times New Roman" w:eastAsia="宋体" w:cs="Times New Roman"/>
          <w:bCs/>
          <w:color w:val="auto"/>
          <w:kern w:val="0"/>
          <w:sz w:val="24"/>
          <w:highlight w:val="none"/>
          <w:lang w:val="en-US" w:eastAsia="zh-CN"/>
        </w:rPr>
        <w:t>，</w:t>
      </w:r>
      <w:r>
        <w:rPr>
          <w:rFonts w:hint="default" w:ascii="Times New Roman" w:hAnsi="Times New Roman" w:eastAsia="宋体" w:cs="Times New Roman"/>
          <w:bCs/>
          <w:color w:val="auto"/>
          <w:kern w:val="0"/>
          <w:sz w:val="24"/>
          <w:highlight w:val="none"/>
          <w:lang w:eastAsia="zh-CN"/>
        </w:rPr>
        <w:t>乌拉特前旗产业发展定位为“以西部大开发为背景，以沿黄河沿交通干线产业带发展为契机，瞄准产业未来发展方向，不断优化产业结构，逐步完善以农牧业为特色，构建以重化工业、矿山冶金业、生态旅游服务业为主，以农畜产品加工业、现代商贸物流业为辅的新型产业发展体系”。</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本项目回收当地农田内的废旧棚膜及滴灌带，通过熔融再生制得再生塑料颗粒，重新加热塑化，最终生产为滴灌带、地膜、PE管材管件，外售给当地农民，属于农业辅助产业，因此，本项目符合乌拉特前旗产业发展规划。</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本项目位于乌拉特前旗额尔登布拉格苏木旧乡政府院内，拟建厂区用地性质为建设用地，不占用耕地和基本农田等，因此，本项目符合乌拉特前旗土地利用总体规划。</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lang w:val="en-US" w:eastAsia="zh-CN"/>
        </w:rPr>
        <w:t>3</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highlight w:val="none"/>
          <w:lang w:eastAsia="zh-CN"/>
        </w:rPr>
        <w:t>项目选址符合性分析</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rPr>
        <w:t>本项目拟建于</w:t>
      </w:r>
      <w:r>
        <w:rPr>
          <w:rFonts w:hint="default" w:ascii="Times New Roman" w:hAnsi="Times New Roman" w:eastAsia="宋体" w:cs="Times New Roman"/>
          <w:bCs/>
          <w:color w:val="auto"/>
          <w:kern w:val="0"/>
          <w:sz w:val="24"/>
          <w:highlight w:val="none"/>
          <w:lang w:eastAsia="zh-CN"/>
        </w:rPr>
        <w:t>乌拉特前旗额尔登布拉格苏木旧乡政府院内</w:t>
      </w:r>
      <w:r>
        <w:rPr>
          <w:rFonts w:hint="default" w:ascii="Times New Roman" w:hAnsi="Times New Roman" w:eastAsia="宋体" w:cs="Times New Roman"/>
          <w:bCs/>
          <w:color w:val="auto"/>
          <w:kern w:val="0"/>
          <w:sz w:val="24"/>
          <w:highlight w:val="none"/>
        </w:rPr>
        <w:t>，</w:t>
      </w:r>
      <w:r>
        <w:rPr>
          <w:rFonts w:hint="default" w:ascii="Times New Roman" w:hAnsi="Times New Roman" w:eastAsia="宋体" w:cs="Times New Roman"/>
          <w:bCs/>
          <w:color w:val="auto"/>
          <w:kern w:val="0"/>
          <w:sz w:val="24"/>
          <w:highlight w:val="none"/>
          <w:lang w:eastAsia="zh-CN"/>
        </w:rPr>
        <w:t>项目建设符合乌拉特前旗总体规划。</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lang w:eastAsia="zh-CN"/>
        </w:rPr>
        <w:t>厂区</w:t>
      </w:r>
      <w:r>
        <w:rPr>
          <w:rFonts w:hint="default" w:ascii="Times New Roman" w:hAnsi="Times New Roman" w:eastAsia="宋体" w:cs="Times New Roman"/>
          <w:bCs/>
          <w:color w:val="auto"/>
          <w:kern w:val="0"/>
          <w:sz w:val="24"/>
          <w:highlight w:val="none"/>
        </w:rPr>
        <w:t>周边无饮用水源保护区、特殊和重要生态敏感区等，交通便利。</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highlight w:val="none"/>
        </w:rPr>
        <w:t>项目建成后，</w:t>
      </w:r>
      <w:r>
        <w:rPr>
          <w:rFonts w:hint="default" w:ascii="Times New Roman" w:hAnsi="Times New Roman" w:eastAsia="宋体" w:cs="Times New Roman"/>
          <w:color w:val="auto"/>
          <w:sz w:val="24"/>
          <w:highlight w:val="none"/>
          <w:lang w:eastAsia="zh-CN"/>
        </w:rPr>
        <w:t>生产过程中产生的</w:t>
      </w:r>
      <w:r>
        <w:rPr>
          <w:rFonts w:hint="default" w:ascii="Times New Roman" w:hAnsi="Times New Roman" w:eastAsia="宋体" w:cs="Times New Roman"/>
          <w:color w:val="auto"/>
          <w:sz w:val="24"/>
          <w:highlight w:val="none"/>
        </w:rPr>
        <w:t>废气</w:t>
      </w:r>
      <w:r>
        <w:rPr>
          <w:rFonts w:hint="default" w:ascii="Times New Roman" w:hAnsi="Times New Roman" w:eastAsia="宋体" w:cs="Times New Roman"/>
          <w:color w:val="auto"/>
          <w:sz w:val="24"/>
          <w:highlight w:val="none"/>
          <w:lang w:eastAsia="zh-CN"/>
        </w:rPr>
        <w:t>经处理后均可</w:t>
      </w:r>
      <w:r>
        <w:rPr>
          <w:rFonts w:hint="default" w:ascii="Times New Roman" w:hAnsi="Times New Roman" w:eastAsia="宋体" w:cs="Times New Roman"/>
          <w:color w:val="auto"/>
          <w:sz w:val="24"/>
          <w:highlight w:val="none"/>
        </w:rPr>
        <w:t>达标排放</w:t>
      </w:r>
      <w:r>
        <w:rPr>
          <w:rFonts w:hint="default" w:ascii="Times New Roman" w:hAnsi="Times New Roman" w:eastAsia="宋体" w:cs="Times New Roman"/>
          <w:color w:val="auto"/>
          <w:sz w:val="24"/>
          <w:highlight w:val="none"/>
          <w:lang w:eastAsia="zh-CN"/>
        </w:rPr>
        <w:t>；根据大气预测，</w:t>
      </w:r>
      <w:r>
        <w:rPr>
          <w:rFonts w:hint="default" w:ascii="Times New Roman" w:hAnsi="Times New Roman" w:eastAsia="宋体" w:cs="Times New Roman"/>
          <w:color w:val="auto"/>
          <w:sz w:val="24"/>
          <w:szCs w:val="24"/>
          <w:lang w:eastAsia="zh-CN"/>
        </w:rPr>
        <w:t>本项目生产期</w:t>
      </w:r>
      <w:r>
        <w:rPr>
          <w:rFonts w:hint="default" w:ascii="Times New Roman" w:hAnsi="Times New Roman" w:eastAsia="宋体" w:cs="Times New Roman"/>
          <w:color w:val="auto"/>
          <w:sz w:val="24"/>
          <w:szCs w:val="24"/>
          <w:lang w:val="en-US" w:eastAsia="zh-CN"/>
        </w:rPr>
        <w:t>排放的颗粒物</w:t>
      </w:r>
      <w:r>
        <w:rPr>
          <w:rFonts w:hint="default" w:ascii="Times New Roman" w:hAnsi="Times New Roman" w:eastAsia="宋体" w:cs="Times New Roman"/>
          <w:color w:val="auto"/>
          <w:sz w:val="24"/>
          <w:szCs w:val="24"/>
          <w:lang w:eastAsia="zh-CN"/>
        </w:rPr>
        <w:t>对</w:t>
      </w:r>
      <w:r>
        <w:rPr>
          <w:rFonts w:hint="default" w:ascii="Times New Roman" w:hAnsi="Times New Roman" w:eastAsia="宋体" w:cs="Times New Roman"/>
          <w:bCs/>
          <w:color w:val="auto"/>
          <w:sz w:val="24"/>
          <w:szCs w:val="24"/>
          <w:lang w:eastAsia="zh-CN"/>
        </w:rPr>
        <w:t>东侧</w:t>
      </w:r>
      <w:r>
        <w:rPr>
          <w:rFonts w:hint="default" w:ascii="Times New Roman" w:hAnsi="Times New Roman" w:eastAsia="宋体" w:cs="Times New Roman"/>
          <w:bCs/>
          <w:color w:val="auto"/>
          <w:sz w:val="24"/>
          <w:szCs w:val="24"/>
          <w:lang w:val="en-US" w:eastAsia="zh-CN"/>
        </w:rPr>
        <w:t>175m处的居民、南侧75m处的居民、北侧125m处的居民等</w:t>
      </w:r>
      <w:r>
        <w:rPr>
          <w:rFonts w:hint="default" w:ascii="Times New Roman" w:hAnsi="Times New Roman" w:eastAsia="宋体" w:cs="Times New Roman"/>
          <w:color w:val="auto"/>
          <w:sz w:val="24"/>
          <w:szCs w:val="24"/>
          <w:lang w:eastAsia="zh-CN"/>
        </w:rPr>
        <w:t>周围敏感点的预测值均满足《环境空气质量标准》（GB3095-2012）及修改单表1中二级标准；排放的非甲烷总烃对</w:t>
      </w:r>
      <w:r>
        <w:rPr>
          <w:rFonts w:hint="default" w:ascii="Times New Roman" w:hAnsi="Times New Roman" w:eastAsia="宋体" w:cs="Times New Roman"/>
          <w:bCs/>
          <w:color w:val="auto"/>
          <w:sz w:val="24"/>
          <w:szCs w:val="24"/>
          <w:lang w:eastAsia="zh-CN"/>
        </w:rPr>
        <w:t>东侧</w:t>
      </w:r>
      <w:r>
        <w:rPr>
          <w:rFonts w:hint="default" w:ascii="Times New Roman" w:hAnsi="Times New Roman" w:eastAsia="宋体" w:cs="Times New Roman"/>
          <w:bCs/>
          <w:color w:val="auto"/>
          <w:sz w:val="24"/>
          <w:szCs w:val="24"/>
          <w:lang w:val="en-US" w:eastAsia="zh-CN"/>
        </w:rPr>
        <w:t>175m处的居民、南侧75m处的居民、北侧125m处的居民等</w:t>
      </w:r>
      <w:r>
        <w:rPr>
          <w:rFonts w:hint="default" w:ascii="Times New Roman" w:hAnsi="Times New Roman" w:eastAsia="宋体" w:cs="Times New Roman"/>
          <w:color w:val="auto"/>
          <w:sz w:val="24"/>
          <w:szCs w:val="24"/>
          <w:lang w:eastAsia="zh-CN"/>
        </w:rPr>
        <w:t>周围敏感点的预测值均满足《环境空气质量 非甲烷总烃限值》（DB13/1577-2012）中二级标准，</w:t>
      </w:r>
      <w:r>
        <w:rPr>
          <w:rFonts w:hint="default" w:ascii="Times New Roman" w:hAnsi="Times New Roman" w:eastAsia="宋体" w:cs="Times New Roman"/>
          <w:color w:val="auto"/>
          <w:sz w:val="24"/>
          <w:highlight w:val="none"/>
          <w:lang w:eastAsia="zh-CN"/>
        </w:rPr>
        <w:t>因此，本项目的实施</w:t>
      </w:r>
      <w:r>
        <w:rPr>
          <w:rFonts w:hint="default" w:ascii="Times New Roman" w:hAnsi="Times New Roman" w:eastAsia="宋体" w:cs="Times New Roman"/>
          <w:color w:val="auto"/>
          <w:sz w:val="24"/>
          <w:highlight w:val="none"/>
        </w:rPr>
        <w:t>不会造成所在区域大气环境质量恶化；本项目生产废水</w:t>
      </w:r>
      <w:r>
        <w:rPr>
          <w:rFonts w:hint="default" w:ascii="Times New Roman" w:hAnsi="Times New Roman" w:eastAsia="宋体" w:cs="Times New Roman"/>
          <w:color w:val="auto"/>
          <w:sz w:val="24"/>
          <w:highlight w:val="none"/>
          <w:lang w:eastAsia="zh-CN"/>
        </w:rPr>
        <w:t>循环使用，</w:t>
      </w:r>
      <w:r>
        <w:rPr>
          <w:rFonts w:hint="default" w:ascii="Times New Roman" w:hAnsi="Times New Roman" w:eastAsia="宋体" w:cs="Times New Roman"/>
          <w:color w:val="auto"/>
          <w:sz w:val="24"/>
          <w:highlight w:val="none"/>
        </w:rPr>
        <w:t>不外排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生活污水</w:t>
      </w:r>
      <w:r>
        <w:rPr>
          <w:rFonts w:hint="default" w:ascii="Times New Roman" w:hAnsi="Times New Roman" w:eastAsia="宋体" w:cs="Times New Roman"/>
          <w:color w:val="auto"/>
          <w:sz w:val="24"/>
          <w:highlight w:val="none"/>
          <w:lang w:eastAsia="zh-CN"/>
        </w:rPr>
        <w:t>排入防渗化粪池内</w:t>
      </w:r>
      <w:r>
        <w:rPr>
          <w:rFonts w:hint="default" w:ascii="Times New Roman" w:hAnsi="Times New Roman" w:eastAsia="宋体" w:cs="Times New Roman"/>
          <w:color w:val="auto"/>
          <w:sz w:val="24"/>
          <w:highlight w:val="none"/>
          <w:lang w:val="en-US" w:eastAsia="zh-CN"/>
        </w:rPr>
        <w:t>，定期清掏</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防渗化粪池</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三级沉淀池、冷却水池</w:t>
      </w:r>
      <w:r>
        <w:rPr>
          <w:rFonts w:hint="default" w:ascii="Times New Roman" w:hAnsi="Times New Roman" w:eastAsia="宋体" w:cs="Times New Roman"/>
          <w:color w:val="auto"/>
          <w:sz w:val="24"/>
          <w:highlight w:val="none"/>
        </w:rPr>
        <w:t>等均采取完善的防渗措施，不会造成所在区域地下水环境质量恶化；设备噪声均采取基础减震、柔性连接、墙体隔声</w:t>
      </w:r>
      <w:r>
        <w:rPr>
          <w:rFonts w:hint="default" w:ascii="Times New Roman" w:hAnsi="Times New Roman" w:eastAsia="宋体" w:cs="Times New Roman"/>
          <w:color w:val="auto"/>
          <w:sz w:val="24"/>
          <w:highlight w:val="none"/>
          <w:lang w:eastAsia="zh-CN"/>
        </w:rPr>
        <w:t>等</w:t>
      </w:r>
      <w:r>
        <w:rPr>
          <w:rFonts w:hint="default" w:ascii="Times New Roman" w:hAnsi="Times New Roman" w:eastAsia="宋体" w:cs="Times New Roman"/>
          <w:color w:val="auto"/>
          <w:sz w:val="24"/>
          <w:highlight w:val="none"/>
        </w:rPr>
        <w:t>措施，</w:t>
      </w:r>
      <w:r>
        <w:rPr>
          <w:rFonts w:hint="default" w:ascii="Times New Roman" w:hAnsi="Times New Roman" w:eastAsia="宋体" w:cs="Times New Roman"/>
          <w:color w:val="auto"/>
          <w:sz w:val="24"/>
          <w:highlight w:val="none"/>
          <w:lang w:eastAsia="zh-CN"/>
        </w:rPr>
        <w:t>根据预测，厂界噪声满足《工业企业厂界环境噪声排放标准》（GB12348-2008）2类标准限值，敏感点声环境质量满足《声环境质量标准》（GB3096-2008）2类声环境功能区标准，因此，本项目的实施</w:t>
      </w:r>
      <w:r>
        <w:rPr>
          <w:rFonts w:hint="default" w:ascii="Times New Roman" w:hAnsi="Times New Roman" w:eastAsia="宋体" w:cs="Times New Roman"/>
          <w:color w:val="auto"/>
          <w:sz w:val="24"/>
          <w:highlight w:val="none"/>
        </w:rPr>
        <w:t>不会造成所在区域声环境质量恶化</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32"/>
          <w:highlight w:val="none"/>
        </w:rPr>
        <w:t>项目运营期产生的固体废物均得到了妥善处置，对周边环境影响较小</w:t>
      </w:r>
      <w:r>
        <w:rPr>
          <w:rFonts w:hint="default" w:ascii="Times New Roman" w:hAnsi="Times New Roman" w:eastAsia="宋体" w:cs="Times New Roman"/>
          <w:color w:val="auto"/>
          <w:sz w:val="24"/>
          <w:szCs w:val="32"/>
          <w:highlight w:val="none"/>
          <w:lang w:eastAsia="zh-CN"/>
        </w:rPr>
        <w:t>。</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color w:val="auto"/>
          <w:sz w:val="24"/>
          <w:szCs w:val="24"/>
          <w:highlight w:val="none"/>
        </w:rPr>
        <w:t>综上所述，项目在各项环境措施及跟踪监测落实到位的前提下，选址是合理的</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Cs/>
          <w:color w:val="auto"/>
          <w:kern w:val="0"/>
          <w:sz w:val="24"/>
          <w:szCs w:val="24"/>
          <w:highlight w:val="none"/>
          <w:lang w:eastAsia="zh-CN"/>
        </w:rPr>
      </w:pP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eastAsia="宋体" w:cs="Times New Roman"/>
          <w:bCs/>
          <w:color w:val="auto"/>
          <w:kern w:val="0"/>
          <w:sz w:val="24"/>
          <w:szCs w:val="24"/>
          <w:highlight w:val="none"/>
          <w:lang w:eastAsia="zh-CN"/>
        </w:rPr>
        <w:t>）“三线一单”符合性分析</w:t>
      </w:r>
    </w:p>
    <w:p>
      <w:pPr>
        <w:keepNext w:val="0"/>
        <w:keepLines w:val="0"/>
        <w:pageBreakBefore w:val="0"/>
        <w:widowControl w:val="0"/>
        <w:kinsoku/>
        <w:wordWrap/>
        <w:overflowPunct w:val="0"/>
        <w:topLinePunct/>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根据实际情况，本项目“三线一单”分析如下：</w:t>
      </w:r>
    </w:p>
    <w:p>
      <w:pPr>
        <w:keepNext w:val="0"/>
        <w:keepLines w:val="0"/>
        <w:pageBreakBefore w:val="0"/>
        <w:widowControl w:val="0"/>
        <w:kinsoku/>
        <w:wordWrap/>
        <w:topLinePunct/>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1）生态保护红线</w:t>
      </w:r>
    </w:p>
    <w:p>
      <w:pPr>
        <w:keepNext w:val="0"/>
        <w:keepLines w:val="0"/>
        <w:pageBreakBefore w:val="0"/>
        <w:widowControl w:val="0"/>
        <w:kinsoku/>
        <w:wordWrap/>
        <w:topLinePunct/>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根据巴彦淖尔市人民政府于2021年10月14日出具的《关于印发&lt;巴彦淖尔市“三线一单”生态环境分区管控方案&gt;的通知》（巴政发[2021]9号）</w:t>
      </w:r>
      <w:r>
        <w:rPr>
          <w:rFonts w:hint="default" w:ascii="Times New Roman" w:hAnsi="Times New Roman" w:eastAsia="宋体" w:cs="Times New Roman"/>
          <w:color w:val="auto"/>
          <w:sz w:val="24"/>
          <w:szCs w:val="24"/>
          <w:highlight w:val="none"/>
          <w:lang w:eastAsia="zh-CN"/>
        </w:rPr>
        <w:t>生态环境</w:t>
      </w:r>
      <w:r>
        <w:rPr>
          <w:rFonts w:hint="default" w:ascii="Times New Roman" w:hAnsi="Times New Roman" w:eastAsia="宋体" w:cs="Times New Roman"/>
          <w:color w:val="auto"/>
          <w:sz w:val="24"/>
          <w:szCs w:val="24"/>
          <w:highlight w:val="none"/>
        </w:rPr>
        <w:t>分区管控体系：全市共划定环境管控单元249个，包括优先保护单元、重点管控单元、一般管控单元三类，实施分类管控。</w:t>
      </w:r>
    </w:p>
    <w:p>
      <w:pPr>
        <w:keepNext w:val="0"/>
        <w:keepLines w:val="0"/>
        <w:pageBreakBefore w:val="0"/>
        <w:widowControl w:val="0"/>
        <w:kinsoku/>
        <w:wordWrap/>
        <w:topLinePunct/>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内蒙古自治区乌拉特前旗额尔登布拉格苏木旧乡政府院内，根据乌拉特前旗自然资源局于2020年10月15日出具的《关于核查内蒙古华伟泽农业有限公司高新滴灌带（管）、PE管材管件、地膜、再生资源回收利用建设项目是否位于生态红线的复函》可知，本项目不在乌拉特前旗生态保护红线范围内。</w:t>
      </w:r>
    </w:p>
    <w:p>
      <w:pPr>
        <w:keepNext w:val="0"/>
        <w:keepLines w:val="0"/>
        <w:pageBreakBefore w:val="0"/>
        <w:widowControl w:val="0"/>
        <w:kinsoku/>
        <w:wordWrap/>
        <w:topLinePunct/>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2）环境质量底线</w:t>
      </w:r>
    </w:p>
    <w:p>
      <w:pPr>
        <w:keepNext w:val="0"/>
        <w:keepLines w:val="0"/>
        <w:pageBreakBefore w:val="0"/>
        <w:widowControl w:val="0"/>
        <w:kinsoku/>
        <w:wordWrap/>
        <w:topLinePunct/>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kern w:val="0"/>
          <w:sz w:val="24"/>
          <w:szCs w:val="24"/>
          <w:highlight w:val="none"/>
          <w:lang w:eastAsia="zh-CN"/>
        </w:rPr>
        <w:t>《巴彦淖尔市环境质量状况公报（</w:t>
      </w:r>
      <w:r>
        <w:rPr>
          <w:rFonts w:hint="default" w:ascii="Times New Roman" w:hAnsi="Times New Roman" w:eastAsia="宋体" w:cs="Times New Roman"/>
          <w:color w:val="auto"/>
          <w:kern w:val="0"/>
          <w:sz w:val="24"/>
          <w:szCs w:val="24"/>
          <w:highlight w:val="none"/>
          <w:lang w:val="en-US" w:eastAsia="zh-CN"/>
        </w:rPr>
        <w:t>2020年</w:t>
      </w:r>
      <w:r>
        <w:rPr>
          <w:rFonts w:hint="default" w:ascii="Times New Roman" w:hAnsi="Times New Roman" w:eastAsia="宋体" w:cs="Times New Roman"/>
          <w:color w:val="auto"/>
          <w:kern w:val="0"/>
          <w:sz w:val="24"/>
          <w:szCs w:val="24"/>
          <w:highlight w:val="none"/>
          <w:lang w:eastAsia="zh-CN"/>
        </w:rPr>
        <w:t>）》，本项目所在地巴彦淖尔市乌拉特前旗</w:t>
      </w:r>
      <w:r>
        <w:rPr>
          <w:rFonts w:hint="default" w:ascii="Times New Roman" w:hAnsi="Times New Roman" w:eastAsia="宋体" w:cs="Times New Roman"/>
          <w:color w:val="auto"/>
          <w:kern w:val="0"/>
          <w:sz w:val="24"/>
          <w:szCs w:val="24"/>
          <w:highlight w:val="none"/>
          <w:lang w:val="en-US" w:eastAsia="zh-CN"/>
        </w:rPr>
        <w:t>2020年大气环境中6项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default" w:ascii="Times New Roman" w:hAnsi="Times New Roman" w:eastAsia="宋体" w:cs="Times New Roman"/>
          <w:color w:val="auto"/>
          <w:kern w:val="0"/>
          <w:sz w:val="24"/>
          <w:szCs w:val="24"/>
          <w:highlight w:val="none"/>
          <w:lang w:eastAsia="zh-CN"/>
        </w:rPr>
        <w:t>；根据</w:t>
      </w:r>
      <w:r>
        <w:rPr>
          <w:rFonts w:hint="default" w:ascii="Times New Roman" w:hAnsi="Times New Roman" w:eastAsia="宋体" w:cs="Times New Roman"/>
          <w:color w:val="auto"/>
          <w:sz w:val="24"/>
          <w:highlight w:val="none"/>
        </w:rPr>
        <w:t>特征因子</w:t>
      </w:r>
      <w:r>
        <w:rPr>
          <w:rFonts w:hint="default" w:ascii="Times New Roman" w:hAnsi="Times New Roman" w:eastAsia="宋体" w:cs="Times New Roman"/>
          <w:color w:val="auto"/>
          <w:kern w:val="0"/>
          <w:sz w:val="24"/>
          <w:szCs w:val="24"/>
          <w:highlight w:val="none"/>
          <w:lang w:eastAsia="zh-CN"/>
        </w:rPr>
        <w:t>监测结果可知，</w:t>
      </w:r>
      <w:r>
        <w:rPr>
          <w:rFonts w:hint="default" w:ascii="Times New Roman" w:hAnsi="Times New Roman" w:eastAsia="宋体" w:cs="Times New Roman"/>
          <w:color w:val="auto"/>
          <w:kern w:val="0"/>
          <w:sz w:val="24"/>
          <w:szCs w:val="24"/>
          <w:highlight w:val="none"/>
          <w:lang w:val="en-US" w:eastAsia="zh-CN"/>
        </w:rPr>
        <w:t>TSP</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vertAlign w:val="baseline"/>
          <w:lang w:eastAsia="zh-CN"/>
        </w:rPr>
        <w:t>；</w:t>
      </w:r>
      <w:r>
        <w:rPr>
          <w:rFonts w:hint="default" w:ascii="Times New Roman" w:hAnsi="Times New Roman" w:eastAsia="宋体" w:cs="Times New Roman"/>
          <w:color w:val="auto"/>
          <w:kern w:val="0"/>
          <w:sz w:val="24"/>
          <w:highlight w:val="none"/>
        </w:rPr>
        <w:t>非甲烷总烃</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满足</w:t>
      </w:r>
      <w:r>
        <w:rPr>
          <w:rFonts w:hint="default" w:ascii="Times New Roman" w:hAnsi="Times New Roman" w:eastAsia="宋体" w:cs="Times New Roman"/>
          <w:color w:val="auto"/>
          <w:kern w:val="0"/>
          <w:sz w:val="24"/>
          <w:highlight w:val="none"/>
        </w:rPr>
        <w:t>河北省地方标准《环境空气质量</w:t>
      </w:r>
      <w:r>
        <w:rPr>
          <w:rFonts w:hint="default" w:ascii="Times New Roman" w:hAnsi="Times New Roman"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rPr>
        <w:t>非甲烷总烃限值》（</w:t>
      </w:r>
      <w:r>
        <w:rPr>
          <w:rFonts w:hint="default" w:ascii="Times New Roman" w:hAnsi="Times New Roman" w:eastAsia="宋体" w:cs="Times New Roman"/>
          <w:color w:val="auto"/>
          <w:kern w:val="0"/>
          <w:sz w:val="24"/>
          <w:highlight w:val="none"/>
          <w:lang w:eastAsia="zh-CN"/>
        </w:rPr>
        <w:t>DB13/1577</w:t>
      </w:r>
      <w:r>
        <w:rPr>
          <w:rFonts w:hint="default" w:ascii="Times New Roman" w:hAnsi="Times New Roman" w:eastAsia="宋体" w:cs="Times New Roman"/>
          <w:color w:val="auto"/>
          <w:kern w:val="0"/>
          <w:sz w:val="24"/>
          <w:highlight w:val="none"/>
        </w:rPr>
        <w:t>-2012）标准要求；</w:t>
      </w:r>
      <w:r>
        <w:rPr>
          <w:rFonts w:hint="default" w:ascii="Times New Roman" w:hAnsi="Times New Roman" w:eastAsia="宋体" w:cs="Times New Roman"/>
          <w:color w:val="auto"/>
          <w:kern w:val="0"/>
          <w:sz w:val="24"/>
          <w:szCs w:val="24"/>
          <w:highlight w:val="none"/>
          <w:lang w:eastAsia="zh-CN"/>
        </w:rPr>
        <w:t>根据</w:t>
      </w:r>
      <w:r>
        <w:rPr>
          <w:rFonts w:hint="default" w:ascii="Times New Roman" w:hAnsi="Times New Roman" w:eastAsia="宋体" w:cs="Times New Roman"/>
          <w:color w:val="auto"/>
          <w:sz w:val="24"/>
          <w:highlight w:val="none"/>
          <w:lang w:eastAsia="zh-CN"/>
        </w:rPr>
        <w:t>土壤环境</w:t>
      </w:r>
      <w:r>
        <w:rPr>
          <w:rFonts w:hint="default" w:ascii="Times New Roman" w:hAnsi="Times New Roman" w:eastAsia="宋体" w:cs="Times New Roman"/>
          <w:color w:val="auto"/>
          <w:kern w:val="0"/>
          <w:sz w:val="24"/>
          <w:szCs w:val="24"/>
          <w:highlight w:val="none"/>
          <w:lang w:eastAsia="zh-CN"/>
        </w:rPr>
        <w:t>监测结果可知，</w:t>
      </w:r>
      <w:r>
        <w:rPr>
          <w:rFonts w:hint="default" w:ascii="Times New Roman" w:hAnsi="Times New Roman" w:eastAsia="宋体" w:cs="Times New Roman"/>
          <w:color w:val="auto"/>
          <w:sz w:val="24"/>
          <w:highlight w:val="none"/>
        </w:rPr>
        <w:t>各</w:t>
      </w:r>
      <w:r>
        <w:rPr>
          <w:rFonts w:hint="default" w:ascii="Times New Roman" w:hAnsi="Times New Roman" w:eastAsia="宋体" w:cs="Times New Roman"/>
          <w:color w:val="auto"/>
          <w:sz w:val="24"/>
          <w:highlight w:val="none"/>
          <w:lang w:eastAsia="zh-CN"/>
        </w:rPr>
        <w:t>监测</w:t>
      </w:r>
      <w:r>
        <w:rPr>
          <w:rFonts w:hint="default" w:ascii="Times New Roman" w:hAnsi="Times New Roman" w:eastAsia="宋体" w:cs="Times New Roman"/>
          <w:color w:val="auto"/>
          <w:sz w:val="24"/>
          <w:highlight w:val="none"/>
        </w:rPr>
        <w:t>因子均满足《土壤环境质量</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建设用地土壤污染风险管控标准》（GB36600-2018）中第二类用地的筛选值</w:t>
      </w:r>
      <w:r>
        <w:rPr>
          <w:rFonts w:hint="default" w:ascii="Times New Roman" w:hAnsi="Times New Roman" w:eastAsia="宋体" w:cs="Times New Roman"/>
          <w:color w:val="auto"/>
          <w:sz w:val="24"/>
          <w:highlight w:val="none"/>
          <w:lang w:eastAsia="zh-CN"/>
        </w:rPr>
        <w:t>；项目厂区四周及敏感点噪声监测值</w:t>
      </w:r>
      <w:r>
        <w:rPr>
          <w:rFonts w:hint="default" w:ascii="Times New Roman" w:hAnsi="Times New Roman" w:eastAsia="宋体" w:cs="Times New Roman"/>
          <w:color w:val="auto"/>
          <w:sz w:val="24"/>
          <w:highlight w:val="none"/>
        </w:rPr>
        <w:t>均满足《声环境质量标准》（GB3096-2008）</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类标准要求</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topLinePunct/>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项目建成后，</w:t>
      </w:r>
      <w:r>
        <w:rPr>
          <w:rFonts w:hint="default" w:ascii="Times New Roman" w:hAnsi="Times New Roman" w:eastAsia="宋体" w:cs="Times New Roman"/>
          <w:color w:val="auto"/>
          <w:sz w:val="24"/>
          <w:highlight w:val="none"/>
          <w:lang w:eastAsia="zh-CN"/>
        </w:rPr>
        <w:t>生产过程中产生的</w:t>
      </w:r>
      <w:r>
        <w:rPr>
          <w:rFonts w:hint="default" w:ascii="Times New Roman" w:hAnsi="Times New Roman" w:eastAsia="宋体" w:cs="Times New Roman"/>
          <w:color w:val="auto"/>
          <w:sz w:val="24"/>
          <w:highlight w:val="none"/>
        </w:rPr>
        <w:t>废气</w:t>
      </w:r>
      <w:r>
        <w:rPr>
          <w:rFonts w:hint="default" w:ascii="Times New Roman" w:hAnsi="Times New Roman" w:eastAsia="宋体" w:cs="Times New Roman"/>
          <w:color w:val="auto"/>
          <w:sz w:val="24"/>
          <w:highlight w:val="none"/>
          <w:lang w:eastAsia="zh-CN"/>
        </w:rPr>
        <w:t>经处理后均可</w:t>
      </w:r>
      <w:r>
        <w:rPr>
          <w:rFonts w:hint="default" w:ascii="Times New Roman" w:hAnsi="Times New Roman" w:eastAsia="宋体" w:cs="Times New Roman"/>
          <w:color w:val="auto"/>
          <w:sz w:val="24"/>
          <w:highlight w:val="none"/>
        </w:rPr>
        <w:t>达标排放</w:t>
      </w:r>
      <w:r>
        <w:rPr>
          <w:rFonts w:hint="default" w:ascii="Times New Roman" w:hAnsi="Times New Roman" w:eastAsia="宋体" w:cs="Times New Roman"/>
          <w:color w:val="auto"/>
          <w:sz w:val="24"/>
          <w:highlight w:val="none"/>
          <w:lang w:eastAsia="zh-CN"/>
        </w:rPr>
        <w:t>；根据大气预测，</w:t>
      </w:r>
      <w:r>
        <w:rPr>
          <w:rFonts w:hint="default" w:ascii="Times New Roman" w:hAnsi="Times New Roman" w:eastAsia="宋体" w:cs="Times New Roman"/>
          <w:color w:val="auto"/>
          <w:sz w:val="24"/>
          <w:szCs w:val="24"/>
          <w:lang w:eastAsia="zh-CN"/>
        </w:rPr>
        <w:t>本项目生产期</w:t>
      </w:r>
      <w:r>
        <w:rPr>
          <w:rFonts w:hint="default" w:ascii="Times New Roman" w:hAnsi="Times New Roman" w:eastAsia="宋体" w:cs="Times New Roman"/>
          <w:color w:val="auto"/>
          <w:sz w:val="24"/>
          <w:szCs w:val="24"/>
          <w:lang w:val="en-US" w:eastAsia="zh-CN"/>
        </w:rPr>
        <w:t>排放的颗粒物</w:t>
      </w:r>
      <w:r>
        <w:rPr>
          <w:rFonts w:hint="default" w:ascii="Times New Roman" w:hAnsi="Times New Roman" w:eastAsia="宋体" w:cs="Times New Roman"/>
          <w:color w:val="auto"/>
          <w:sz w:val="24"/>
          <w:szCs w:val="24"/>
          <w:lang w:eastAsia="zh-CN"/>
        </w:rPr>
        <w:t>对</w:t>
      </w:r>
      <w:r>
        <w:rPr>
          <w:rFonts w:hint="default" w:ascii="Times New Roman" w:hAnsi="Times New Roman" w:eastAsia="宋体" w:cs="Times New Roman"/>
          <w:bCs/>
          <w:color w:val="auto"/>
          <w:sz w:val="24"/>
          <w:szCs w:val="24"/>
          <w:lang w:eastAsia="zh-CN"/>
        </w:rPr>
        <w:t>东侧</w:t>
      </w:r>
      <w:r>
        <w:rPr>
          <w:rFonts w:hint="default" w:ascii="Times New Roman" w:hAnsi="Times New Roman" w:eastAsia="宋体" w:cs="Times New Roman"/>
          <w:bCs/>
          <w:color w:val="auto"/>
          <w:sz w:val="24"/>
          <w:szCs w:val="24"/>
          <w:lang w:val="en-US" w:eastAsia="zh-CN"/>
        </w:rPr>
        <w:t>175m处的居民、南侧75m处的居民、北侧125m处的居民等</w:t>
      </w:r>
      <w:r>
        <w:rPr>
          <w:rFonts w:hint="default" w:ascii="Times New Roman" w:hAnsi="Times New Roman" w:eastAsia="宋体" w:cs="Times New Roman"/>
          <w:color w:val="auto"/>
          <w:sz w:val="24"/>
          <w:szCs w:val="24"/>
          <w:lang w:eastAsia="zh-CN"/>
        </w:rPr>
        <w:t>周围敏感点的预测值均满足《环境空气质量标准》（GB3095-2012）及修改单表1中二级标准；排放的非甲烷总烃对</w:t>
      </w:r>
      <w:r>
        <w:rPr>
          <w:rFonts w:hint="default" w:ascii="Times New Roman" w:hAnsi="Times New Roman" w:eastAsia="宋体" w:cs="Times New Roman"/>
          <w:bCs/>
          <w:color w:val="auto"/>
          <w:sz w:val="24"/>
          <w:szCs w:val="24"/>
          <w:lang w:eastAsia="zh-CN"/>
        </w:rPr>
        <w:t>东侧</w:t>
      </w:r>
      <w:r>
        <w:rPr>
          <w:rFonts w:hint="default" w:ascii="Times New Roman" w:hAnsi="Times New Roman" w:eastAsia="宋体" w:cs="Times New Roman"/>
          <w:bCs/>
          <w:color w:val="auto"/>
          <w:sz w:val="24"/>
          <w:szCs w:val="24"/>
          <w:lang w:val="en-US" w:eastAsia="zh-CN"/>
        </w:rPr>
        <w:t>175m处的居民、南侧75m处的居民、北侧125m处的居民等</w:t>
      </w:r>
      <w:r>
        <w:rPr>
          <w:rFonts w:hint="default" w:ascii="Times New Roman" w:hAnsi="Times New Roman" w:eastAsia="宋体" w:cs="Times New Roman"/>
          <w:color w:val="auto"/>
          <w:sz w:val="24"/>
          <w:szCs w:val="24"/>
          <w:lang w:eastAsia="zh-CN"/>
        </w:rPr>
        <w:t>周围敏感点的预测值均满足《环境空气质量 非甲烷总烃限值》（DB13/1577-2012）中二级标准，</w:t>
      </w:r>
      <w:r>
        <w:rPr>
          <w:rFonts w:hint="default" w:ascii="Times New Roman" w:hAnsi="Times New Roman" w:eastAsia="宋体" w:cs="Times New Roman"/>
          <w:color w:val="auto"/>
          <w:sz w:val="24"/>
          <w:highlight w:val="none"/>
          <w:lang w:eastAsia="zh-CN"/>
        </w:rPr>
        <w:t>因此，本项目的实施</w:t>
      </w:r>
      <w:r>
        <w:rPr>
          <w:rFonts w:hint="default" w:ascii="Times New Roman" w:hAnsi="Times New Roman" w:eastAsia="宋体" w:cs="Times New Roman"/>
          <w:color w:val="auto"/>
          <w:sz w:val="24"/>
          <w:highlight w:val="none"/>
        </w:rPr>
        <w:t>不会造成所在区域大气环境质量恶化；本项目生产废水</w:t>
      </w:r>
      <w:r>
        <w:rPr>
          <w:rFonts w:hint="default" w:ascii="Times New Roman" w:hAnsi="Times New Roman" w:eastAsia="宋体" w:cs="Times New Roman"/>
          <w:color w:val="auto"/>
          <w:sz w:val="24"/>
          <w:highlight w:val="none"/>
          <w:lang w:eastAsia="zh-CN"/>
        </w:rPr>
        <w:t>循环使用，</w:t>
      </w:r>
      <w:r>
        <w:rPr>
          <w:rFonts w:hint="default" w:ascii="Times New Roman" w:hAnsi="Times New Roman" w:eastAsia="宋体" w:cs="Times New Roman"/>
          <w:color w:val="auto"/>
          <w:sz w:val="24"/>
          <w:highlight w:val="none"/>
        </w:rPr>
        <w:t>不外排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生活污水</w:t>
      </w:r>
      <w:r>
        <w:rPr>
          <w:rFonts w:hint="default" w:ascii="Times New Roman" w:hAnsi="Times New Roman" w:eastAsia="宋体" w:cs="Times New Roman"/>
          <w:color w:val="auto"/>
          <w:sz w:val="24"/>
          <w:highlight w:val="none"/>
          <w:lang w:eastAsia="zh-CN"/>
        </w:rPr>
        <w:t>排入防渗化粪池内</w:t>
      </w:r>
      <w:r>
        <w:rPr>
          <w:rFonts w:hint="default" w:ascii="Times New Roman" w:hAnsi="Times New Roman" w:eastAsia="宋体" w:cs="Times New Roman"/>
          <w:color w:val="auto"/>
          <w:sz w:val="24"/>
          <w:highlight w:val="none"/>
          <w:lang w:val="en-US" w:eastAsia="zh-CN"/>
        </w:rPr>
        <w:t>，定期清掏</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防渗化粪池</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三级沉淀池、冷却水池</w:t>
      </w:r>
      <w:r>
        <w:rPr>
          <w:rFonts w:hint="default" w:ascii="Times New Roman" w:hAnsi="Times New Roman" w:eastAsia="宋体" w:cs="Times New Roman"/>
          <w:color w:val="auto"/>
          <w:sz w:val="24"/>
          <w:highlight w:val="none"/>
        </w:rPr>
        <w:t>等均采取完善的防渗措施，不会造成所在区域地下水环境质量恶化；设备噪声均采取基础减震、柔性连接、墙体隔声</w:t>
      </w:r>
      <w:r>
        <w:rPr>
          <w:rFonts w:hint="default" w:ascii="Times New Roman" w:hAnsi="Times New Roman" w:eastAsia="宋体" w:cs="Times New Roman"/>
          <w:color w:val="auto"/>
          <w:sz w:val="24"/>
          <w:highlight w:val="none"/>
          <w:lang w:eastAsia="zh-CN"/>
        </w:rPr>
        <w:t>等</w:t>
      </w:r>
      <w:r>
        <w:rPr>
          <w:rFonts w:hint="default" w:ascii="Times New Roman" w:hAnsi="Times New Roman" w:eastAsia="宋体" w:cs="Times New Roman"/>
          <w:color w:val="auto"/>
          <w:sz w:val="24"/>
          <w:highlight w:val="none"/>
        </w:rPr>
        <w:t>措施，</w:t>
      </w:r>
      <w:r>
        <w:rPr>
          <w:rFonts w:hint="default" w:ascii="Times New Roman" w:hAnsi="Times New Roman" w:eastAsia="宋体" w:cs="Times New Roman"/>
          <w:color w:val="auto"/>
          <w:sz w:val="24"/>
          <w:highlight w:val="none"/>
          <w:lang w:eastAsia="zh-CN"/>
        </w:rPr>
        <w:t>根据预测，厂界噪声满足《工业企业厂界环境噪声排放标准》（GB12348-2008）2类标准限值，敏感点声环境质量满足《声环境质量标准》（GB3096-2008）2类声环境功能区标准，因此，本项目的实施</w:t>
      </w:r>
      <w:r>
        <w:rPr>
          <w:rFonts w:hint="default" w:ascii="Times New Roman" w:hAnsi="Times New Roman" w:eastAsia="宋体" w:cs="Times New Roman"/>
          <w:color w:val="auto"/>
          <w:sz w:val="24"/>
          <w:highlight w:val="none"/>
        </w:rPr>
        <w:t>不会造成所在区域声环境质量恶化</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综上所述，本项目建设不会使项目所在区域环境质量恶化，满足环境质量底线要求</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3）资源利用上线</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①水资源利用上线</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本项目造粒生产车间生产用水量为</w:t>
      </w:r>
      <w:r>
        <w:rPr>
          <w:rFonts w:hint="default" w:ascii="Times New Roman" w:hAnsi="Times New Roman" w:eastAsia="宋体" w:cs="Times New Roman"/>
          <w:color w:val="auto"/>
          <w:sz w:val="24"/>
          <w:highlight w:val="none"/>
          <w:lang w:val="en-US" w:eastAsia="zh-CN"/>
        </w:rPr>
        <w:t>1038t/a，年回收处理废旧塑料9000吨，则本项目造粒生产车间</w:t>
      </w:r>
      <w:r>
        <w:rPr>
          <w:rFonts w:hint="default" w:ascii="Times New Roman" w:hAnsi="Times New Roman" w:eastAsia="宋体" w:cs="Times New Roman"/>
          <w:color w:val="auto"/>
          <w:sz w:val="24"/>
          <w:highlight w:val="none"/>
        </w:rPr>
        <w:t>单位产品水耗</w:t>
      </w:r>
      <w:r>
        <w:rPr>
          <w:rFonts w:hint="default" w:ascii="Times New Roman" w:hAnsi="Times New Roman" w:eastAsia="宋体" w:cs="Times New Roman"/>
          <w:color w:val="auto"/>
          <w:sz w:val="24"/>
          <w:highlight w:val="none"/>
          <w:lang w:eastAsia="zh-CN"/>
        </w:rPr>
        <w:t>为</w:t>
      </w:r>
      <w:r>
        <w:rPr>
          <w:rFonts w:hint="default" w:ascii="Times New Roman" w:hAnsi="Times New Roman" w:eastAsia="宋体" w:cs="Times New Roman"/>
          <w:color w:val="auto"/>
          <w:sz w:val="24"/>
          <w:highlight w:val="none"/>
          <w:lang w:val="en-US" w:eastAsia="zh-CN"/>
        </w:rPr>
        <w:t>0.115t/t，满足《废塑料综合利用行业规范条件》中“塑料再生造粒类企业的综合新水消耗低于0.2吨/吨废塑料”的要求；</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本项目塑料制品生产车间生产用水量为</w:t>
      </w:r>
      <w:r>
        <w:rPr>
          <w:rFonts w:hint="default" w:ascii="Times New Roman" w:hAnsi="Times New Roman" w:eastAsia="宋体" w:cs="Times New Roman"/>
          <w:color w:val="auto"/>
          <w:sz w:val="24"/>
          <w:highlight w:val="none"/>
          <w:lang w:val="en-US" w:eastAsia="zh-CN"/>
        </w:rPr>
        <w:t>240t/a，年生产滴灌带5000t和PE管材管件2000t，则本项目塑料制品生产车间单位产品水耗为0.034t/t，满足《内蒙古自治区行业用水定额标准（DB15/T385-2020）》中“PE管”定额值1.6m3/t的要求。</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因此，本项目符合水资源利用上线要求。</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②土地资源利用上线</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本项目位于乌拉特前旗额尔登布拉格苏木旧乡政府院内，不在工业园区、矿区、主要城市建成区、永久基本农田及生态保护红线范围内。</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因此，本项目符合土地资源利用上线要求。</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③能源资源上线</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本项目所在区域不属于高污染燃料禁燃区，且项目使用的主要能源为电能，不消耗煤炭，使用能源较少，不会突破能源资源上线。</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④岸线利用上线</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本项目与岸线总体管控要求对照情况如下：</w:t>
      </w:r>
    </w:p>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表1.4-1  岸线总体管控要求及本项目符合性</w:t>
      </w:r>
    </w:p>
    <w:tbl>
      <w:tblPr>
        <w:tblStyle w:val="90"/>
        <w:tblW w:w="8277" w:type="dxa"/>
        <w:jc w:val="center"/>
        <w:tblLayout w:type="fixed"/>
        <w:tblCellMar>
          <w:top w:w="0" w:type="dxa"/>
          <w:left w:w="108" w:type="dxa"/>
          <w:bottom w:w="0" w:type="dxa"/>
          <w:right w:w="108" w:type="dxa"/>
        </w:tblCellMar>
      </w:tblPr>
      <w:tblGrid>
        <w:gridCol w:w="1136"/>
        <w:gridCol w:w="3002"/>
        <w:gridCol w:w="3002"/>
        <w:gridCol w:w="1137"/>
      </w:tblGrid>
      <w:tr>
        <w:tblPrEx>
          <w:tblCellMar>
            <w:top w:w="0" w:type="dxa"/>
            <w:left w:w="108" w:type="dxa"/>
            <w:bottom w:w="0" w:type="dxa"/>
            <w:right w:w="108" w:type="dxa"/>
          </w:tblCellMar>
        </w:tblPrEx>
        <w:trPr>
          <w:trHeight w:val="340" w:hRule="atLeast"/>
          <w:jc w:val="center"/>
        </w:trPr>
        <w:tc>
          <w:tcPr>
            <w:tcW w:w="805"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序号</w:t>
            </w:r>
          </w:p>
        </w:tc>
        <w:tc>
          <w:tcPr>
            <w:tcW w:w="212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管控要求</w:t>
            </w:r>
          </w:p>
        </w:tc>
        <w:tc>
          <w:tcPr>
            <w:tcW w:w="212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本项目情况</w:t>
            </w:r>
          </w:p>
        </w:tc>
        <w:tc>
          <w:tcPr>
            <w:tcW w:w="805" w:type="dxa"/>
            <w:tcBorders>
              <w:top w:val="single" w:color="auto" w:sz="4" w:space="0"/>
              <w:left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各类岸线涉及生态保护红线部分，管控要求按生态保护红线管理办法执行。</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本项目不在乌拉特前旗生态保护红线范围内。</w:t>
            </w:r>
          </w:p>
        </w:tc>
        <w:tc>
          <w:tcPr>
            <w:tcW w:w="80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tblPrEx>
          <w:tblCellMar>
            <w:top w:w="0" w:type="dxa"/>
            <w:left w:w="108" w:type="dxa"/>
            <w:bottom w:w="0" w:type="dxa"/>
            <w:right w:w="108" w:type="dxa"/>
          </w:tblCellMar>
        </w:tblPrEx>
        <w:trPr>
          <w:trHeight w:val="340" w:hRule="atLeast"/>
          <w:jc w:val="center"/>
        </w:trPr>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禁止在黄河干支流1公里范围内新建、扩建化工园区和化工项目。禁止在合规园区外新建、扩建钢铁、石化、化工、焦化、建材、有色冶炼等高污染项目。</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本项目不属于钢铁、石化、化工、焦化、建材、有色冶炼等高污染项目。</w:t>
            </w:r>
          </w:p>
        </w:tc>
        <w:tc>
          <w:tcPr>
            <w:tcW w:w="80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tblPrEx>
          <w:tblCellMar>
            <w:top w:w="0" w:type="dxa"/>
            <w:left w:w="108" w:type="dxa"/>
            <w:bottom w:w="0" w:type="dxa"/>
            <w:right w:w="108" w:type="dxa"/>
          </w:tblCellMar>
        </w:tblPrEx>
        <w:trPr>
          <w:trHeight w:val="340" w:hRule="atLeast"/>
          <w:jc w:val="center"/>
        </w:trPr>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严禁以各种名义侵占河道、围垦湖泊、非法采砂，对岸线乱占滥用、多占少用、占而不用等突出问题开展清理整治，恢复河湖水域岸线生态功能。</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本项目属于非金属废料和碎屑加工处理业和塑料板、管、型材制造业，不存在侵占河道、围垦湖泊、非法采砂的情况。</w:t>
            </w:r>
          </w:p>
        </w:tc>
        <w:tc>
          <w:tcPr>
            <w:tcW w:w="80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tblPrEx>
          <w:tblCellMar>
            <w:top w:w="0" w:type="dxa"/>
            <w:left w:w="108" w:type="dxa"/>
            <w:bottom w:w="0" w:type="dxa"/>
            <w:right w:w="108" w:type="dxa"/>
          </w:tblCellMar>
        </w:tblPrEx>
        <w:trPr>
          <w:trHeight w:val="340" w:hRule="atLeast"/>
          <w:jc w:val="center"/>
        </w:trPr>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禁止新建、扩建法律法规和相关政策明令禁止的落后产能项目。</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本项目的建设符合国家产业政策，不属于法律法规和相关政策明令禁止的落后产能项目。</w:t>
            </w:r>
          </w:p>
        </w:tc>
        <w:tc>
          <w:tcPr>
            <w:tcW w:w="80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tblPrEx>
          <w:tblCellMar>
            <w:top w:w="0" w:type="dxa"/>
            <w:left w:w="108" w:type="dxa"/>
            <w:bottom w:w="0" w:type="dxa"/>
            <w:right w:w="108" w:type="dxa"/>
          </w:tblCellMar>
        </w:tblPrEx>
        <w:trPr>
          <w:trHeight w:val="340" w:hRule="atLeast"/>
          <w:jc w:val="center"/>
        </w:trPr>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禁止新建、扩建不符合国家产能置换要求的严重过剩产能行业。</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本项目不属于国家产能置换要求的严重过剩产能行业。</w:t>
            </w:r>
          </w:p>
        </w:tc>
        <w:tc>
          <w:tcPr>
            <w:tcW w:w="80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tblPrEx>
          <w:tblCellMar>
            <w:top w:w="0" w:type="dxa"/>
            <w:left w:w="108" w:type="dxa"/>
            <w:bottom w:w="0" w:type="dxa"/>
            <w:right w:w="108" w:type="dxa"/>
          </w:tblCellMar>
        </w:tblPrEx>
        <w:trPr>
          <w:trHeight w:val="340" w:hRule="atLeast"/>
          <w:jc w:val="center"/>
        </w:trPr>
        <w:tc>
          <w:tcPr>
            <w:tcW w:w="80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w:t>
            </w:r>
          </w:p>
        </w:tc>
        <w:tc>
          <w:tcPr>
            <w:tcW w:w="212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格执行河道管理范围建设项目工程建设方案许可，并加强监管，加强河道岸线资源开发利用的管理，强化水工程管理的指导和安全监管，完善重要水工程的安全通报制度，及时清除河道内严重影响行洪安全的障碍物。对河道采砂进行严格的规范和管理。建立和完善岸线开发项目的审批制度，严格按照岸线功能区划和岸线管理目标对岸线利用项目进行的审批。</w:t>
            </w:r>
          </w:p>
        </w:tc>
        <w:tc>
          <w:tcPr>
            <w:tcW w:w="212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本项目不属于河道开发、河道采砂等项目。</w:t>
            </w:r>
          </w:p>
        </w:tc>
        <w:tc>
          <w:tcPr>
            <w:tcW w:w="805"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综上，本项目的建设运行不会突破水资源利用上线、土地资源利用上线、能源资源上线以及岸线利用上线要求。</w:t>
      </w:r>
    </w:p>
    <w:p>
      <w:pPr>
        <w:keepNext w:val="0"/>
        <w:keepLines w:val="0"/>
        <w:pageBreakBefore w:val="0"/>
        <w:widowControl w:val="0"/>
        <w:kinsoku/>
        <w:wordWrap/>
        <w:overflowPunct/>
        <w:topLinePunct/>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eastAsia="zh-CN"/>
        </w:rPr>
        <w:t>生态环境准入清单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根据巴彦淖尔市环境管控单元图，本项目厂区位于乌拉特前旗一般生态空间-水土保持环境管控单元，管控单元类别为优先保护单元，本项目生态环境准入清单符合性见下表。</w:t>
      </w:r>
    </w:p>
    <w:p>
      <w:pPr>
        <w:keepNext w:val="0"/>
        <w:keepLines w:val="0"/>
        <w:pageBreakBefore w:val="0"/>
        <w:widowControl w:val="0"/>
        <w:tabs>
          <w:tab w:val="left" w:pos="4252"/>
          <w:tab w:val="left" w:pos="6271"/>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1.4-2</w:t>
      </w:r>
      <w:r>
        <w:rPr>
          <w:rFonts w:hint="default" w:ascii="Times New Roman" w:hAnsi="Times New Roman" w:eastAsia="宋体" w:cs="Times New Roman"/>
          <w:b/>
          <w:bCs/>
          <w:color w:val="auto"/>
          <w:sz w:val="24"/>
          <w:szCs w:val="24"/>
        </w:rPr>
        <w:t xml:space="preserve">  巴彦淖尔市总体准入要求</w:t>
      </w:r>
      <w:r>
        <w:rPr>
          <w:rFonts w:hint="default" w:ascii="Times New Roman" w:hAnsi="Times New Roman" w:eastAsia="宋体" w:cs="Times New Roman"/>
          <w:b/>
          <w:bCs/>
          <w:color w:val="auto"/>
          <w:sz w:val="24"/>
          <w:szCs w:val="24"/>
          <w:lang w:eastAsia="zh-CN"/>
        </w:rPr>
        <w:t>符合性分析</w:t>
      </w:r>
      <w:r>
        <w:rPr>
          <w:rFonts w:hint="default" w:ascii="Times New Roman" w:hAnsi="Times New Roman" w:eastAsia="宋体" w:cs="Times New Roman"/>
          <w:b/>
          <w:bCs/>
          <w:color w:val="auto"/>
          <w:sz w:val="24"/>
          <w:szCs w:val="24"/>
        </w:rPr>
        <w:t>表</w:t>
      </w:r>
    </w:p>
    <w:tbl>
      <w:tblPr>
        <w:tblStyle w:val="90"/>
        <w:tblW w:w="8277" w:type="dxa"/>
        <w:jc w:val="center"/>
        <w:tblLayout w:type="fixed"/>
        <w:tblCellMar>
          <w:top w:w="0" w:type="dxa"/>
          <w:left w:w="108" w:type="dxa"/>
          <w:bottom w:w="0" w:type="dxa"/>
          <w:right w:w="108" w:type="dxa"/>
        </w:tblCellMar>
      </w:tblPr>
      <w:tblGrid>
        <w:gridCol w:w="678"/>
        <w:gridCol w:w="4423"/>
        <w:gridCol w:w="2497"/>
        <w:gridCol w:w="679"/>
      </w:tblGrid>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管控类型</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本项目情况</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总体要求</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1、除现有化工园区外，不再布局新的化工园区。现有园区扩大面积的，要与黄河中上游流域巴彦淖尔段及主要支流岸线至少保持1公里距离。</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新建、改建、扩建“两高”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4、各类园区及建设项目选址必须符合当地国土空间规划。新建工业企业原则上应在工业园区内建设并符合相关规划和园区定位。</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新建矿山要全部达到绿色矿山建设标准，生产矿山要按照绿色矿山建设标准加快改造升级，限期达到绿色矿山建设标准。2025年底前，全部矿山达到国家或自治区绿色矿山建设标准，不符合绿色矿山建设标准的矿山企业依法逐步退出市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国家重点生态功能区要严格落实产业准入负面清单要求，在严格保护生态安全的前提下，鼓励和支持市场主体集约高效有序地发展符合主体功能定位的适宜产业；限制类产业要在规模产量、生产工艺、区位布局、清洁生产水平等方面严格执行有关规定，鼓励和引导市场主体对既有项目改造升级、入园入区；禁止类产业要严禁市场主体准入，行政机关不予审批、核准，不得办理有关手续。其他重点开发的城镇和重点生态功能区点状开发的城镇，新建矿产资源开采加工、火电、化工、冶金、有色等重大项目，应实行更加严格的环境标准，相关项目必须符合相应领域的专项规划，必须开展环境影响评价和社会稳定风险评估等，不得损害生态系统的稳定性和完整性。</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-2001）的限值要求，并符合污染物排放总量控制要求。禁养区范围内的已建成的畜禽养殖场（小区）和养殖专业户，由所在地人民政府负责责令限期搬迁、关闭或取缔。</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1、本项目为滴灌带、地膜、PE管材管件生产项目，不在化工园区范围内，同时也不涉及新化工园区的布局。</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2、本项目不属于“两高”项目；不属于石化、化工、焦化、有色金属冶炼、平板玻璃项目。</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3、根据《巴彦淖尔市环境质量状况公报（2020年）》，本项目所在地巴彦淖尔市乌拉特前旗为达标区；各污染物排放量较小，并且再采取相应环保措施后，各污染物均可达标排放，不会造成区域环境质量恶化。</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4、本项目位于乌拉特前旗额尔登布拉格苏木旧乡政府院内，拟建厂区用地性质为建设用地，不占用耕地和基本农田等，因此，本项目符合乌拉特前旗土地利用总体规划。</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5、本项目不属于矿山企业。</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6、本项目为滴灌带、地膜、PE管材管件生产项目，符合国家产业政策，不违反产业准入负面清单要求。本项目不属于矿产资源开采加工、火电、化工、冶金、有色等重大项目。</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7、本项目为滴灌带、地膜、PE管材管件生产项目，不属于畜禽养殖业。</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8、根据《建设项目环境影响评价分类管理名录（2021年版）》，本项目应编制环境影响报告书，根据预测，本项目各污染物均可达标排放。</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p>
        </w:tc>
      </w:tr>
    </w:tbl>
    <w:p>
      <w:pPr>
        <w:keepNext w:val="0"/>
        <w:keepLines w:val="0"/>
        <w:pageBreakBefore w:val="0"/>
        <w:widowControl w:val="0"/>
        <w:tabs>
          <w:tab w:val="left" w:pos="4252"/>
          <w:tab w:val="left" w:pos="6271"/>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1.4-3</w:t>
      </w:r>
      <w:r>
        <w:rPr>
          <w:rFonts w:hint="default" w:ascii="Times New Roman" w:hAnsi="Times New Roman" w:eastAsia="宋体" w:cs="Times New Roman"/>
          <w:b/>
          <w:bCs/>
          <w:color w:val="auto"/>
          <w:sz w:val="24"/>
          <w:szCs w:val="24"/>
        </w:rPr>
        <w:t xml:space="preserve">  巴彦淖尔市生态环境准入清单</w:t>
      </w:r>
      <w:r>
        <w:rPr>
          <w:rFonts w:hint="default" w:ascii="Times New Roman" w:hAnsi="Times New Roman" w:eastAsia="宋体" w:cs="Times New Roman"/>
          <w:b/>
          <w:bCs/>
          <w:color w:val="auto"/>
          <w:sz w:val="24"/>
          <w:szCs w:val="24"/>
          <w:lang w:eastAsia="zh-CN"/>
        </w:rPr>
        <w:t>符合性分析</w:t>
      </w:r>
      <w:r>
        <w:rPr>
          <w:rFonts w:hint="default" w:ascii="Times New Roman" w:hAnsi="Times New Roman" w:eastAsia="宋体" w:cs="Times New Roman"/>
          <w:b/>
          <w:bCs/>
          <w:color w:val="auto"/>
          <w:sz w:val="24"/>
          <w:szCs w:val="24"/>
        </w:rPr>
        <w:t>表</w:t>
      </w:r>
    </w:p>
    <w:tbl>
      <w:tblPr>
        <w:tblStyle w:val="90"/>
        <w:tblW w:w="8277" w:type="dxa"/>
        <w:jc w:val="center"/>
        <w:tblLayout w:type="fixed"/>
        <w:tblCellMar>
          <w:top w:w="0" w:type="dxa"/>
          <w:left w:w="108" w:type="dxa"/>
          <w:bottom w:w="0" w:type="dxa"/>
          <w:right w:w="108" w:type="dxa"/>
        </w:tblCellMar>
      </w:tblPr>
      <w:tblGrid>
        <w:gridCol w:w="594"/>
        <w:gridCol w:w="594"/>
        <w:gridCol w:w="595"/>
        <w:gridCol w:w="595"/>
        <w:gridCol w:w="844"/>
        <w:gridCol w:w="2230"/>
        <w:gridCol w:w="2230"/>
        <w:gridCol w:w="595"/>
      </w:tblGrid>
      <w:tr>
        <w:trPr>
          <w:trHeight w:val="340" w:hRule="atLeast"/>
          <w:jc w:val="center"/>
        </w:trPr>
        <w:tc>
          <w:tcPr>
            <w:tcW w:w="567" w:type="dxa"/>
            <w:tcBorders>
              <w:top w:val="single" w:color="auto" w:sz="4" w:space="0"/>
              <w:left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环境管控单元编码</w:t>
            </w:r>
          </w:p>
        </w:tc>
        <w:tc>
          <w:tcPr>
            <w:tcW w:w="56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环境管控单元名称</w:t>
            </w:r>
          </w:p>
        </w:tc>
        <w:tc>
          <w:tcPr>
            <w:tcW w:w="56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管控单元类别</w:t>
            </w:r>
          </w:p>
        </w:tc>
        <w:tc>
          <w:tcPr>
            <w:tcW w:w="56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生态保护重点</w:t>
            </w:r>
          </w:p>
        </w:tc>
        <w:tc>
          <w:tcPr>
            <w:tcW w:w="2932" w:type="dxa"/>
            <w:gridSpan w:val="2"/>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环境管控要求</w:t>
            </w:r>
          </w:p>
        </w:tc>
        <w:tc>
          <w:tcPr>
            <w:tcW w:w="212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本项目情况</w:t>
            </w:r>
          </w:p>
        </w:tc>
        <w:tc>
          <w:tcPr>
            <w:tcW w:w="567" w:type="dxa"/>
            <w:tcBorders>
              <w:top w:val="single" w:color="auto" w:sz="4" w:space="0"/>
              <w:left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567"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ZH1508231003</w:t>
            </w:r>
            <w:r>
              <w:rPr>
                <w:rFonts w:hint="default" w:ascii="Times New Roman" w:hAnsi="Times New Roman" w:eastAsia="宋体" w:cs="Times New Roman"/>
                <w:color w:val="auto"/>
                <w:sz w:val="21"/>
                <w:szCs w:val="21"/>
                <w:highlight w:val="none"/>
                <w:lang w:val="en-US" w:eastAsia="zh-CN"/>
              </w:rPr>
              <w:t>0</w:t>
            </w:r>
          </w:p>
        </w:tc>
        <w:tc>
          <w:tcPr>
            <w:tcW w:w="56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乌拉特前旗一般生态空间-水土保持</w:t>
            </w:r>
          </w:p>
        </w:tc>
        <w:tc>
          <w:tcPr>
            <w:tcW w:w="56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优先保护单元</w:t>
            </w:r>
          </w:p>
        </w:tc>
        <w:tc>
          <w:tcPr>
            <w:tcW w:w="56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一般生态空间</w:t>
            </w:r>
          </w:p>
        </w:tc>
        <w:tc>
          <w:tcPr>
            <w:tcW w:w="80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空间布局约束</w:t>
            </w:r>
          </w:p>
        </w:tc>
        <w:tc>
          <w:tcPr>
            <w:tcW w:w="212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全面实施保护天然林、退耕还林还牧工程，严禁陡坡垦殖，禁止在十五度以上陡坡地开垦种植农作物，禁止开垦的范围由区人民政府划定并公告；</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已经开垦种植农作物的应当按照国家有关规定逐步退耕还林还草；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耕地短缺或者已经签订农村土地承包合同、退耕确有困难的，应当根据实际采取相应的水土保持措施。</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禁止毁林开荒、烧山开荒，合理开发自然资源，保护和恢复自然生态系统，增强区域水土保持能力；</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禁止在崩塌、滑坡危险区和泥石流易发区从事取土、挖砂、采石等可能造成水土流失的活动。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禁止在水土流失重点预防区和重点治理区铲草皮、挖树等。</w:t>
            </w:r>
          </w:p>
        </w:tc>
        <w:tc>
          <w:tcPr>
            <w:tcW w:w="212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本项目乌拉特前旗额尔登布拉格苏木旧乡政府院内，用地性质为建设用地，不占用耕地、基本农田、草地及林地等，符合乌拉特前旗土地利用总体规划。</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本项目为滴灌带、地膜、PE管材管件生产项目，不涉及退耕还林还草等；并且本项目建设期不涉及取土、挖砂、采石、铲草皮、挖树等工程。</w:t>
            </w:r>
          </w:p>
        </w:tc>
        <w:tc>
          <w:tcPr>
            <w:tcW w:w="567"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pPr>
        <w:tabs>
          <w:tab w:val="center" w:pos="4153"/>
          <w:tab w:val="right" w:pos="8306"/>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巴彦淖尔市生态环境局2021年11月29日发布的《巴彦淖尔市生态环境准入清单》（巴环函[2021]61号），本项目位于乌拉特前旗一般生态空间-水土保持控制单元，环境管控单元编码ZH15082310030，属于优先保护单元，从空间布局约束、污染物排放管控、环境风险防控、资源利用效率要求等方面分析，本项目</w:t>
      </w:r>
      <w:r>
        <w:rPr>
          <w:rFonts w:hint="default" w:ascii="Times New Roman" w:hAnsi="Times New Roman" w:eastAsia="宋体" w:cs="Times New Roman"/>
          <w:color w:val="auto"/>
          <w:sz w:val="24"/>
          <w:szCs w:val="24"/>
          <w:highlight w:val="none"/>
          <w:lang w:eastAsia="zh-CN"/>
        </w:rPr>
        <w:t>配套设置</w:t>
      </w:r>
      <w:r>
        <w:rPr>
          <w:rFonts w:hint="default" w:ascii="Times New Roman" w:hAnsi="Times New Roman" w:eastAsia="宋体" w:cs="Times New Roman"/>
          <w:color w:val="auto"/>
          <w:sz w:val="24"/>
          <w:szCs w:val="24"/>
          <w:highlight w:val="none"/>
        </w:rPr>
        <w:t>环保措施，环境影响及环境风险可控；在生产工艺技术、设备水平、清洁化生产均达到国内先进水平。</w:t>
      </w:r>
    </w:p>
    <w:p>
      <w:pPr>
        <w:tabs>
          <w:tab w:val="center" w:pos="4153"/>
          <w:tab w:val="right" w:pos="8306"/>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因此，本项目符合三线一单管控要求。</w:t>
      </w:r>
    </w:p>
    <w:p>
      <w:pPr>
        <w:pStyle w:val="5"/>
        <w:shd w:val="clear"/>
        <w:spacing w:before="60" w:after="60"/>
        <w:rPr>
          <w:rFonts w:hint="default" w:ascii="Times New Roman" w:hAnsi="Times New Roman" w:eastAsia="宋体" w:cs="Times New Roman"/>
          <w:color w:val="auto"/>
          <w:highlight w:val="none"/>
        </w:rPr>
      </w:pPr>
      <w:bookmarkStart w:id="10" w:name="_Toc1602"/>
      <w:r>
        <w:rPr>
          <w:rFonts w:hint="default" w:ascii="Times New Roman" w:hAnsi="Times New Roman" w:eastAsia="宋体" w:cs="Times New Roman"/>
          <w:color w:val="auto"/>
          <w:highlight w:val="none"/>
        </w:rPr>
        <w:t>1.5 项目关注的主要环境问题</w:t>
      </w:r>
      <w:bookmarkEnd w:id="10"/>
    </w:p>
    <w:p>
      <w:pPr>
        <w:shd w:val="clear"/>
        <w:spacing w:line="360" w:lineRule="auto"/>
        <w:ind w:firstLine="480" w:firstLineChars="200"/>
        <w:jc w:val="both"/>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通过对项目工程的调查和分析，结合项目建设特点、项目周边环境特点、敏感目标分布以及项目对环境的影响方式及排污环节的可行性，项目的主要环境问题如下：</w:t>
      </w:r>
    </w:p>
    <w:p>
      <w:pPr>
        <w:shd w:val="clear"/>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（1）本项目</w:t>
      </w:r>
      <w:r>
        <w:rPr>
          <w:rFonts w:hint="default" w:ascii="Times New Roman" w:hAnsi="Times New Roman" w:eastAsia="宋体" w:cs="Times New Roman"/>
          <w:color w:val="auto"/>
          <w:sz w:val="24"/>
          <w:highlight w:val="none"/>
          <w:lang w:eastAsia="zh-CN"/>
        </w:rPr>
        <w:t>挤塑、切粒、</w:t>
      </w:r>
      <w:r>
        <w:rPr>
          <w:rFonts w:hint="default" w:ascii="Times New Roman" w:hAnsi="Times New Roman" w:eastAsia="宋体" w:cs="Times New Roman"/>
          <w:color w:val="auto"/>
          <w:sz w:val="24"/>
          <w:szCs w:val="24"/>
          <w:highlight w:val="none"/>
        </w:rPr>
        <w:t>吹塑</w:t>
      </w:r>
      <w:r>
        <w:rPr>
          <w:rFonts w:hint="default" w:ascii="Times New Roman" w:hAnsi="Times New Roman" w:eastAsia="宋体" w:cs="Times New Roman"/>
          <w:color w:val="auto"/>
          <w:sz w:val="24"/>
          <w:highlight w:val="none"/>
        </w:rPr>
        <w:t>工序会产生有机废气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以非甲烷总烃计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和颗粒物</w:t>
      </w:r>
      <w:r>
        <w:rPr>
          <w:rFonts w:hint="default" w:ascii="Times New Roman" w:hAnsi="Times New Roman" w:eastAsia="宋体" w:cs="Times New Roman"/>
          <w:color w:val="auto"/>
          <w:sz w:val="24"/>
          <w:highlight w:val="none"/>
        </w:rPr>
        <w:t>，主要对</w:t>
      </w:r>
      <w:r>
        <w:rPr>
          <w:rFonts w:hint="default" w:ascii="Times New Roman" w:hAnsi="Times New Roman" w:eastAsia="宋体" w:cs="Times New Roman"/>
          <w:color w:val="auto"/>
          <w:sz w:val="24"/>
          <w:highlight w:val="none"/>
          <w:lang w:eastAsia="zh-CN"/>
        </w:rPr>
        <w:t>废气</w:t>
      </w:r>
      <w:r>
        <w:rPr>
          <w:rFonts w:hint="default" w:ascii="Times New Roman" w:hAnsi="Times New Roman" w:eastAsia="宋体" w:cs="Times New Roman"/>
          <w:color w:val="auto"/>
          <w:sz w:val="24"/>
          <w:highlight w:val="none"/>
        </w:rPr>
        <w:t>的污染防治措施可行性及排放达标性进行分析；</w:t>
      </w:r>
    </w:p>
    <w:p>
      <w:pPr>
        <w:shd w:val="clear"/>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（2）本项目无生产废水外排，只对生活污水处置去向合理性分析；</w:t>
      </w:r>
    </w:p>
    <w:p>
      <w:pPr>
        <w:shd w:val="clear"/>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（3）本项目废气处理</w:t>
      </w:r>
      <w:r>
        <w:rPr>
          <w:rFonts w:hint="default" w:ascii="Times New Roman" w:hAnsi="Times New Roman" w:eastAsia="宋体" w:cs="Times New Roman"/>
          <w:color w:val="auto"/>
          <w:sz w:val="24"/>
          <w:highlight w:val="none"/>
          <w:lang w:val="en-US" w:eastAsia="zh-CN"/>
        </w:rPr>
        <w:t>设施产生的废耐高温过滤棉</w:t>
      </w:r>
      <w:r>
        <w:rPr>
          <w:rFonts w:hint="eastAsia" w:cs="Times New Roman"/>
          <w:color w:val="auto"/>
          <w:sz w:val="24"/>
          <w:highlight w:val="none"/>
          <w:lang w:val="en-US" w:eastAsia="zh-CN"/>
        </w:rPr>
        <w:t>、废灯管</w:t>
      </w:r>
      <w:r>
        <w:rPr>
          <w:rFonts w:hint="default" w:ascii="Times New Roman" w:hAnsi="Times New Roman" w:eastAsia="宋体" w:cs="Times New Roman"/>
          <w:color w:val="auto"/>
          <w:sz w:val="24"/>
          <w:highlight w:val="none"/>
          <w:lang w:val="en-US" w:eastAsia="zh-CN"/>
        </w:rPr>
        <w:t>和</w:t>
      </w:r>
      <w:r>
        <w:rPr>
          <w:rFonts w:hint="default" w:ascii="Times New Roman" w:hAnsi="Times New Roman" w:eastAsia="宋体" w:cs="Times New Roman"/>
          <w:color w:val="auto"/>
          <w:sz w:val="24"/>
          <w:highlight w:val="none"/>
        </w:rPr>
        <w:t>废活性炭</w:t>
      </w:r>
      <w:r>
        <w:rPr>
          <w:rFonts w:hint="default"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属于危险废物，主要对危险废物的暂存、运输、处置规范性进行分析，提出相应要求。</w:t>
      </w:r>
    </w:p>
    <w:p>
      <w:pPr>
        <w:pStyle w:val="5"/>
        <w:shd w:val="clear"/>
        <w:spacing w:before="60" w:after="60"/>
        <w:jc w:val="both"/>
        <w:rPr>
          <w:rFonts w:hint="default" w:ascii="Times New Roman" w:hAnsi="Times New Roman" w:eastAsia="宋体" w:cs="Times New Roman"/>
          <w:color w:val="auto"/>
          <w:highlight w:val="none"/>
        </w:rPr>
      </w:pPr>
      <w:bookmarkStart w:id="11" w:name="_Toc7095"/>
      <w:r>
        <w:rPr>
          <w:rFonts w:hint="default" w:ascii="Times New Roman" w:hAnsi="Times New Roman" w:eastAsia="宋体" w:cs="Times New Roman"/>
          <w:color w:val="auto"/>
          <w:highlight w:val="none"/>
        </w:rPr>
        <w:t>1.6 评价结论</w:t>
      </w:r>
      <w:bookmarkEnd w:id="11"/>
    </w:p>
    <w:p>
      <w:pPr>
        <w:shd w:val="clear"/>
        <w:spacing w:line="360" w:lineRule="auto"/>
        <w:ind w:firstLine="480" w:firstLineChars="200"/>
        <w:jc w:val="both"/>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本项目符合国家和地方相关产业政策，采取切实可行的环境保护措施后，能够做到污染物达标排放，环境风险可以接受，公众无反对意见。在严格执行“三同时”制度、落实本报告书提出的各项环保措施条件下，从环境影响角度分析，项目建设是可行的。</w:t>
      </w:r>
    </w:p>
    <w:p>
      <w:pPr>
        <w:shd w:val="clear"/>
        <w:spacing w:line="360" w:lineRule="auto"/>
        <w:ind w:firstLine="480" w:firstLineChars="200"/>
        <w:rPr>
          <w:rFonts w:hint="default" w:ascii="Times New Roman" w:hAnsi="Times New Roman" w:eastAsia="宋体" w:cs="Times New Roman"/>
          <w:bCs/>
          <w:color w:val="auto"/>
          <w:kern w:val="0"/>
          <w:sz w:val="24"/>
          <w:highlight w:val="none"/>
        </w:rPr>
      </w:pPr>
    </w:p>
    <w:p>
      <w:pPr>
        <w:shd w:val="clear"/>
        <w:rPr>
          <w:rFonts w:hint="default" w:ascii="Times New Roman" w:hAnsi="Times New Roman" w:eastAsia="宋体" w:cs="Times New Roman"/>
          <w:color w:val="auto"/>
          <w:highlight w:val="none"/>
        </w:rPr>
        <w:sectPr>
          <w:headerReference r:id="rId7" w:type="default"/>
          <w:footerReference r:id="rId8" w:type="default"/>
          <w:pgSz w:w="11907" w:h="16840"/>
          <w:pgMar w:top="1440" w:right="1797" w:bottom="1440" w:left="1797" w:header="851" w:footer="992" w:gutter="0"/>
          <w:pgNumType w:fmt="decimal" w:start="1"/>
          <w:cols w:space="425" w:num="1"/>
          <w:docGrid w:type="linesAndChars" w:linePitch="312" w:charSpace="0"/>
        </w:sectPr>
      </w:pPr>
    </w:p>
    <w:p>
      <w:pPr>
        <w:pStyle w:val="4"/>
        <w:keepNext w:val="0"/>
        <w:pageBreakBefore/>
        <w:shd w:val="clear"/>
        <w:spacing w:before="120" w:after="120" w:line="360" w:lineRule="auto"/>
        <w:rPr>
          <w:rFonts w:hint="default" w:ascii="Times New Roman" w:hAnsi="Times New Roman" w:eastAsia="宋体" w:cs="Times New Roman"/>
          <w:color w:val="auto"/>
          <w:szCs w:val="28"/>
          <w:highlight w:val="none"/>
        </w:rPr>
      </w:pPr>
      <w:bookmarkStart w:id="12" w:name="_Toc464475311"/>
      <w:bookmarkStart w:id="13" w:name="_Toc20332"/>
      <w:r>
        <w:rPr>
          <w:rFonts w:hint="default" w:ascii="Times New Roman" w:hAnsi="Times New Roman" w:eastAsia="宋体" w:cs="Times New Roman"/>
          <w:color w:val="auto"/>
          <w:szCs w:val="28"/>
          <w:highlight w:val="none"/>
        </w:rPr>
        <w:t>2总则</w:t>
      </w:r>
      <w:bookmarkEnd w:id="7"/>
      <w:bookmarkEnd w:id="8"/>
      <w:bookmarkEnd w:id="12"/>
      <w:bookmarkEnd w:id="13"/>
    </w:p>
    <w:p>
      <w:pPr>
        <w:pStyle w:val="5"/>
        <w:shd w:val="clear"/>
        <w:spacing w:before="60" w:after="60" w:line="360" w:lineRule="auto"/>
        <w:rPr>
          <w:rFonts w:hint="default" w:ascii="Times New Roman" w:hAnsi="Times New Roman" w:eastAsia="宋体" w:cs="Times New Roman"/>
          <w:color w:val="auto"/>
          <w:highlight w:val="none"/>
        </w:rPr>
      </w:pPr>
      <w:bookmarkStart w:id="14" w:name="_Toc1596"/>
      <w:bookmarkStart w:id="15" w:name="_Toc327383042"/>
      <w:bookmarkStart w:id="16" w:name="_Toc464475312"/>
      <w:bookmarkStart w:id="17" w:name="_Toc243119281"/>
      <w:r>
        <w:rPr>
          <w:rFonts w:hint="default" w:ascii="Times New Roman" w:hAnsi="Times New Roman" w:eastAsia="宋体" w:cs="Times New Roman"/>
          <w:color w:val="auto"/>
          <w:highlight w:val="none"/>
        </w:rPr>
        <w:t>2.1评价目的及指导思想</w:t>
      </w:r>
      <w:bookmarkEnd w:id="14"/>
      <w:bookmarkEnd w:id="15"/>
      <w:bookmarkEnd w:id="16"/>
      <w:bookmarkEnd w:id="17"/>
    </w:p>
    <w:p>
      <w:pPr>
        <w:pStyle w:val="6"/>
        <w:keepLines w:val="0"/>
        <w:shd w:val="clear"/>
        <w:spacing w:line="360" w:lineRule="auto"/>
        <w:rPr>
          <w:rFonts w:hint="default" w:ascii="Times New Roman" w:hAnsi="Times New Roman" w:eastAsia="宋体" w:cs="Times New Roman"/>
          <w:color w:val="auto"/>
          <w:highlight w:val="none"/>
        </w:rPr>
      </w:pPr>
      <w:bookmarkStart w:id="18" w:name="_Toc327383043"/>
      <w:bookmarkStart w:id="19" w:name="_Toc464475313"/>
      <w:bookmarkStart w:id="20" w:name="_Toc243119282"/>
      <w:r>
        <w:rPr>
          <w:rFonts w:hint="default" w:ascii="Times New Roman" w:hAnsi="Times New Roman" w:eastAsia="宋体" w:cs="Times New Roman"/>
          <w:color w:val="auto"/>
          <w:highlight w:val="none"/>
        </w:rPr>
        <w:t>2.1.1评价目的</w:t>
      </w:r>
      <w:bookmarkEnd w:id="18"/>
      <w:bookmarkEnd w:id="19"/>
      <w:bookmarkEnd w:id="20"/>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次评价目的是在对项目进行详细工程分析的基础上，明确工程所产生污染物的种类、数量和排放特征，运用合理的评价方法全面评价项目建设对建设地区可能产生的影响，论证项目及其选址的可行性，分析工程环保措施的可行性和可靠性，提出将不利影响减缓到合理可行的最低程度而必须采取的综合防治措施，从环保角度给出工程是否可行的结论，为建设项目的监督管理和环保设施的设计提供科学依据，以利于企业和社会经济的可持续发展。</w:t>
      </w:r>
    </w:p>
    <w:p>
      <w:pPr>
        <w:pStyle w:val="6"/>
        <w:keepLines w:val="0"/>
        <w:shd w:val="clear"/>
        <w:spacing w:line="360" w:lineRule="auto"/>
        <w:rPr>
          <w:rFonts w:hint="default" w:ascii="Times New Roman" w:hAnsi="Times New Roman" w:eastAsia="宋体" w:cs="Times New Roman"/>
          <w:color w:val="auto"/>
          <w:highlight w:val="none"/>
        </w:rPr>
      </w:pPr>
      <w:bookmarkStart w:id="21" w:name="_Toc85339369"/>
      <w:bookmarkStart w:id="22" w:name="_Toc243119283"/>
      <w:bookmarkStart w:id="23" w:name="_Toc464475314"/>
      <w:bookmarkStart w:id="24" w:name="_Toc81814831"/>
      <w:bookmarkStart w:id="25" w:name="_Toc84754785"/>
      <w:bookmarkStart w:id="26" w:name="_Toc84754930"/>
      <w:bookmarkStart w:id="27" w:name="_Toc327383044"/>
      <w:r>
        <w:rPr>
          <w:rFonts w:hint="default" w:ascii="Times New Roman" w:hAnsi="Times New Roman" w:eastAsia="宋体" w:cs="Times New Roman"/>
          <w:color w:val="auto"/>
          <w:highlight w:val="none"/>
        </w:rPr>
        <w:t>2.1.2评价指导思想</w:t>
      </w:r>
      <w:bookmarkEnd w:id="21"/>
      <w:bookmarkEnd w:id="22"/>
      <w:bookmarkEnd w:id="23"/>
      <w:bookmarkEnd w:id="24"/>
      <w:bookmarkEnd w:id="25"/>
      <w:bookmarkEnd w:id="26"/>
      <w:bookmarkEnd w:id="27"/>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工程内容，按照相关的环境保护法规、标准和有关规定，分析工程排放的污染物能否符合排放标准，分析设计中各工艺所达到的清洁生产水平，分析拟采用污染治理措施的可行性，最终提出合理、可靠、可行的污染防治措施。评价将贯彻“清洁生产”、“达标排放”和“总量控制”的原则。同时依据《环境影响评价技术导则》的要求，合理确定评价范围和评价因子，选择合适的预测模型预测项目排放的各类污染物对环境的影响程度和范围，结论力求做到科学、客观、公正、明确。</w:t>
      </w:r>
    </w:p>
    <w:p>
      <w:pPr>
        <w:pStyle w:val="5"/>
        <w:shd w:val="clear"/>
        <w:spacing w:before="60" w:after="60" w:line="360" w:lineRule="auto"/>
        <w:rPr>
          <w:rFonts w:hint="default" w:ascii="Times New Roman" w:hAnsi="Times New Roman" w:eastAsia="宋体" w:cs="Times New Roman"/>
          <w:color w:val="auto"/>
          <w:highlight w:val="none"/>
        </w:rPr>
      </w:pPr>
      <w:bookmarkStart w:id="28" w:name="_Toc85339370"/>
      <w:bookmarkStart w:id="29" w:name="_Toc8562"/>
      <w:bookmarkStart w:id="30" w:name="_Toc327383045"/>
      <w:bookmarkStart w:id="31" w:name="_Toc84754931"/>
      <w:bookmarkStart w:id="32" w:name="_Toc243119284"/>
      <w:bookmarkStart w:id="33" w:name="_Toc464475315"/>
      <w:bookmarkStart w:id="34" w:name="_Toc81814832"/>
      <w:bookmarkStart w:id="35" w:name="_Toc84754786"/>
      <w:r>
        <w:rPr>
          <w:rFonts w:hint="default" w:ascii="Times New Roman" w:hAnsi="Times New Roman" w:eastAsia="宋体" w:cs="Times New Roman"/>
          <w:color w:val="auto"/>
          <w:highlight w:val="none"/>
        </w:rPr>
        <w:t>2.2编制依据</w:t>
      </w:r>
      <w:bookmarkEnd w:id="28"/>
      <w:bookmarkEnd w:id="29"/>
      <w:bookmarkEnd w:id="30"/>
      <w:bookmarkEnd w:id="31"/>
      <w:bookmarkEnd w:id="32"/>
      <w:bookmarkEnd w:id="33"/>
      <w:bookmarkEnd w:id="34"/>
      <w:bookmarkEnd w:id="35"/>
    </w:p>
    <w:p>
      <w:pPr>
        <w:pStyle w:val="6"/>
        <w:keepLines w:val="0"/>
        <w:shd w:val="clear"/>
        <w:spacing w:line="360" w:lineRule="auto"/>
        <w:rPr>
          <w:rFonts w:hint="default" w:ascii="Times New Roman" w:hAnsi="Times New Roman" w:eastAsia="宋体" w:cs="Times New Roman"/>
          <w:color w:val="auto"/>
          <w:highlight w:val="none"/>
        </w:rPr>
      </w:pPr>
      <w:bookmarkStart w:id="36" w:name="_Toc243119285"/>
      <w:bookmarkStart w:id="37" w:name="_Toc327383046"/>
      <w:bookmarkStart w:id="38" w:name="_Toc464475316"/>
      <w:r>
        <w:rPr>
          <w:rFonts w:hint="default" w:ascii="Times New Roman" w:hAnsi="Times New Roman" w:eastAsia="宋体" w:cs="Times New Roman"/>
          <w:color w:val="auto"/>
          <w:highlight w:val="none"/>
        </w:rPr>
        <w:t>2.2.1国家有关法律法规</w:t>
      </w:r>
      <w:bookmarkEnd w:id="36"/>
      <w:bookmarkEnd w:id="37"/>
      <w:bookmarkEnd w:id="38"/>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（1）《中华人民共和国环境保护法》，2015.1.1施行；</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（2）《中华人民共和国环境影响评价法》，2018.12.29修订并施行；</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（3）《中华人民共和国大气污染防治法》，2018.10.26修订并施行；</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（4）《中华人民共和国水污染防治法》，2018.1.1施行；</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（5）《中华人民共和国固体废物污染环境防治法》，2020.9.1施行；</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（6）《中华人民共和国环境噪声污染防治法》，2018.12.29修订并施行；</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《中华人民共和国清洁生产促进法》（修订），2012年7月1日施行；</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《建设项目环境保护管理条例》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bidi="en-US"/>
        </w:rPr>
        <w:t>国务院令第682号</w:t>
      </w:r>
      <w:r>
        <w:rPr>
          <w:rFonts w:hint="default" w:ascii="Times New Roman" w:hAnsi="Times New Roman" w:eastAsia="宋体" w:cs="Times New Roman"/>
          <w:color w:val="auto"/>
          <w:sz w:val="24"/>
          <w:highlight w:val="none"/>
          <w:lang w:eastAsia="zh-CN" w:bidi="en-US"/>
        </w:rPr>
        <w:t>）</w:t>
      </w:r>
      <w:r>
        <w:rPr>
          <w:rFonts w:hint="default" w:ascii="Times New Roman" w:hAnsi="Times New Roman" w:eastAsia="宋体" w:cs="Times New Roman"/>
          <w:color w:val="auto"/>
          <w:sz w:val="24"/>
          <w:highlight w:val="none"/>
          <w:lang w:bidi="en-US"/>
        </w:rPr>
        <w:t>，2017年10月1日起施行；</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lang w:eastAsia="zh-CN"/>
        </w:rPr>
        <w:t>）《建设项目环境影响评价分类管理名录（2021年版）》（生态环境部令第16号），2021.1.1施行</w:t>
      </w:r>
      <w:r>
        <w:rPr>
          <w:rFonts w:hint="default" w:ascii="Times New Roman" w:hAnsi="Times New Roman" w:eastAsia="宋体" w:cs="Times New Roman"/>
          <w:bCs/>
          <w:color w:val="auto"/>
          <w:sz w:val="24"/>
          <w:szCs w:val="24"/>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《国务院关于印发大气污染防治行动计划的通知》，国发[2013]37号，2013年9月10日；</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《关于核定建设项目主要污染物排放总量控制指标有关问题的通知》，国家环境保护总局环办[2003]25号；</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《关于进一步加强环境影响评价管理防范环境风险的通知》，环发[2012]77号。</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《产业政策调整指导目录》（2019年本）；</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《国家危险废物名录》，20</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月1日起施行；</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《水污染防治行动计划》（国发[2015]17号，2015年4月2日）；</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《关于落实大气污染防治行动计划严格环境影响评价准入的通知》，环办[2014]30号，国家环境保护部，2014年3月25日。</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《关于发布&lt;废塑料加工利用污染防治管理规定&gt;的公告》（环境保护部 发展改革委商务部 公告2012年第55号）；</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《国务院办公厅关于建立完整的先进的废旧商品回收体系的意见》（国办发〔2011〕49号）；</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19</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《再生资源回收管理办法》（商务部令2019年第1号修订，2019年11月30日）；</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《废塑料综合利用行业规范条件》，工业和信息化部，2016年1月1日；</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《关于印发&lt;“十三五”挥发性有机物污染防治工作方案&gt;的通知》（环大气[2017]121号）</w:t>
      </w:r>
      <w:r>
        <w:rPr>
          <w:rFonts w:hint="default" w:ascii="Times New Roman" w:hAnsi="Times New Roman" w:eastAsia="宋体" w:cs="Times New Roman"/>
          <w:color w:val="auto"/>
          <w:sz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《关于进一步加强塑料污染治理的意见》（发改环资〔2020〕80号）。</w:t>
      </w:r>
    </w:p>
    <w:p>
      <w:pPr>
        <w:pStyle w:val="6"/>
        <w:keepLines w:val="0"/>
        <w:shd w:val="clear"/>
        <w:spacing w:line="360" w:lineRule="auto"/>
        <w:rPr>
          <w:rFonts w:hint="default" w:ascii="Times New Roman" w:hAnsi="Times New Roman" w:eastAsia="宋体" w:cs="Times New Roman"/>
          <w:color w:val="auto"/>
          <w:highlight w:val="none"/>
        </w:rPr>
      </w:pPr>
      <w:bookmarkStart w:id="39" w:name="_Toc464475317"/>
      <w:bookmarkStart w:id="40" w:name="_Toc327383047"/>
      <w:bookmarkStart w:id="41" w:name="_Toc243119286"/>
      <w:r>
        <w:rPr>
          <w:rFonts w:hint="default" w:ascii="Times New Roman" w:hAnsi="Times New Roman" w:eastAsia="宋体" w:cs="Times New Roman"/>
          <w:color w:val="auto"/>
          <w:highlight w:val="none"/>
        </w:rPr>
        <w:t>2.2.2地方有关法规及规划</w:t>
      </w:r>
      <w:bookmarkEnd w:id="39"/>
      <w:bookmarkEnd w:id="40"/>
      <w:bookmarkEnd w:id="41"/>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bookmarkStart w:id="42" w:name="_Toc64713905"/>
      <w:bookmarkStart w:id="43" w:name="_Toc68336332"/>
      <w:bookmarkStart w:id="44" w:name="_Toc67190144"/>
      <w:bookmarkStart w:id="45" w:name="_Toc67018725"/>
      <w:bookmarkStart w:id="46" w:name="_Toc68338548"/>
      <w:bookmarkStart w:id="47" w:name="_Toc68334264"/>
      <w:bookmarkStart w:id="48" w:name="_Toc72326264"/>
      <w:bookmarkStart w:id="49" w:name="_Toc68336941"/>
      <w:bookmarkStart w:id="50" w:name="_Toc154297186"/>
      <w:bookmarkStart w:id="51" w:name="_Toc154298736"/>
      <w:bookmarkStart w:id="52" w:name="_Toc154297843"/>
      <w:bookmarkStart w:id="53" w:name="_Toc85597224"/>
      <w:bookmarkStart w:id="54" w:name="_Toc152924405"/>
      <w:bookmarkStart w:id="55" w:name="_Toc142507293"/>
      <w:bookmarkStart w:id="56" w:name="_Toc74841319"/>
      <w:bookmarkStart w:id="57" w:name="_Toc75080941"/>
      <w:bookmarkStart w:id="58" w:name="_Toc137925217"/>
      <w:bookmarkStart w:id="59" w:name="_Toc154113587"/>
      <w:bookmarkStart w:id="60" w:name="_Toc99276191"/>
      <w:bookmarkStart w:id="61" w:name="_Toc99184535"/>
      <w:bookmarkStart w:id="62" w:name="_Toc99192613"/>
      <w:bookmarkStart w:id="63" w:name="_Toc75080781"/>
      <w:bookmarkStart w:id="64" w:name="_Toc29168735"/>
      <w:bookmarkStart w:id="65" w:name="_Toc99437217"/>
      <w:bookmarkStart w:id="66" w:name="_Toc142542704"/>
      <w:bookmarkStart w:id="67" w:name="_Toc99439579"/>
      <w:bookmarkStart w:id="68" w:name="_Toc99184185"/>
      <w:bookmarkStart w:id="69" w:name="_Toc75080868"/>
      <w:bookmarkStart w:id="70" w:name="_Toc29171358"/>
      <w:bookmarkStart w:id="71" w:name="_Toc99786789"/>
      <w:bookmarkStart w:id="72" w:name="_Toc225048629"/>
      <w:bookmarkStart w:id="73" w:name="_Toc142507907"/>
      <w:bookmarkStart w:id="74" w:name="_Toc74841506"/>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《内蒙古自治区环境保护条例》，2018年12月6日内蒙古自治区第十三届人民代表大会常务委员会第十次会议修正；</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《内蒙古自治区主体功能区划》；</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内蒙古自治区人民政府办公厅关于印发《自治区国家重点生态功能区产业准入负面清单（试行）》的通知，内政发[2018]11号；</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内蒙古自治区人民政府办公厅关于印发《内蒙古自治区限制开发区域限制类和禁止类产业指导目录（2016年本）》的通知；</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《关于全面加强生态环境保护坚决打好污染防治攻坚战的实施意见》，2018年8月22日。</w:t>
      </w:r>
    </w:p>
    <w:p>
      <w:pPr>
        <w:pStyle w:val="6"/>
        <w:keepLines w:val="0"/>
        <w:shd w:val="clear"/>
        <w:spacing w:line="360" w:lineRule="auto"/>
        <w:rPr>
          <w:rFonts w:hint="default" w:ascii="Times New Roman" w:hAnsi="Times New Roman" w:eastAsia="宋体" w:cs="Times New Roman"/>
          <w:color w:val="auto"/>
          <w:highlight w:val="none"/>
        </w:rPr>
      </w:pPr>
      <w:bookmarkStart w:id="75" w:name="_Toc327383049"/>
      <w:bookmarkStart w:id="76" w:name="_Toc243119287"/>
      <w:bookmarkStart w:id="77" w:name="_Toc464475318"/>
      <w:r>
        <w:rPr>
          <w:rFonts w:hint="default" w:ascii="Times New Roman" w:hAnsi="Times New Roman" w:eastAsia="宋体" w:cs="Times New Roman"/>
          <w:color w:val="auto"/>
          <w:highlight w:val="none"/>
        </w:rPr>
        <w:t>2.</w:t>
      </w:r>
      <w:bookmarkEnd w:id="42"/>
      <w:bookmarkEnd w:id="43"/>
      <w:bookmarkEnd w:id="44"/>
      <w:bookmarkEnd w:id="45"/>
      <w:bookmarkEnd w:id="46"/>
      <w:bookmarkEnd w:id="47"/>
      <w:bookmarkEnd w:id="48"/>
      <w:bookmarkEnd w:id="49"/>
      <w:r>
        <w:rPr>
          <w:rFonts w:hint="default" w:ascii="Times New Roman" w:hAnsi="Times New Roman" w:eastAsia="宋体" w:cs="Times New Roman"/>
          <w:color w:val="auto"/>
          <w:highlight w:val="none"/>
        </w:rPr>
        <w:t>2.</w:t>
      </w:r>
      <w:bookmarkEnd w:id="50"/>
      <w:bookmarkEnd w:id="51"/>
      <w:bookmarkEnd w:id="52"/>
      <w:bookmarkStart w:id="78" w:name="_Toc154298737"/>
      <w:bookmarkStart w:id="79" w:name="_Toc154297844"/>
      <w:bookmarkStart w:id="80" w:name="_Toc154297187"/>
      <w:r>
        <w:rPr>
          <w:rFonts w:hint="default" w:ascii="Times New Roman" w:hAnsi="Times New Roman" w:eastAsia="宋体" w:cs="Times New Roman"/>
          <w:color w:val="auto"/>
          <w:highlight w:val="none"/>
        </w:rPr>
        <w:t>4技术依据</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bookmarkStart w:id="81" w:name="_Toc243119288"/>
      <w:bookmarkStart w:id="82" w:name="_Toc327383050"/>
      <w:bookmarkStart w:id="83" w:name="_Toc464475319"/>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《建设项目环境影响评价技术导则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总纲》（HJ2.1-2016）；</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大气环境》（HJ2.2-2018）； </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地表水环境》（HJ2.3-2018）；</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地下水环境》（HJ610-2016）；</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声环境》（HJ2.4-2009）；</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生态环境》（HJ19-2011）； </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土壤环境（试行）》（HJ964-2018）；</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《建设项目环境风险评价技术导则》（HJ169-2018）；</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《危险化学品重大危险源辨识》（GB18218-2018）；</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《废塑料回收与再生利用污染控制技术规范（试行）》（HJ/T 364-2007）</w: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《挥发性有机物无组织排放控制标准》（GB37822-2019）。</w:t>
      </w:r>
    </w:p>
    <w:p>
      <w:pPr>
        <w:pStyle w:val="6"/>
        <w:keepLines w:val="0"/>
        <w:shd w:val="clea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2.2.5项目文件及参考资料</w:t>
      </w:r>
      <w:bookmarkEnd w:id="81"/>
      <w:bookmarkEnd w:id="82"/>
      <w:bookmarkEnd w:id="83"/>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内蒙古华伟泽农业有限公司高新滴灌带（管）、PE管材管件、地膜、再生资源回收利用建设项目</w:t>
      </w:r>
      <w:r>
        <w:rPr>
          <w:rFonts w:hint="default" w:ascii="Times New Roman" w:hAnsi="Times New Roman" w:eastAsia="宋体" w:cs="Times New Roman"/>
          <w:color w:val="auto"/>
          <w:sz w:val="24"/>
          <w:szCs w:val="24"/>
          <w:highlight w:val="none"/>
        </w:rPr>
        <w:t>环境影响评价委托书》，</w:t>
      </w:r>
      <w:r>
        <w:rPr>
          <w:rFonts w:hint="default" w:ascii="Times New Roman" w:hAnsi="Times New Roman" w:eastAsia="宋体" w:cs="Times New Roman"/>
          <w:color w:val="auto"/>
          <w:sz w:val="24"/>
          <w:szCs w:val="24"/>
          <w:highlight w:val="none"/>
          <w:lang w:eastAsia="zh-CN"/>
        </w:rPr>
        <w:t>内蒙古华伟泽农业有限公司</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建设单位提供的其它有关技术资料。</w:t>
      </w:r>
    </w:p>
    <w:p>
      <w:pPr>
        <w:pStyle w:val="5"/>
        <w:shd w:val="clear"/>
        <w:spacing w:before="60" w:after="60" w:line="360" w:lineRule="auto"/>
        <w:rPr>
          <w:rFonts w:hint="default" w:ascii="Times New Roman" w:hAnsi="Times New Roman" w:eastAsia="宋体" w:cs="Times New Roman"/>
          <w:color w:val="auto"/>
          <w:highlight w:val="none"/>
        </w:rPr>
      </w:pPr>
      <w:bookmarkStart w:id="84" w:name="_Toc84754788"/>
      <w:bookmarkStart w:id="85" w:name="_Toc85339371"/>
      <w:bookmarkStart w:id="86" w:name="_Toc243119289"/>
      <w:bookmarkStart w:id="87" w:name="_Toc327383051"/>
      <w:bookmarkStart w:id="88" w:name="_Toc12435"/>
      <w:bookmarkStart w:id="89" w:name="_Toc84754933"/>
      <w:bookmarkStart w:id="90" w:name="_Toc464475320"/>
      <w:bookmarkStart w:id="91" w:name="_Toc81814833"/>
      <w:r>
        <w:rPr>
          <w:rFonts w:hint="default" w:ascii="Times New Roman" w:hAnsi="Times New Roman" w:eastAsia="宋体" w:cs="Times New Roman"/>
          <w:color w:val="auto"/>
          <w:highlight w:val="none"/>
        </w:rPr>
        <w:t>2.3评价内容、评价重点</w:t>
      </w:r>
      <w:bookmarkEnd w:id="84"/>
      <w:bookmarkEnd w:id="85"/>
      <w:bookmarkEnd w:id="86"/>
      <w:bookmarkEnd w:id="87"/>
      <w:bookmarkEnd w:id="88"/>
      <w:bookmarkEnd w:id="89"/>
      <w:bookmarkEnd w:id="90"/>
      <w:bookmarkEnd w:id="91"/>
    </w:p>
    <w:p>
      <w:pPr>
        <w:pStyle w:val="6"/>
        <w:keepLines w:val="0"/>
        <w:shd w:val="clear"/>
        <w:spacing w:line="360" w:lineRule="auto"/>
        <w:rPr>
          <w:rFonts w:hint="default" w:ascii="Times New Roman" w:hAnsi="Times New Roman" w:eastAsia="宋体" w:cs="Times New Roman"/>
          <w:color w:val="auto"/>
          <w:highlight w:val="none"/>
        </w:rPr>
      </w:pPr>
      <w:bookmarkStart w:id="92" w:name="_Toc327383052"/>
      <w:bookmarkStart w:id="93" w:name="_Toc243119290"/>
      <w:bookmarkStart w:id="94" w:name="_Toc464475321"/>
      <w:r>
        <w:rPr>
          <w:rFonts w:hint="default" w:ascii="Times New Roman" w:hAnsi="Times New Roman" w:eastAsia="宋体" w:cs="Times New Roman"/>
          <w:color w:val="auto"/>
          <w:highlight w:val="none"/>
        </w:rPr>
        <w:t>2.3.1评价内容</w:t>
      </w:r>
      <w:bookmarkEnd w:id="92"/>
      <w:bookmarkEnd w:id="93"/>
      <w:bookmarkEnd w:id="94"/>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本次环评主要工作内容有：建设项目概况与工程分析、环境现状调查与评价、环境影响预测与评价、环境风险评价、环境保护措施及其经济技术论证、环境影响经济损益分析、环境管理与环境监测、结论与建议。</w:t>
      </w:r>
    </w:p>
    <w:p>
      <w:pPr>
        <w:pStyle w:val="6"/>
        <w:keepLines w:val="0"/>
        <w:shd w:val="clear"/>
        <w:spacing w:line="360" w:lineRule="auto"/>
        <w:rPr>
          <w:rFonts w:hint="default" w:ascii="Times New Roman" w:hAnsi="Times New Roman" w:eastAsia="宋体" w:cs="Times New Roman"/>
          <w:color w:val="auto"/>
          <w:highlight w:val="none"/>
        </w:rPr>
      </w:pPr>
      <w:bookmarkStart w:id="95" w:name="_Toc327383053"/>
      <w:bookmarkStart w:id="96" w:name="_Toc464475322"/>
      <w:bookmarkStart w:id="97" w:name="_Toc243119291"/>
      <w:r>
        <w:rPr>
          <w:rFonts w:hint="default" w:ascii="Times New Roman" w:hAnsi="Times New Roman" w:eastAsia="宋体" w:cs="Times New Roman"/>
          <w:color w:val="auto"/>
          <w:highlight w:val="none"/>
        </w:rPr>
        <w:t>2.3.2评价重点</w:t>
      </w:r>
      <w:bookmarkEnd w:id="95"/>
      <w:bookmarkEnd w:id="96"/>
      <w:bookmarkEnd w:id="97"/>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根据工程分析和环境影响识别结果，本次评价重点为：</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工程分析（重点对工程实施前后的污染排放情况进行分析评述）；</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环境影响预测与评价；</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环境保护措施及技术经济可行性分析。</w:t>
      </w:r>
    </w:p>
    <w:p>
      <w:pPr>
        <w:pStyle w:val="5"/>
        <w:shd w:val="clear"/>
        <w:spacing w:before="60" w:after="60" w:line="360" w:lineRule="auto"/>
        <w:rPr>
          <w:rFonts w:hint="default" w:ascii="Times New Roman" w:hAnsi="Times New Roman" w:eastAsia="宋体" w:cs="Times New Roman"/>
          <w:color w:val="auto"/>
          <w:highlight w:val="none"/>
        </w:rPr>
      </w:pPr>
      <w:bookmarkStart w:id="98" w:name="_Toc464475323"/>
      <w:bookmarkStart w:id="99" w:name="_Toc16852"/>
      <w:r>
        <w:rPr>
          <w:rFonts w:hint="default" w:ascii="Times New Roman" w:hAnsi="Times New Roman" w:eastAsia="宋体" w:cs="Times New Roman"/>
          <w:color w:val="auto"/>
          <w:highlight w:val="none"/>
        </w:rPr>
        <w:t>2.4 环境影响因素与评价因子</w:t>
      </w:r>
      <w:bookmarkEnd w:id="98"/>
      <w:bookmarkEnd w:id="99"/>
    </w:p>
    <w:p>
      <w:pPr>
        <w:pStyle w:val="6"/>
        <w:keepLines w:val="0"/>
        <w:shd w:val="clear"/>
        <w:spacing w:line="360" w:lineRule="auto"/>
        <w:rPr>
          <w:rFonts w:hint="default" w:ascii="Times New Roman" w:hAnsi="Times New Roman" w:eastAsia="宋体" w:cs="Times New Roman"/>
          <w:color w:val="auto"/>
          <w:highlight w:val="none"/>
        </w:rPr>
      </w:pPr>
      <w:bookmarkStart w:id="100" w:name="_Toc464475324"/>
      <w:r>
        <w:rPr>
          <w:rFonts w:hint="default" w:ascii="Times New Roman" w:hAnsi="Times New Roman" w:eastAsia="宋体" w:cs="Times New Roman"/>
          <w:color w:val="auto"/>
          <w:highlight w:val="none"/>
        </w:rPr>
        <w:t>2.4.1 环境影响因素识别</w:t>
      </w:r>
      <w:bookmarkEnd w:id="100"/>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根据该项目的生产特点和污染物的排放种类、排放量以及对环境的影响，将项目施工和运营过程中产生的污染物及对环境的影响列于表2.4-1。</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表2.4-1 环境影响因素分析表</w:t>
      </w:r>
    </w:p>
    <w:tbl>
      <w:tblPr>
        <w:tblStyle w:val="90"/>
        <w:tblW w:w="8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5"/>
        <w:gridCol w:w="1161"/>
        <w:gridCol w:w="645"/>
        <w:gridCol w:w="645"/>
        <w:gridCol w:w="645"/>
        <w:gridCol w:w="645"/>
        <w:gridCol w:w="645"/>
        <w:gridCol w:w="645"/>
        <w:gridCol w:w="646"/>
        <w:gridCol w:w="646"/>
        <w:gridCol w:w="646"/>
        <w:gridCol w:w="64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645" w:type="dxa"/>
            <w:vMerge w:val="restart"/>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阶段</w:t>
            </w:r>
          </w:p>
        </w:tc>
        <w:tc>
          <w:tcPr>
            <w:tcW w:w="1161" w:type="dxa"/>
            <w:vMerge w:val="restart"/>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影</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响</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动</w:t>
            </w:r>
          </w:p>
        </w:tc>
        <w:tc>
          <w:tcPr>
            <w:tcW w:w="3225" w:type="dxa"/>
            <w:gridSpan w:val="5"/>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自然环境</w:t>
            </w:r>
          </w:p>
        </w:tc>
        <w:tc>
          <w:tcPr>
            <w:tcW w:w="1937" w:type="dxa"/>
            <w:gridSpan w:val="3"/>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w:t>
            </w:r>
          </w:p>
        </w:tc>
        <w:tc>
          <w:tcPr>
            <w:tcW w:w="1292" w:type="dxa"/>
            <w:gridSpan w:val="2"/>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生活质量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645" w:type="dxa"/>
            <w:vMerge w:val="continue"/>
            <w:vAlign w:val="center"/>
          </w:tcPr>
          <w:p>
            <w:pPr>
              <w:shd w:val="clear"/>
              <w:rPr>
                <w:rFonts w:hint="default" w:ascii="Times New Roman" w:hAnsi="Times New Roman" w:eastAsia="宋体" w:cs="Times New Roman"/>
                <w:color w:val="auto"/>
                <w:szCs w:val="21"/>
                <w:highlight w:val="none"/>
              </w:rPr>
            </w:pPr>
          </w:p>
        </w:tc>
        <w:tc>
          <w:tcPr>
            <w:tcW w:w="1161" w:type="dxa"/>
            <w:vMerge w:val="continue"/>
            <w:vAlign w:val="center"/>
          </w:tcPr>
          <w:p>
            <w:pPr>
              <w:shd w:val="clea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气</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下</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学</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水土</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流失</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植</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被</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壤</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农</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作</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物</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活</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平</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Merge w:val="restart"/>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期</w:t>
            </w:r>
          </w:p>
        </w:tc>
        <w:tc>
          <w:tcPr>
            <w:tcW w:w="1161"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清理场地</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-1S</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Merge w:val="continue"/>
            <w:vAlign w:val="center"/>
          </w:tcPr>
          <w:p>
            <w:pPr>
              <w:shd w:val="clear"/>
              <w:rPr>
                <w:rFonts w:hint="default" w:ascii="Times New Roman" w:hAnsi="Times New Roman" w:eastAsia="宋体" w:cs="Times New Roman"/>
                <w:color w:val="auto"/>
                <w:szCs w:val="21"/>
                <w:highlight w:val="none"/>
              </w:rPr>
            </w:pPr>
          </w:p>
        </w:tc>
        <w:tc>
          <w:tcPr>
            <w:tcW w:w="1161"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开挖地面</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-1S</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-1S</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-1S</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-1S</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Merge w:val="continue"/>
            <w:vAlign w:val="center"/>
          </w:tcPr>
          <w:p>
            <w:pPr>
              <w:shd w:val="clear"/>
              <w:rPr>
                <w:rFonts w:hint="default" w:ascii="Times New Roman" w:hAnsi="Times New Roman" w:eastAsia="宋体" w:cs="Times New Roman"/>
                <w:color w:val="auto"/>
                <w:szCs w:val="21"/>
                <w:highlight w:val="none"/>
              </w:rPr>
            </w:pPr>
          </w:p>
        </w:tc>
        <w:tc>
          <w:tcPr>
            <w:tcW w:w="1161"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    输</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-2S</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-1S</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Merge w:val="continue"/>
            <w:vAlign w:val="center"/>
          </w:tcPr>
          <w:p>
            <w:pPr>
              <w:shd w:val="clear"/>
              <w:rPr>
                <w:rFonts w:hint="default" w:ascii="Times New Roman" w:hAnsi="Times New Roman" w:eastAsia="宋体" w:cs="Times New Roman"/>
                <w:color w:val="auto"/>
                <w:szCs w:val="21"/>
                <w:highlight w:val="none"/>
              </w:rPr>
            </w:pPr>
          </w:p>
        </w:tc>
        <w:tc>
          <w:tcPr>
            <w:tcW w:w="1161"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建设安装</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-1S</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Merge w:val="continue"/>
            <w:vAlign w:val="center"/>
          </w:tcPr>
          <w:p>
            <w:pPr>
              <w:shd w:val="clear"/>
              <w:rPr>
                <w:rFonts w:hint="default" w:ascii="Times New Roman" w:hAnsi="Times New Roman" w:eastAsia="宋体" w:cs="Times New Roman"/>
                <w:color w:val="auto"/>
                <w:szCs w:val="21"/>
                <w:highlight w:val="none"/>
              </w:rPr>
            </w:pPr>
          </w:p>
        </w:tc>
        <w:tc>
          <w:tcPr>
            <w:tcW w:w="1161"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材料堆存</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-1S</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-1S</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Merge w:val="restart"/>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期</w:t>
            </w:r>
          </w:p>
        </w:tc>
        <w:tc>
          <w:tcPr>
            <w:tcW w:w="1161"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    气</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-2L</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Merge w:val="continue"/>
            <w:vAlign w:val="center"/>
          </w:tcPr>
          <w:p>
            <w:pPr>
              <w:shd w:val="clear"/>
              <w:rPr>
                <w:rFonts w:hint="default" w:ascii="Times New Roman" w:hAnsi="Times New Roman" w:eastAsia="宋体" w:cs="Times New Roman"/>
                <w:color w:val="auto"/>
                <w:szCs w:val="21"/>
                <w:highlight w:val="none"/>
              </w:rPr>
            </w:pPr>
          </w:p>
        </w:tc>
        <w:tc>
          <w:tcPr>
            <w:tcW w:w="1161"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    水</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Merge w:val="continue"/>
            <w:vAlign w:val="center"/>
          </w:tcPr>
          <w:p>
            <w:pPr>
              <w:shd w:val="clear"/>
              <w:rPr>
                <w:rFonts w:hint="default" w:ascii="Times New Roman" w:hAnsi="Times New Roman" w:eastAsia="宋体" w:cs="Times New Roman"/>
                <w:color w:val="auto"/>
                <w:szCs w:val="21"/>
                <w:highlight w:val="none"/>
              </w:rPr>
            </w:pPr>
          </w:p>
        </w:tc>
        <w:tc>
          <w:tcPr>
            <w:tcW w:w="1161"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    废</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Merge w:val="continue"/>
            <w:vAlign w:val="center"/>
          </w:tcPr>
          <w:p>
            <w:pPr>
              <w:shd w:val="clear"/>
              <w:rPr>
                <w:rFonts w:hint="default" w:ascii="Times New Roman" w:hAnsi="Times New Roman" w:eastAsia="宋体" w:cs="Times New Roman"/>
                <w:color w:val="auto"/>
                <w:szCs w:val="21"/>
                <w:highlight w:val="none"/>
              </w:rPr>
            </w:pPr>
          </w:p>
        </w:tc>
        <w:tc>
          <w:tcPr>
            <w:tcW w:w="1161"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    声</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5"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p>
        </w:tc>
        <w:tc>
          <w:tcPr>
            <w:tcW w:w="646" w:type="dxa"/>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 w:type="dxa"/>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注释</w:t>
            </w:r>
          </w:p>
        </w:tc>
        <w:tc>
          <w:tcPr>
            <w:tcW w:w="7615" w:type="dxa"/>
            <w:gridSpan w:val="11"/>
            <w:tcMar>
              <w:top w:w="0" w:type="dxa"/>
              <w:left w:w="0" w:type="dxa"/>
              <w:bottom w:w="0" w:type="dxa"/>
              <w:right w:w="0" w:type="dxa"/>
            </w:tcMar>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+有利影响；-不利影响；S短期影响 ；L长期影响；1、2、3影响程度由小到大</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由表2.4-1可知，项目运行期对环境的不利影响主要是生产</w:t>
      </w:r>
      <w:r>
        <w:rPr>
          <w:rFonts w:hint="default" w:ascii="Times New Roman" w:hAnsi="Times New Roman" w:eastAsia="宋体" w:cs="Times New Roman"/>
          <w:color w:val="auto"/>
          <w:sz w:val="24"/>
          <w:highlight w:val="none"/>
          <w:lang w:eastAsia="zh-CN"/>
        </w:rPr>
        <w:t>线</w:t>
      </w:r>
      <w:r>
        <w:rPr>
          <w:rFonts w:hint="default" w:ascii="Times New Roman" w:hAnsi="Times New Roman" w:eastAsia="宋体" w:cs="Times New Roman"/>
          <w:color w:val="auto"/>
          <w:sz w:val="24"/>
          <w:highlight w:val="none"/>
        </w:rPr>
        <w:t>产生的废气的影响最大，其次为废水、固废和噪声。运行期的影响为长期的直接影响，因此进行评价的主要时段是运行期，评价重点应为大气环境和废水处理及回用措施可行性分析。</w:t>
      </w:r>
    </w:p>
    <w:p>
      <w:pPr>
        <w:pStyle w:val="6"/>
        <w:keepLines w:val="0"/>
        <w:shd w:val="clear"/>
        <w:spacing w:line="360" w:lineRule="auto"/>
        <w:rPr>
          <w:rFonts w:hint="default" w:ascii="Times New Roman" w:hAnsi="Times New Roman" w:eastAsia="宋体" w:cs="Times New Roman"/>
          <w:color w:val="auto"/>
          <w:highlight w:val="none"/>
        </w:rPr>
      </w:pPr>
      <w:bookmarkStart w:id="101" w:name="_Toc464475325"/>
      <w:r>
        <w:rPr>
          <w:rFonts w:hint="default" w:ascii="Times New Roman" w:hAnsi="Times New Roman" w:eastAsia="宋体" w:cs="Times New Roman"/>
          <w:color w:val="auto"/>
          <w:highlight w:val="none"/>
        </w:rPr>
        <w:t>2.4.2 评价因子筛选</w:t>
      </w:r>
      <w:bookmarkEnd w:id="101"/>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通过对项目产生的污染源及其影响的初步分析，结合拟建项目周围环境特征及环境保护目标的敏感程度，评价因子的筛选结果详见表2.4-2。</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表2.4-2 评价因子筛选结果</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308"/>
        <w:gridCol w:w="5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8" w:type="dxa"/>
            <w:gridSpan w:val="2"/>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5382"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0" w:type="dxa"/>
            <w:vMerge w:val="restart"/>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308"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5382"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、CO、O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TSP、</w:t>
            </w:r>
            <w:r>
              <w:rPr>
                <w:rFonts w:hint="default" w:ascii="Times New Roman" w:hAnsi="Times New Roman" w:eastAsia="宋体" w:cs="Times New Roman"/>
                <w:color w:val="auto"/>
                <w:sz w:val="21"/>
                <w:szCs w:val="21"/>
                <w:highlight w:val="none"/>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0" w:type="dxa"/>
            <w:vMerge w:val="continue"/>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8"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382"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颗粒物、</w:t>
            </w:r>
            <w:r>
              <w:rPr>
                <w:rFonts w:hint="default" w:ascii="Times New Roman" w:hAnsi="Times New Roman" w:eastAsia="宋体" w:cs="Times New Roman"/>
                <w:color w:val="auto"/>
                <w:sz w:val="21"/>
                <w:szCs w:val="21"/>
                <w:highlight w:val="none"/>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0" w:type="dxa"/>
            <w:vMerge w:val="restart"/>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地下水环境</w:t>
            </w:r>
          </w:p>
        </w:tc>
        <w:tc>
          <w:tcPr>
            <w:tcW w:w="1308"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5382"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pH、色度、溶解性总固体、总硬度、氟化物、氰化物、硫酸盐、耗氧量、亚硝酸盐氮、氨氮、硝酸盐氮、六价铬、挥发酚、总砷、总汞、总硒、总铅、总镉、总铜、总锌、总铁、总锰、总镍、阴离子表面活性剂、K</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rPr>
              <w:t>、Na</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rPr>
              <w:t>、Ca</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、Mg</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、CO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、HCO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rPr>
              <w:t>、Cl</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rPr>
              <w:t>和SO</w:t>
            </w:r>
            <w:r>
              <w:rPr>
                <w:rFonts w:hint="default" w:ascii="Times New Roman" w:hAnsi="Times New Roman" w:eastAsia="宋体" w:cs="Times New Roman"/>
                <w:color w:val="auto"/>
                <w:kern w:val="0"/>
                <w:sz w:val="21"/>
                <w:szCs w:val="21"/>
                <w:highlight w:val="none"/>
                <w:vertAlign w:val="subscript"/>
              </w:rPr>
              <w:t>4</w:t>
            </w:r>
            <w:r>
              <w:rPr>
                <w:rFonts w:hint="default" w:ascii="Times New Roman" w:hAnsi="Times New Roman" w:eastAsia="宋体" w:cs="Times New Roman"/>
                <w:color w:val="auto"/>
                <w:kern w:val="0"/>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0" w:type="dxa"/>
            <w:vMerge w:val="continue"/>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8"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382"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0" w:type="dxa"/>
            <w:vMerge w:val="restart"/>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308"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5382" w:type="dxa"/>
            <w:vMerge w:val="restart"/>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0" w:type="dxa"/>
            <w:vMerge w:val="continue"/>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8"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382" w:type="dxa"/>
            <w:vMerge w:val="continue"/>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0" w:type="dxa"/>
            <w:vMerge w:val="restart"/>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土壤环境</w:t>
            </w:r>
          </w:p>
        </w:tc>
        <w:tc>
          <w:tcPr>
            <w:tcW w:w="1308"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5382"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砷、镉、铬（六价）、铜、铅、汞、镍、四氯化碳、氯仿、氯甲烷、1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1-二氯乙烷、1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1-二氯乙烯、顺-1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2-二氯乙烯、反-1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2-二氯乙烯、二氯甲烷、1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2-四氯乙烷、1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2-四氯乙烷、四氯乙烯、1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1-三氯乙烷、1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2-三氯乙烷、三氯乙烯、1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3-三氯丙烷、氯乙烯、苯、氯苯、1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4-二氯苯、乙苯、苯乙烯、甲苯、间二甲苯+对二甲苯、邻二甲苯、硝基苯、苯胺、2-氯酚、苯并[a]蒽、苯并[a]芘、苯并[b]荧蒽、苯并[k]荧蒽、䓛、二苯并[a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h]蒽、茚并[1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3-cd]芘、萘，共计4</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0" w:type="dxa"/>
            <w:vMerge w:val="continue"/>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8"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382"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0"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308"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w:t>
            </w:r>
          </w:p>
        </w:tc>
        <w:tc>
          <w:tcPr>
            <w:tcW w:w="5382" w:type="dxa"/>
            <w:shd w:val="clear" w:color="auto" w:fill="auto"/>
            <w:vAlign w:val="center"/>
          </w:tcPr>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一般固废、危险废物</w:t>
            </w:r>
          </w:p>
        </w:tc>
      </w:tr>
    </w:tbl>
    <w:p>
      <w:pPr>
        <w:pStyle w:val="5"/>
        <w:keepLines w:val="0"/>
        <w:pageBreakBefore w:val="0"/>
        <w:widowControl w:val="0"/>
        <w:shd w:val="clear"/>
        <w:kinsoku/>
        <w:wordWrap/>
        <w:overflowPunct/>
        <w:topLinePunct w:val="0"/>
        <w:autoSpaceDE/>
        <w:autoSpaceDN/>
        <w:bidi w:val="0"/>
        <w:adjustRightInd/>
        <w:snapToGrid/>
        <w:spacing w:before="60" w:after="60" w:line="360" w:lineRule="auto"/>
        <w:textAlignment w:val="auto"/>
        <w:rPr>
          <w:rFonts w:hint="default" w:ascii="Times New Roman" w:hAnsi="Times New Roman" w:eastAsia="宋体" w:cs="Times New Roman"/>
          <w:color w:val="auto"/>
          <w:highlight w:val="none"/>
        </w:rPr>
      </w:pPr>
      <w:bookmarkStart w:id="102" w:name="_Toc327383054"/>
      <w:bookmarkStart w:id="103" w:name="_Toc464475326"/>
      <w:bookmarkStart w:id="104" w:name="_Toc28496"/>
      <w:bookmarkStart w:id="105" w:name="_Toc243119292"/>
      <w:r>
        <w:rPr>
          <w:rFonts w:hint="default" w:ascii="Times New Roman" w:hAnsi="Times New Roman" w:eastAsia="宋体" w:cs="Times New Roman"/>
          <w:color w:val="auto"/>
          <w:highlight w:val="none"/>
        </w:rPr>
        <w:t>2.5评价标准</w:t>
      </w:r>
      <w:bookmarkEnd w:id="102"/>
      <w:bookmarkEnd w:id="103"/>
      <w:bookmarkEnd w:id="104"/>
      <w:bookmarkEnd w:id="105"/>
      <w:bookmarkStart w:id="106" w:name="_Toc243119293"/>
    </w:p>
    <w:p>
      <w:pPr>
        <w:pStyle w:val="6"/>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bookmarkStart w:id="107" w:name="_Toc327383055"/>
      <w:bookmarkStart w:id="108" w:name="_Toc464475327"/>
      <w:r>
        <w:rPr>
          <w:rFonts w:hint="default" w:ascii="Times New Roman" w:hAnsi="Times New Roman" w:eastAsia="宋体" w:cs="Times New Roman"/>
          <w:color w:val="auto"/>
          <w:highlight w:val="none"/>
        </w:rPr>
        <w:t>2.5.1环境质量标准</w:t>
      </w:r>
      <w:bookmarkEnd w:id="106"/>
      <w:bookmarkEnd w:id="107"/>
      <w:bookmarkEnd w:id="108"/>
    </w:p>
    <w:p>
      <w:pPr>
        <w:pStyle w:val="159"/>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highlight w:val="none"/>
        </w:rPr>
        <w:t>环境空气中SO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、CO、O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10</w:t>
      </w: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2.5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TSP</w:t>
      </w:r>
      <w:r>
        <w:rPr>
          <w:rFonts w:hint="default" w:ascii="Times New Roman" w:hAnsi="Times New Roman" w:eastAsia="宋体" w:cs="Times New Roman"/>
          <w:color w:val="auto"/>
          <w:highlight w:val="none"/>
        </w:rPr>
        <w:t>执行《环境空气质量标准》（GB3095-2012）及修改单表1中二级标准；非甲烷总烃参照执行河北省地方标准《环境空气质量</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非甲烷总烃限值》（</w:t>
      </w:r>
      <w:r>
        <w:rPr>
          <w:rFonts w:hint="default" w:ascii="Times New Roman" w:hAnsi="Times New Roman" w:eastAsia="宋体" w:cs="Times New Roman"/>
          <w:color w:val="auto"/>
          <w:highlight w:val="none"/>
          <w:lang w:eastAsia="zh-CN"/>
        </w:rPr>
        <w:t>DB13/1577</w:t>
      </w:r>
      <w:r>
        <w:rPr>
          <w:rFonts w:hint="default" w:ascii="Times New Roman" w:hAnsi="Times New Roman" w:eastAsia="宋体" w:cs="Times New Roman"/>
          <w:color w:val="auto"/>
          <w:highlight w:val="none"/>
        </w:rPr>
        <w:t>-2012）中二级标准要求；</w:t>
      </w:r>
    </w:p>
    <w:p>
      <w:pPr>
        <w:pStyle w:val="159"/>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highlight w:val="none"/>
        </w:rPr>
        <w:t>地下水环境执行《地下水质量标准》（GB/T14848-2017）中的Ⅲ类标准；</w:t>
      </w:r>
    </w:p>
    <w:p>
      <w:pPr>
        <w:pStyle w:val="159"/>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highlight w:val="none"/>
        </w:rPr>
        <w:t>声环境执行《声环境质量标准》（GB3096-2008）中的</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类</w:t>
      </w:r>
      <w:r>
        <w:rPr>
          <w:rFonts w:hint="default" w:ascii="Times New Roman" w:hAnsi="Times New Roman" w:eastAsia="宋体" w:cs="Times New Roman"/>
          <w:color w:val="auto"/>
          <w:highlight w:val="none"/>
          <w:lang w:eastAsia="zh-CN"/>
        </w:rPr>
        <w:t>功能区的</w:t>
      </w:r>
      <w:r>
        <w:rPr>
          <w:rFonts w:hint="default" w:ascii="Times New Roman" w:hAnsi="Times New Roman" w:eastAsia="宋体" w:cs="Times New Roman"/>
          <w:color w:val="auto"/>
          <w:highlight w:val="none"/>
        </w:rPr>
        <w:t>标准</w:t>
      </w:r>
      <w:r>
        <w:rPr>
          <w:rFonts w:hint="default" w:ascii="Times New Roman" w:hAnsi="Times New Roman" w:eastAsia="宋体" w:cs="Times New Roman"/>
          <w:color w:val="auto"/>
          <w:highlight w:val="none"/>
          <w:lang w:eastAsia="zh-CN"/>
        </w:rPr>
        <w:t>；</w:t>
      </w:r>
    </w:p>
    <w:p>
      <w:pPr>
        <w:pStyle w:val="159"/>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highlight w:val="none"/>
          <w:lang w:val="en-US" w:eastAsia="zh-CN"/>
        </w:rPr>
        <w:t>土壤环境执行《土壤环境质量建设用地土壤污染风险管控标准》（GB36600-2018）中第二类用地的筛选值</w:t>
      </w:r>
      <w:r>
        <w:rPr>
          <w:rFonts w:hint="default" w:ascii="Times New Roman" w:hAnsi="Times New Roman" w:eastAsia="宋体" w:cs="Times New Roman"/>
          <w:color w:val="auto"/>
          <w:highlight w:val="none"/>
        </w:rPr>
        <w:t>；</w:t>
      </w:r>
    </w:p>
    <w:p>
      <w:pPr>
        <w:pStyle w:val="159"/>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环境质量标准值见表2.5-1~2.5-</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表2.5-1  环境空气质量标准</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652"/>
        <w:gridCol w:w="1652"/>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Merge w:val="restart"/>
            <w:vAlign w:val="center"/>
          </w:tcPr>
          <w:p>
            <w:pPr>
              <w:keepNext/>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污染因子</w:t>
            </w:r>
          </w:p>
        </w:tc>
        <w:tc>
          <w:tcPr>
            <w:tcW w:w="3304" w:type="dxa"/>
            <w:gridSpan w:val="2"/>
            <w:vAlign w:val="center"/>
          </w:tcPr>
          <w:p>
            <w:pPr>
              <w:keepNext/>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3304" w:type="dxa"/>
            <w:vMerge w:val="restart"/>
            <w:vAlign w:val="center"/>
          </w:tcPr>
          <w:p>
            <w:pPr>
              <w:keepNext/>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Merge w:val="continue"/>
            <w:vAlign w:val="center"/>
          </w:tcPr>
          <w:p>
            <w:pPr>
              <w:keepNext/>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p>
        </w:tc>
        <w:tc>
          <w:tcPr>
            <w:tcW w:w="1652" w:type="dxa"/>
            <w:vAlign w:val="center"/>
          </w:tcPr>
          <w:p>
            <w:pPr>
              <w:keepNext/>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w:t>
            </w:r>
          </w:p>
        </w:tc>
        <w:tc>
          <w:tcPr>
            <w:tcW w:w="1652" w:type="dxa"/>
            <w:vAlign w:val="center"/>
          </w:tcPr>
          <w:p>
            <w:pPr>
              <w:keepNext/>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小时平均</w:t>
            </w:r>
          </w:p>
        </w:tc>
        <w:tc>
          <w:tcPr>
            <w:tcW w:w="3304" w:type="dxa"/>
            <w:vMerge w:val="continue"/>
            <w:vAlign w:val="center"/>
          </w:tcPr>
          <w:p>
            <w:pPr>
              <w:keepNext/>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3304" w:type="dxa"/>
            <w:vMerge w:val="restart"/>
            <w:vAlign w:val="center"/>
          </w:tcPr>
          <w:p>
            <w:pPr>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《环境空气质量标准》（GB3095-2012）及修改单表1中二级标准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w:t>
            </w:r>
          </w:p>
        </w:tc>
        <w:tc>
          <w:tcPr>
            <w:tcW w:w="3304" w:type="dxa"/>
            <w:vMerge w:val="continue"/>
            <w:vAlign w:val="center"/>
          </w:tcPr>
          <w:p>
            <w:pPr>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304" w:type="dxa"/>
            <w:vMerge w:val="continue"/>
            <w:vAlign w:val="center"/>
          </w:tcPr>
          <w:p>
            <w:pPr>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0.16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日最大8小时平均</w:t>
            </w:r>
            <w:r>
              <w:rPr>
                <w:rFonts w:hint="default" w:ascii="Times New Roman" w:hAnsi="Times New Roman" w:eastAsia="宋体" w:cs="Times New Roman"/>
                <w:color w:val="auto"/>
                <w:sz w:val="21"/>
                <w:szCs w:val="21"/>
                <w:highlight w:val="none"/>
                <w:lang w:eastAsia="zh-CN"/>
              </w:rPr>
              <w:t>）</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w:t>
            </w:r>
          </w:p>
        </w:tc>
        <w:tc>
          <w:tcPr>
            <w:tcW w:w="3304" w:type="dxa"/>
            <w:vMerge w:val="continue"/>
            <w:vAlign w:val="center"/>
          </w:tcPr>
          <w:p>
            <w:pPr>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04" w:type="dxa"/>
            <w:vMerge w:val="continue"/>
            <w:vAlign w:val="center"/>
          </w:tcPr>
          <w:p>
            <w:pPr>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0.075</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3304" w:type="dxa"/>
            <w:vMerge w:val="continue"/>
            <w:vAlign w:val="center"/>
          </w:tcPr>
          <w:p>
            <w:pPr>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TSP</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304" w:type="dxa"/>
            <w:vMerge w:val="continue"/>
            <w:vAlign w:val="center"/>
          </w:tcPr>
          <w:p>
            <w:pPr>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52" w:type="dxa"/>
            <w:vAlign w:val="center"/>
          </w:tcPr>
          <w:p>
            <w:pPr>
              <w:keepLines w:val="0"/>
              <w:pageBreakBefore w:val="0"/>
              <w:widowControl/>
              <w:shd w:val="clea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3304" w:type="dxa"/>
            <w:vAlign w:val="center"/>
          </w:tcPr>
          <w:p>
            <w:pPr>
              <w:keepLines w:val="0"/>
              <w:pageBreakBefore w:val="0"/>
              <w:shd w:val="clear"/>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河北省地方标准《环境空气质量 非甲烷总烃限值》（DB13/1577-2012）中二级标准</w:t>
            </w:r>
          </w:p>
        </w:tc>
      </w:tr>
    </w:tbl>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 xml:space="preserve">表2.5-2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地下水环境质量标准</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单位：mg/L（pH、</w:t>
      </w:r>
      <w:r>
        <w:rPr>
          <w:rFonts w:hint="default" w:ascii="Times New Roman" w:hAnsi="Times New Roman" w:eastAsia="宋体" w:cs="Times New Roman"/>
          <w:b/>
          <w:color w:val="auto"/>
          <w:sz w:val="24"/>
          <w:highlight w:val="none"/>
          <w:lang w:eastAsia="zh-CN"/>
        </w:rPr>
        <w:t>菌落总数</w:t>
      </w:r>
      <w:r>
        <w:rPr>
          <w:rFonts w:hint="default" w:ascii="Times New Roman" w:hAnsi="Times New Roman" w:eastAsia="宋体" w:cs="Times New Roman"/>
          <w:b/>
          <w:color w:val="auto"/>
          <w:sz w:val="24"/>
          <w:highlight w:val="none"/>
        </w:rPr>
        <w:t>、总大肠菌群除外）</w:t>
      </w:r>
    </w:p>
    <w:tbl>
      <w:tblPr>
        <w:tblStyle w:val="90"/>
        <w:tblW w:w="8260" w:type="dxa"/>
        <w:jc w:val="center"/>
        <w:tblLayout w:type="fixed"/>
        <w:tblCellMar>
          <w:top w:w="0" w:type="dxa"/>
          <w:left w:w="108" w:type="dxa"/>
          <w:bottom w:w="0" w:type="dxa"/>
          <w:right w:w="108" w:type="dxa"/>
        </w:tblCellMar>
      </w:tblPr>
      <w:tblGrid>
        <w:gridCol w:w="695"/>
        <w:gridCol w:w="1733"/>
        <w:gridCol w:w="958"/>
        <w:gridCol w:w="695"/>
        <w:gridCol w:w="3163"/>
        <w:gridCol w:w="1016"/>
      </w:tblGrid>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检测项目</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标准值</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检测项目</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标准值</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pH</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6.5-8.5</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14</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耗氧量（CODMN法，以O</w:t>
            </w:r>
            <w:r>
              <w:rPr>
                <w:rFonts w:hint="default" w:ascii="Times New Roman" w:hAnsi="Times New Roman" w:eastAsia="宋体" w:cs="Times New Roman"/>
                <w:color w:val="auto"/>
                <w:kern w:val="0"/>
                <w:szCs w:val="21"/>
                <w:highlight w:val="none"/>
                <w:vertAlign w:val="subscript"/>
              </w:rPr>
              <w:t>2</w:t>
            </w:r>
            <w:r>
              <w:rPr>
                <w:rFonts w:hint="default" w:ascii="Times New Roman" w:hAnsi="Times New Roman" w:eastAsia="宋体" w:cs="Times New Roman"/>
                <w:color w:val="auto"/>
                <w:kern w:val="0"/>
                <w:szCs w:val="21"/>
                <w:highlight w:val="none"/>
              </w:rPr>
              <w:t>计）</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≤3.0</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溶解性总固体</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≤1000</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总大肠菌群</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总硬度</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≤450</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16</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菌落总数</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≤100</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氟化物</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17</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总砷</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≤0.01 </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硫化物</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≤0.02</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18</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总汞</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≤0.001 </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氰化物</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≤0.05</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19</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总硒</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≤0.01 </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硫酸盐</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≤250</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总铅</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≤0.01 </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亚硝酸盐氮</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21</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总镉</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≤0.005</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9</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氨氮</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≤0.5</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22</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总铜</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硝酸盐氮</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23</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总锌</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六价铬</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≤0.05</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24</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总铁</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≤0.3</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挥发酚</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≤0.002</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25</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总锰</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≤0.1</w:t>
            </w:r>
          </w:p>
        </w:tc>
      </w:tr>
      <w:tr>
        <w:tblPrEx>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13</w:t>
            </w: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氯化物</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≤250</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26</w:t>
            </w:r>
          </w:p>
        </w:tc>
        <w:tc>
          <w:tcPr>
            <w:tcW w:w="31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阴离子表面活性剂</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≤0.3</w:t>
            </w:r>
          </w:p>
        </w:tc>
      </w:tr>
    </w:tbl>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表2.5-3   声环境质量标准</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57" w:type="dxa"/>
          <w:bottom w:w="85" w:type="dxa"/>
          <w:right w:w="57" w:type="dxa"/>
        </w:tblCellMar>
      </w:tblPr>
      <w:tblGrid>
        <w:gridCol w:w="967"/>
        <w:gridCol w:w="3942"/>
        <w:gridCol w:w="842"/>
        <w:gridCol w:w="842"/>
        <w:gridCol w:w="842"/>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40" w:hRule="atLeast"/>
          <w:jc w:val="center"/>
        </w:trPr>
        <w:tc>
          <w:tcPr>
            <w:tcW w:w="966" w:type="dxa"/>
            <w:vAlign w:val="center"/>
          </w:tcPr>
          <w:p>
            <w:pPr>
              <w:keepNext/>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3934" w:type="dxa"/>
            <w:vAlign w:val="center"/>
          </w:tcPr>
          <w:p>
            <w:pPr>
              <w:keepNext/>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标准来源</w:t>
            </w:r>
          </w:p>
        </w:tc>
        <w:tc>
          <w:tcPr>
            <w:tcW w:w="1680" w:type="dxa"/>
            <w:gridSpan w:val="2"/>
            <w:vAlign w:val="center"/>
          </w:tcPr>
          <w:p>
            <w:pPr>
              <w:keepNext/>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单位</w:t>
            </w:r>
          </w:p>
        </w:tc>
        <w:tc>
          <w:tcPr>
            <w:tcW w:w="1680" w:type="dxa"/>
            <w:gridSpan w:val="2"/>
            <w:vAlign w:val="center"/>
          </w:tcPr>
          <w:p>
            <w:pPr>
              <w:keepNext/>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40" w:hRule="atLeast"/>
          <w:jc w:val="center"/>
        </w:trPr>
        <w:tc>
          <w:tcPr>
            <w:tcW w:w="966" w:type="dxa"/>
            <w:vMerge w:val="restart"/>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声环境</w:t>
            </w:r>
          </w:p>
        </w:tc>
        <w:tc>
          <w:tcPr>
            <w:tcW w:w="3934" w:type="dxa"/>
            <w:vMerge w:val="restart"/>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《声环境质量标准》（GB3096-2008）</w:t>
            </w:r>
          </w:p>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类</w:t>
            </w:r>
            <w:r>
              <w:rPr>
                <w:rFonts w:hint="default" w:ascii="Times New Roman" w:hAnsi="Times New Roman" w:eastAsia="宋体" w:cs="Times New Roman"/>
                <w:color w:val="auto"/>
                <w:szCs w:val="21"/>
                <w:highlight w:val="none"/>
                <w:lang w:eastAsia="zh-CN"/>
              </w:rPr>
              <w:t>功能区</w:t>
            </w:r>
          </w:p>
        </w:tc>
        <w:tc>
          <w:tcPr>
            <w:tcW w:w="840" w:type="dxa"/>
            <w:vMerge w:val="restart"/>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等效声级</w:t>
            </w:r>
          </w:p>
        </w:tc>
        <w:tc>
          <w:tcPr>
            <w:tcW w:w="840" w:type="dxa"/>
            <w:vMerge w:val="restart"/>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840" w:type="dxa"/>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昼间</w:t>
            </w:r>
          </w:p>
        </w:tc>
        <w:tc>
          <w:tcPr>
            <w:tcW w:w="840" w:type="dxa"/>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6</w:t>
            </w:r>
            <w:r>
              <w:rPr>
                <w:rFonts w:hint="default" w:ascii="Times New Roman" w:hAnsi="Times New Roman" w:eastAsia="宋体" w:cs="Times New Roman"/>
                <w:color w:val="auto"/>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40" w:hRule="atLeast"/>
          <w:jc w:val="center"/>
        </w:trPr>
        <w:tc>
          <w:tcPr>
            <w:tcW w:w="966" w:type="dxa"/>
            <w:vMerge w:val="continue"/>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p>
        </w:tc>
        <w:tc>
          <w:tcPr>
            <w:tcW w:w="3934" w:type="dxa"/>
            <w:vMerge w:val="continue"/>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p>
        </w:tc>
        <w:tc>
          <w:tcPr>
            <w:tcW w:w="840" w:type="dxa"/>
            <w:vMerge w:val="continue"/>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p>
        </w:tc>
        <w:tc>
          <w:tcPr>
            <w:tcW w:w="840" w:type="dxa"/>
            <w:vMerge w:val="continue"/>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p>
        </w:tc>
        <w:tc>
          <w:tcPr>
            <w:tcW w:w="840" w:type="dxa"/>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夜间</w:t>
            </w:r>
          </w:p>
        </w:tc>
        <w:tc>
          <w:tcPr>
            <w:tcW w:w="840" w:type="dxa"/>
            <w:vAlign w:val="center"/>
          </w:tcPr>
          <w:p>
            <w:pPr>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5</w:t>
            </w:r>
            <w:r>
              <w:rPr>
                <w:rFonts w:hint="default" w:ascii="Times New Roman" w:hAnsi="Times New Roman" w:eastAsia="宋体" w:cs="Times New Roman"/>
                <w:color w:val="auto"/>
                <w:szCs w:val="21"/>
                <w:highlight w:val="none"/>
                <w:lang w:val="en-US" w:eastAsia="zh-CN"/>
              </w:rPr>
              <w:t>0</w:t>
            </w:r>
          </w:p>
        </w:tc>
      </w:tr>
    </w:tbl>
    <w:p>
      <w:pPr>
        <w:shd w:val="clear"/>
        <w:jc w:val="center"/>
        <w:rPr>
          <w:rFonts w:hint="default" w:ascii="Times New Roman" w:hAnsi="Times New Roman" w:eastAsia="宋体" w:cs="Times New Roman"/>
          <w:b/>
          <w:color w:val="auto"/>
          <w:sz w:val="24"/>
          <w:highlight w:val="none"/>
        </w:rPr>
      </w:pPr>
    </w:p>
    <w:p>
      <w:pPr>
        <w:shd w:val="clear"/>
        <w:jc w:val="center"/>
        <w:rPr>
          <w:rFonts w:hint="default" w:ascii="Times New Roman" w:hAnsi="Times New Roman" w:eastAsia="宋体" w:cs="Times New Roman"/>
          <w:b/>
          <w:color w:val="auto"/>
          <w:sz w:val="24"/>
          <w:highlight w:val="none"/>
        </w:rPr>
      </w:pPr>
    </w:p>
    <w:p>
      <w:pPr>
        <w:shd w:val="clear"/>
        <w:jc w:val="center"/>
        <w:rPr>
          <w:rFonts w:hint="default" w:ascii="Times New Roman" w:hAnsi="Times New Roman" w:eastAsia="宋体" w:cs="Times New Roman"/>
          <w:b/>
          <w:color w:val="auto"/>
          <w:sz w:val="24"/>
          <w:highlight w:val="none"/>
        </w:rPr>
      </w:pPr>
    </w:p>
    <w:p>
      <w:pPr>
        <w:shd w:val="clear"/>
        <w:jc w:val="center"/>
        <w:rPr>
          <w:rFonts w:hint="default" w:ascii="Times New Roman" w:hAnsi="Times New Roman" w:eastAsia="宋体" w:cs="Times New Roman"/>
          <w:b/>
          <w:color w:val="auto"/>
          <w:sz w:val="24"/>
          <w:highlight w:val="none"/>
        </w:rPr>
      </w:pP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表2.5-</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建设用地土壤污染风险筛选值和管制值（基本项目）单位：mg/kg</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2115"/>
        <w:gridCol w:w="1675"/>
        <w:gridCol w:w="1676"/>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Merge w:val="restart"/>
            <w:vAlign w:val="center"/>
          </w:tcPr>
          <w:p>
            <w:pPr>
              <w:shd w:val="clear"/>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2115" w:type="dxa"/>
            <w:vMerge w:val="restart"/>
            <w:vAlign w:val="center"/>
          </w:tcPr>
          <w:p>
            <w:pPr>
              <w:shd w:val="clear"/>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污染物项目</w:t>
            </w:r>
          </w:p>
        </w:tc>
        <w:tc>
          <w:tcPr>
            <w:tcW w:w="1675" w:type="dxa"/>
            <w:vMerge w:val="restart"/>
            <w:vAlign w:val="center"/>
          </w:tcPr>
          <w:p>
            <w:pPr>
              <w:shd w:val="clear"/>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CAS编号</w:t>
            </w:r>
          </w:p>
        </w:tc>
        <w:tc>
          <w:tcPr>
            <w:tcW w:w="1676" w:type="dxa"/>
            <w:vAlign w:val="center"/>
          </w:tcPr>
          <w:p>
            <w:pPr>
              <w:shd w:val="clear"/>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筛选值</w:t>
            </w:r>
          </w:p>
        </w:tc>
        <w:tc>
          <w:tcPr>
            <w:tcW w:w="1675" w:type="dxa"/>
            <w:vAlign w:val="center"/>
          </w:tcPr>
          <w:p>
            <w:pPr>
              <w:shd w:val="clear"/>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Merge w:val="continue"/>
            <w:vAlign w:val="center"/>
          </w:tcPr>
          <w:p>
            <w:pPr>
              <w:shd w:val="clear"/>
              <w:ind w:firstLine="0" w:firstLineChars="0"/>
              <w:jc w:val="center"/>
              <w:rPr>
                <w:rFonts w:hint="default" w:ascii="Times New Roman" w:hAnsi="Times New Roman" w:eastAsia="宋体" w:cs="Times New Roman"/>
                <w:b/>
                <w:bCs/>
                <w:color w:val="auto"/>
                <w:szCs w:val="21"/>
                <w:highlight w:val="none"/>
              </w:rPr>
            </w:pPr>
          </w:p>
        </w:tc>
        <w:tc>
          <w:tcPr>
            <w:tcW w:w="2115" w:type="dxa"/>
            <w:vMerge w:val="continue"/>
            <w:vAlign w:val="center"/>
          </w:tcPr>
          <w:p>
            <w:pPr>
              <w:shd w:val="clear"/>
              <w:ind w:firstLine="0" w:firstLineChars="0"/>
              <w:jc w:val="center"/>
              <w:rPr>
                <w:rFonts w:hint="default" w:ascii="Times New Roman" w:hAnsi="Times New Roman" w:eastAsia="宋体" w:cs="Times New Roman"/>
                <w:b/>
                <w:bCs/>
                <w:color w:val="auto"/>
                <w:szCs w:val="21"/>
                <w:highlight w:val="none"/>
              </w:rPr>
            </w:pPr>
          </w:p>
        </w:tc>
        <w:tc>
          <w:tcPr>
            <w:tcW w:w="1675" w:type="dxa"/>
            <w:vMerge w:val="continue"/>
            <w:vAlign w:val="center"/>
          </w:tcPr>
          <w:p>
            <w:pPr>
              <w:shd w:val="clear"/>
              <w:ind w:firstLine="0" w:firstLineChars="0"/>
              <w:jc w:val="center"/>
              <w:rPr>
                <w:rFonts w:hint="default" w:ascii="Times New Roman" w:hAnsi="Times New Roman" w:eastAsia="宋体" w:cs="Times New Roman"/>
                <w:b/>
                <w:bCs/>
                <w:color w:val="auto"/>
                <w:szCs w:val="21"/>
                <w:highlight w:val="none"/>
              </w:rPr>
            </w:pPr>
          </w:p>
        </w:tc>
        <w:tc>
          <w:tcPr>
            <w:tcW w:w="1676" w:type="dxa"/>
            <w:vAlign w:val="center"/>
          </w:tcPr>
          <w:p>
            <w:pPr>
              <w:shd w:val="clear"/>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第二类用地</w:t>
            </w:r>
          </w:p>
        </w:tc>
        <w:tc>
          <w:tcPr>
            <w:tcW w:w="1675" w:type="dxa"/>
            <w:vAlign w:val="center"/>
          </w:tcPr>
          <w:p>
            <w:pPr>
              <w:shd w:val="clear"/>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5"/>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7440-38-2</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镉</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7440-43-9</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铬（六价）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18540-29-9</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5.7</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铜</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7440-50-8</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18000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铅</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7439-92-1</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汞</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7439-97-6</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镍</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7440-02-0</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5"/>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四氯化碳</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56-23-5</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氯仿</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67-66-3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0.9</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氯甲烷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74-34-3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37</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1-二氯乙烷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75-34-3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2-二氯乙烷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107-06-2</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1-二氯乙烯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75-34-4</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66</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顺-1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2-二氯乙烯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156-59-2</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596</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反-1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2-二氯乙烯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156-60-5</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54</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二氯甲烷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75-09-2</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616</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2-二氯丙烷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78-87-5</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2-四氯乙烷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630-20-6</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2-四氯乙烷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79-34-5</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6.8</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四氯乙烯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127-18-4</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53</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1-三氯乙烷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71-55-6</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840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2-三氯乙烷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79-00-5</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23</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三氯乙烯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79-01-6</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3-三氯丙烷</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96-18-4</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氯乙烯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75-01-4</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0.43</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71-43-2</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氯苯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108-90-7</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2-二氯苯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95-50-1</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560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29</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4-二氯苯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106-46-7</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乙苯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100-41-4</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苯乙烯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100-42-5</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1290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甲苯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108-88-3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1200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33</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间二甲苯+对二甲苯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108-38-3，</w:t>
            </w:r>
          </w:p>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106-42-3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570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邻二甲苯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95-47-6</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640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5"/>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硝基苯</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98-95-3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76</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36</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苯胺</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62-53-3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37</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2-氯酚</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95-57-8</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2256</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苯并[a]蒽</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56-55-3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39</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苯并[a]芘</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50-32-8</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c>
          <w:tcPr>
            <w:tcW w:w="2115" w:type="dxa"/>
            <w:vAlign w:val="center"/>
          </w:tcPr>
          <w:p>
            <w:pPr>
              <w:shd w:val="clear"/>
              <w:autoSpaceDE w:val="0"/>
              <w:autoSpaceDN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苯并[b]荧蒽</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205-99-2</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41</w:t>
            </w:r>
          </w:p>
        </w:tc>
        <w:tc>
          <w:tcPr>
            <w:tcW w:w="2115" w:type="dxa"/>
            <w:vAlign w:val="center"/>
          </w:tcPr>
          <w:p>
            <w:pPr>
              <w:shd w:val="clear"/>
              <w:autoSpaceDE w:val="0"/>
              <w:autoSpaceDN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苯并[k]荧蒽</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207-08-9</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151</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42</w:t>
            </w:r>
          </w:p>
        </w:tc>
        <w:tc>
          <w:tcPr>
            <w:tcW w:w="2115" w:type="dxa"/>
            <w:vAlign w:val="center"/>
          </w:tcPr>
          <w:p>
            <w:pPr>
              <w:shd w:val="clear"/>
              <w:autoSpaceDE w:val="0"/>
              <w:autoSpaceDN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䓛</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218-01-9</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1293</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43</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二苯并[a，h]蒽</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53-70-3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44</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茚并[1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3-cd]芘</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193-39-5</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w:t>
            </w:r>
          </w:p>
        </w:tc>
        <w:tc>
          <w:tcPr>
            <w:tcW w:w="211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萘</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91-20-3</w:t>
            </w:r>
          </w:p>
        </w:tc>
        <w:tc>
          <w:tcPr>
            <w:tcW w:w="1676"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c>
          <w:tcPr>
            <w:tcW w:w="1675" w:type="dxa"/>
            <w:vAlign w:val="center"/>
          </w:tcPr>
          <w:p>
            <w:pPr>
              <w:shd w:val="clear"/>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700</w:t>
            </w:r>
          </w:p>
        </w:tc>
      </w:tr>
    </w:tbl>
    <w:p>
      <w:pPr>
        <w:pStyle w:val="6"/>
        <w:keepNext/>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highlight w:val="none"/>
        </w:rPr>
      </w:pPr>
      <w:bookmarkStart w:id="109" w:name="_Toc243119294"/>
      <w:bookmarkStart w:id="110" w:name="_Toc327383056"/>
      <w:bookmarkStart w:id="111" w:name="_Toc464475328"/>
      <w:r>
        <w:rPr>
          <w:rFonts w:hint="default" w:ascii="Times New Roman" w:hAnsi="Times New Roman" w:eastAsia="宋体" w:cs="Times New Roman"/>
          <w:color w:val="auto"/>
          <w:highlight w:val="none"/>
        </w:rPr>
        <w:t>2.5.2污染物排放标准</w:t>
      </w:r>
      <w:bookmarkEnd w:id="109"/>
      <w:bookmarkEnd w:id="110"/>
      <w:bookmarkEnd w:id="111"/>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大气污染物排放标准</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kern w:val="0"/>
          <w:sz w:val="24"/>
          <w:szCs w:val="24"/>
          <w:highlight w:val="none"/>
          <w:lang w:val="en-US" w:eastAsia="zh-CN"/>
        </w:rPr>
        <w:t>本项目再生塑料颗粒料生产线属于废塑料资源化回收利用业，根据《排污许可证申请与核法技术规范 废弃资源加工工业》（HJ1034-2019）--废塑料加工，再生塑料颗粒料生产线</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eastAsia="zh-CN"/>
        </w:rPr>
        <w:t>的颗粒物、</w:t>
      </w:r>
      <w:r>
        <w:rPr>
          <w:rFonts w:hint="default" w:ascii="Times New Roman" w:hAnsi="Times New Roman" w:eastAsia="宋体" w:cs="Times New Roman"/>
          <w:color w:val="auto"/>
          <w:sz w:val="24"/>
          <w:szCs w:val="24"/>
          <w:highlight w:val="none"/>
        </w:rPr>
        <w:t>非甲烷总烃执行</w:t>
      </w:r>
      <w:r>
        <w:rPr>
          <w:rFonts w:hint="default" w:ascii="Times New Roman" w:hAnsi="Times New Roman" w:eastAsia="宋体" w:cs="Times New Roman"/>
          <w:color w:val="auto"/>
          <w:sz w:val="24"/>
          <w:szCs w:val="24"/>
        </w:rPr>
        <w:t>《大气污染物综合排放标准》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GB16297－1996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中规定的“新污染源、二级标准”，</w:t>
      </w:r>
      <w:r>
        <w:rPr>
          <w:rFonts w:hint="default" w:ascii="Times New Roman" w:hAnsi="Times New Roman" w:eastAsia="宋体" w:cs="Times New Roman"/>
          <w:color w:val="auto"/>
          <w:sz w:val="24"/>
          <w:szCs w:val="24"/>
          <w:highlight w:val="none"/>
        </w:rPr>
        <w:t>具体标准值见下表2.5-</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highlight w:val="none"/>
        </w:rPr>
        <w:t>2.5-</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污染物最高允许排放浓度</w:t>
      </w:r>
    </w:p>
    <w:tbl>
      <w:tblPr>
        <w:tblStyle w:val="90"/>
        <w:tblW w:w="82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92"/>
        <w:gridCol w:w="1263"/>
        <w:gridCol w:w="1665"/>
        <w:gridCol w:w="871"/>
        <w:gridCol w:w="1978"/>
        <w:gridCol w:w="13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4" w:type="dxa"/>
            <w:vMerge w:val="restart"/>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1254" w:type="dxa"/>
            <w:vMerge w:val="restart"/>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最高允许排放浓度</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lang w:eastAsia="zh-CN"/>
              </w:rPr>
              <w:t>）</w:t>
            </w:r>
          </w:p>
        </w:tc>
        <w:tc>
          <w:tcPr>
            <w:tcW w:w="2519" w:type="dxa"/>
            <w:gridSpan w:val="2"/>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最高允许排放速率</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kg/h</w:t>
            </w:r>
            <w:r>
              <w:rPr>
                <w:rFonts w:hint="default" w:ascii="Times New Roman" w:hAnsi="Times New Roman" w:eastAsia="宋体" w:cs="Times New Roman"/>
                <w:color w:val="auto"/>
                <w:szCs w:val="21"/>
                <w:lang w:eastAsia="zh-CN"/>
              </w:rPr>
              <w:t>）</w:t>
            </w:r>
          </w:p>
        </w:tc>
        <w:tc>
          <w:tcPr>
            <w:tcW w:w="3263" w:type="dxa"/>
            <w:gridSpan w:val="2"/>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4" w:type="dxa"/>
            <w:vMerge w:val="continue"/>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p>
        </w:tc>
        <w:tc>
          <w:tcPr>
            <w:tcW w:w="1254" w:type="dxa"/>
            <w:vMerge w:val="continue"/>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p>
        </w:tc>
        <w:tc>
          <w:tcPr>
            <w:tcW w:w="1654"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排放筒高度</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lang w:eastAsia="zh-CN"/>
              </w:rPr>
              <w:t>）</w:t>
            </w:r>
          </w:p>
        </w:tc>
        <w:tc>
          <w:tcPr>
            <w:tcW w:w="865"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二级</w:t>
            </w:r>
          </w:p>
        </w:tc>
        <w:tc>
          <w:tcPr>
            <w:tcW w:w="1964"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监控点</w:t>
            </w:r>
          </w:p>
        </w:tc>
        <w:tc>
          <w:tcPr>
            <w:tcW w:w="1299"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浓度</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4"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颗粒物</w:t>
            </w:r>
          </w:p>
        </w:tc>
        <w:tc>
          <w:tcPr>
            <w:tcW w:w="1254"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120</w:t>
            </w:r>
          </w:p>
        </w:tc>
        <w:tc>
          <w:tcPr>
            <w:tcW w:w="1654"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865"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3.5</w:t>
            </w:r>
          </w:p>
        </w:tc>
        <w:tc>
          <w:tcPr>
            <w:tcW w:w="1964" w:type="dxa"/>
            <w:vMerge w:val="restart"/>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周围外浓度最高点</w:t>
            </w:r>
          </w:p>
        </w:tc>
        <w:tc>
          <w:tcPr>
            <w:tcW w:w="1299"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4"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1254"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w:t>
            </w:r>
          </w:p>
        </w:tc>
        <w:tc>
          <w:tcPr>
            <w:tcW w:w="1654"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865"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1964" w:type="dxa"/>
            <w:vMerge w:val="continue"/>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p>
        </w:tc>
        <w:tc>
          <w:tcPr>
            <w:tcW w:w="1299" w:type="dxa"/>
            <w:noWrap w:val="0"/>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r>
    </w:tbl>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Cs/>
          <w:color w:val="auto"/>
          <w:kern w:val="0"/>
          <w:sz w:val="24"/>
          <w:highlight w:val="none"/>
          <w:lang w:val="en-US" w:eastAsia="zh-CN"/>
        </w:rPr>
        <w:t>本项目滴灌带生产线和水带生产线</w:t>
      </w:r>
      <w:r>
        <w:rPr>
          <w:rFonts w:hint="default" w:ascii="Times New Roman" w:hAnsi="Times New Roman" w:eastAsia="宋体" w:cs="Times New Roman"/>
          <w:bCs/>
          <w:color w:val="auto"/>
          <w:kern w:val="0"/>
          <w:sz w:val="24"/>
          <w:highlight w:val="none"/>
          <w:lang w:eastAsia="zh-CN"/>
        </w:rPr>
        <w:t>属于塑料制品制造业，</w:t>
      </w:r>
      <w:r>
        <w:rPr>
          <w:rFonts w:hint="default" w:ascii="Times New Roman" w:hAnsi="Times New Roman" w:eastAsia="宋体" w:cs="Times New Roman"/>
          <w:bCs/>
          <w:color w:val="auto"/>
          <w:kern w:val="0"/>
          <w:sz w:val="24"/>
          <w:highlight w:val="none"/>
          <w:lang w:val="en-US" w:eastAsia="zh-CN"/>
        </w:rPr>
        <w:t>根据《排污许可证申请与核法技术规范 橡胶和塑料制品工业》（HJ1122-2020），滴灌带生产线和水带生产线</w:t>
      </w:r>
      <w:r>
        <w:rPr>
          <w:rFonts w:hint="default" w:ascii="Times New Roman" w:hAnsi="Times New Roman" w:eastAsia="宋体" w:cs="Times New Roman"/>
          <w:color w:val="auto"/>
          <w:sz w:val="24"/>
          <w:szCs w:val="24"/>
          <w:lang w:val="en-US" w:eastAsia="zh-CN"/>
        </w:rPr>
        <w:t>排放的有组织颗粒物、非甲烷总烃</w:t>
      </w:r>
      <w:r>
        <w:rPr>
          <w:rFonts w:hint="default" w:ascii="Times New Roman" w:hAnsi="Times New Roman" w:eastAsia="宋体" w:cs="Times New Roman"/>
          <w:color w:val="auto"/>
          <w:sz w:val="24"/>
        </w:rPr>
        <w:t>执行《合成树脂工业污染物排放标准》（GB31572-2015）</w:t>
      </w:r>
      <w:r>
        <w:rPr>
          <w:rFonts w:hint="default" w:ascii="Times New Roman" w:hAnsi="Times New Roman" w:eastAsia="宋体" w:cs="Times New Roman"/>
          <w:color w:val="auto"/>
          <w:sz w:val="24"/>
          <w:lang w:val="en-US" w:eastAsia="zh-CN"/>
        </w:rPr>
        <w:t>表4大气污染物排放限值</w:t>
      </w:r>
      <w:r>
        <w:rPr>
          <w:rFonts w:hint="default" w:ascii="Times New Roman" w:hAnsi="Times New Roman" w:eastAsia="宋体" w:cs="Times New Roman"/>
          <w:color w:val="auto"/>
          <w:sz w:val="24"/>
          <w:lang w:eastAsia="zh-CN"/>
        </w:rPr>
        <w:t>。</w:t>
      </w:r>
    </w:p>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color w:val="auto"/>
          <w:sz w:val="24"/>
          <w:highlight w:val="none"/>
        </w:rPr>
        <w:t>2.5-</w:t>
      </w:r>
      <w:r>
        <w:rPr>
          <w:rFonts w:hint="default" w:ascii="Times New Roman" w:hAnsi="Times New Roman" w:eastAsia="宋体" w:cs="Times New Roman"/>
          <w:b/>
          <w:color w:val="auto"/>
          <w:sz w:val="24"/>
          <w:highlight w:val="none"/>
          <w:lang w:val="en-US" w:eastAsia="zh-CN"/>
        </w:rPr>
        <w:t>6</w:t>
      </w:r>
      <w:r>
        <w:rPr>
          <w:rFonts w:hint="default" w:ascii="Times New Roman" w:hAnsi="Times New Roman" w:eastAsia="宋体" w:cs="Times New Roman"/>
          <w:b/>
          <w:bCs/>
          <w:color w:val="auto"/>
          <w:sz w:val="24"/>
          <w:lang w:val="en-US" w:eastAsia="zh-CN"/>
        </w:rPr>
        <w:t xml:space="preserve">  《合成树脂工业污染物排放标准》（GB31572-2015）大气污染物排放限值</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0"/>
        <w:gridCol w:w="4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20"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污染物</w:t>
            </w:r>
          </w:p>
        </w:tc>
        <w:tc>
          <w:tcPr>
            <w:tcW w:w="425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排放限值</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0"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非甲烷总烃</w:t>
            </w:r>
          </w:p>
        </w:tc>
        <w:tc>
          <w:tcPr>
            <w:tcW w:w="425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0"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颗粒物</w:t>
            </w:r>
          </w:p>
        </w:tc>
        <w:tc>
          <w:tcPr>
            <w:tcW w:w="425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30</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Cs/>
          <w:color w:val="auto"/>
          <w:kern w:val="0"/>
          <w:sz w:val="24"/>
          <w:highlight w:val="none"/>
          <w:lang w:val="en-US" w:eastAsia="zh-CN"/>
        </w:rPr>
        <w:t>本项目</w:t>
      </w:r>
      <w:r>
        <w:rPr>
          <w:rFonts w:hint="default" w:ascii="Times New Roman" w:hAnsi="Times New Roman" w:eastAsia="宋体" w:cs="Times New Roman"/>
          <w:color w:val="auto"/>
          <w:sz w:val="24"/>
          <w:szCs w:val="24"/>
          <w:lang w:val="en-US" w:eastAsia="zh-CN"/>
        </w:rPr>
        <w:t>排放的</w:t>
      </w:r>
      <w:r>
        <w:rPr>
          <w:rFonts w:hint="default" w:ascii="Times New Roman" w:hAnsi="Times New Roman" w:eastAsia="宋体" w:cs="Times New Roman"/>
          <w:color w:val="auto"/>
          <w:sz w:val="24"/>
          <w:lang w:val="en-US" w:eastAsia="zh-CN"/>
        </w:rPr>
        <w:t>无</w:t>
      </w:r>
      <w:r>
        <w:rPr>
          <w:rFonts w:hint="default" w:ascii="Times New Roman" w:hAnsi="Times New Roman" w:eastAsia="宋体" w:cs="Times New Roman"/>
          <w:color w:val="auto"/>
          <w:sz w:val="24"/>
          <w:szCs w:val="24"/>
          <w:lang w:val="en-US" w:eastAsia="zh-CN"/>
        </w:rPr>
        <w:t>组织颗粒物、非甲烷总烃</w:t>
      </w:r>
      <w:r>
        <w:rPr>
          <w:rFonts w:hint="default" w:ascii="Times New Roman" w:hAnsi="Times New Roman" w:eastAsia="宋体" w:cs="Times New Roman"/>
          <w:color w:val="auto"/>
          <w:sz w:val="24"/>
        </w:rPr>
        <w:t>执行《合成树脂工业污染物排放标准》（GB31572-2015）</w:t>
      </w:r>
      <w:r>
        <w:rPr>
          <w:rFonts w:hint="default" w:ascii="Times New Roman" w:hAnsi="Times New Roman" w:eastAsia="宋体" w:cs="Times New Roman"/>
          <w:color w:val="auto"/>
          <w:sz w:val="24"/>
          <w:lang w:val="en-US" w:eastAsia="zh-CN"/>
        </w:rPr>
        <w:t>表9企业边界大气污染物浓度限值。</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 xml:space="preserve">2.5-7  </w:t>
      </w:r>
      <w:r>
        <w:rPr>
          <w:rFonts w:hint="default" w:ascii="Times New Roman" w:hAnsi="Times New Roman" w:eastAsia="宋体" w:cs="Times New Roman"/>
          <w:b/>
          <w:color w:val="auto"/>
          <w:sz w:val="24"/>
        </w:rPr>
        <w:t xml:space="preserve"> 《合成树脂工业污染物排放标准》（GB31572-2015）企业边界大气污染物浓度限值</w:t>
      </w:r>
    </w:p>
    <w:tbl>
      <w:tblPr>
        <w:tblStyle w:val="90"/>
        <w:tblW w:w="82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950"/>
        <w:gridCol w:w="43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05"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241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限值</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05"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241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05"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非甲烷总烃</w:t>
            </w:r>
          </w:p>
        </w:tc>
        <w:tc>
          <w:tcPr>
            <w:tcW w:w="241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w:t>
            </w:r>
          </w:p>
        </w:tc>
      </w:tr>
    </w:tbl>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厂区内无组织</w:t>
      </w:r>
      <w:r>
        <w:rPr>
          <w:rFonts w:hint="default" w:ascii="Times New Roman" w:hAnsi="Times New Roman" w:eastAsia="宋体" w:cs="Times New Roman"/>
          <w:b/>
          <w:bCs/>
          <w:color w:val="auto"/>
          <w:sz w:val="24"/>
          <w:szCs w:val="24"/>
          <w:lang w:eastAsia="zh-CN"/>
        </w:rPr>
        <w:t>非甲烷总烃</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lang w:eastAsia="zh-CN"/>
        </w:rPr>
        <w:t>厂区内无组织</w:t>
      </w:r>
      <w:r>
        <w:rPr>
          <w:rFonts w:hint="default" w:ascii="Times New Roman" w:hAnsi="Times New Roman" w:eastAsia="宋体" w:cs="Times New Roman"/>
          <w:color w:val="auto"/>
          <w:sz w:val="24"/>
          <w:szCs w:val="24"/>
        </w:rPr>
        <w:t>非甲烷总烃排放限值执行《挥发性有机物无组织排放控制标准》（GB37822-2019）附录A厂区内VOCs无组织排放监控要求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见表2.5-</w:t>
      </w:r>
      <w:r>
        <w:rPr>
          <w:rFonts w:hint="default" w:ascii="Times New Roman" w:hAnsi="Times New Roman" w:eastAsia="宋体" w:cs="Times New Roman"/>
          <w:color w:val="auto"/>
          <w:sz w:val="24"/>
          <w:lang w:val="en-US" w:eastAsia="zh-CN"/>
        </w:rPr>
        <w:t>8。</w:t>
      </w:r>
    </w:p>
    <w:p>
      <w:pPr>
        <w:keepNext w:val="0"/>
        <w:keepLines w:val="0"/>
        <w:suppressLineNumbers w:val="0"/>
        <w:shd w:val="clear"/>
        <w:tabs>
          <w:tab w:val="center" w:pos="4153"/>
          <w:tab w:val="right" w:pos="8306"/>
        </w:tabs>
        <w:spacing w:before="0" w:beforeAutospacing="0" w:after="0" w:afterAutospacing="0" w:line="240" w:lineRule="auto"/>
        <w:ind w:left="482" w:right="0" w:hanging="482"/>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表2.5-</w:t>
      </w:r>
      <w:r>
        <w:rPr>
          <w:rFonts w:hint="default" w:ascii="Times New Roman" w:hAnsi="Times New Roman" w:eastAsia="宋体" w:cs="Times New Roman"/>
          <w:b/>
          <w:bCs/>
          <w:color w:val="auto"/>
          <w:sz w:val="24"/>
          <w:szCs w:val="32"/>
          <w:lang w:val="en-US" w:eastAsia="zh-CN"/>
        </w:rPr>
        <w:t>8</w:t>
      </w:r>
      <w:r>
        <w:rPr>
          <w:rFonts w:hint="default" w:ascii="Times New Roman" w:hAnsi="Times New Roman" w:eastAsia="宋体" w:cs="Times New Roman"/>
          <w:b/>
          <w:bCs/>
          <w:color w:val="auto"/>
          <w:sz w:val="24"/>
          <w:szCs w:val="32"/>
        </w:rPr>
        <w:t xml:space="preserve"> 《挥发性有机物无组织排放控制标准》（GB37822-2019）</w:t>
      </w:r>
    </w:p>
    <w:p>
      <w:pPr>
        <w:keepNext w:val="0"/>
        <w:keepLines w:val="0"/>
        <w:suppressLineNumbers w:val="0"/>
        <w:shd w:val="clear"/>
        <w:tabs>
          <w:tab w:val="center" w:pos="4153"/>
          <w:tab w:val="right" w:pos="8306"/>
        </w:tabs>
        <w:spacing w:before="0" w:beforeAutospacing="0" w:after="0" w:afterAutospacing="0" w:line="240" w:lineRule="auto"/>
        <w:ind w:left="482" w:right="0" w:hanging="482"/>
        <w:jc w:val="center"/>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eastAsia="zh-CN"/>
        </w:rPr>
        <w:t>表</w:t>
      </w:r>
      <w:r>
        <w:rPr>
          <w:rFonts w:hint="default" w:ascii="Times New Roman" w:hAnsi="Times New Roman" w:eastAsia="宋体" w:cs="Times New Roman"/>
          <w:b/>
          <w:bCs/>
          <w:color w:val="auto"/>
          <w:sz w:val="24"/>
          <w:szCs w:val="32"/>
        </w:rPr>
        <w:t>A</w:t>
      </w:r>
      <w:r>
        <w:rPr>
          <w:rFonts w:hint="default" w:ascii="Times New Roman" w:hAnsi="Times New Roman" w:eastAsia="宋体" w:cs="Times New Roman"/>
          <w:b/>
          <w:bCs/>
          <w:color w:val="auto"/>
          <w:sz w:val="24"/>
          <w:szCs w:val="32"/>
          <w:lang w:val="en-US" w:eastAsia="zh-CN"/>
        </w:rPr>
        <w:t>.1厂区内VOCs无组织排放限值</w:t>
      </w:r>
      <w:r>
        <w:rPr>
          <w:rFonts w:hint="default" w:ascii="Times New Roman" w:hAnsi="Times New Roman" w:eastAsia="宋体" w:cs="Times New Roman"/>
          <w:b/>
          <w:bCs/>
          <w:color w:val="auto"/>
          <w:sz w:val="24"/>
          <w:szCs w:val="32"/>
          <w:lang w:eastAsia="zh-CN"/>
        </w:rPr>
        <w:t>（摘录）</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1256"/>
        <w:gridCol w:w="2715"/>
        <w:gridCol w:w="2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4" w:type="dxa"/>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污染物项目</w:t>
            </w:r>
          </w:p>
        </w:tc>
        <w:tc>
          <w:tcPr>
            <w:tcW w:w="1204" w:type="dxa"/>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排放限值</w:t>
            </w:r>
          </w:p>
        </w:tc>
        <w:tc>
          <w:tcPr>
            <w:tcW w:w="2603" w:type="dxa"/>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限值含义</w:t>
            </w:r>
          </w:p>
        </w:tc>
        <w:tc>
          <w:tcPr>
            <w:tcW w:w="2146" w:type="dxa"/>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4" w:type="dxa"/>
            <w:vMerge w:val="restart"/>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NMHC</w:t>
            </w:r>
          </w:p>
        </w:tc>
        <w:tc>
          <w:tcPr>
            <w:tcW w:w="1204" w:type="dxa"/>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603" w:type="dxa"/>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监控点处1h平均浓度值</w:t>
            </w:r>
          </w:p>
        </w:tc>
        <w:tc>
          <w:tcPr>
            <w:tcW w:w="2146" w:type="dxa"/>
            <w:vMerge w:val="restart"/>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4" w:type="dxa"/>
            <w:vMerge w:val="continue"/>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1204" w:type="dxa"/>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2603" w:type="dxa"/>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监控点处任意一次浓度值</w:t>
            </w:r>
          </w:p>
        </w:tc>
        <w:tc>
          <w:tcPr>
            <w:tcW w:w="2146" w:type="dxa"/>
            <w:vMerge w:val="continue"/>
            <w:noWrap w:val="0"/>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r>
    </w:tbl>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臭气浓度执行《恶臭污染物排放标准》（GB14554-93）表1恶臭污染物厂界标准值“二级、新扩改建”。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表2.5-9   恶臭污染物厂界标准值“二级、新扩改建”</w:t>
      </w:r>
    </w:p>
    <w:tbl>
      <w:tblPr>
        <w:tblStyle w:val="9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9"/>
        <w:gridCol w:w="2759"/>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9" w:type="dxa"/>
            <w:vMerge w:val="restart"/>
            <w:noWrap w:val="0"/>
            <w:vAlign w:val="center"/>
          </w:tcPr>
          <w:p>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控制项目</w:t>
            </w:r>
          </w:p>
        </w:tc>
        <w:tc>
          <w:tcPr>
            <w:tcW w:w="2759" w:type="dxa"/>
            <w:vMerge w:val="restart"/>
            <w:noWrap w:val="0"/>
            <w:vAlign w:val="center"/>
          </w:tcPr>
          <w:p>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单位</w:t>
            </w:r>
          </w:p>
        </w:tc>
        <w:tc>
          <w:tcPr>
            <w:tcW w:w="2759" w:type="dxa"/>
            <w:noWrap w:val="0"/>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9" w:type="dxa"/>
            <w:vMerge w:val="continue"/>
            <w:noWrap w:val="0"/>
            <w:vAlign w:val="center"/>
          </w:tcPr>
          <w:p>
            <w:pPr>
              <w:bidi w:val="0"/>
              <w:jc w:val="center"/>
              <w:rPr>
                <w:rFonts w:hint="default" w:ascii="Times New Roman" w:hAnsi="Times New Roman" w:eastAsia="宋体" w:cs="Times New Roman"/>
                <w:color w:val="auto"/>
              </w:rPr>
            </w:pPr>
          </w:p>
        </w:tc>
        <w:tc>
          <w:tcPr>
            <w:tcW w:w="2759" w:type="dxa"/>
            <w:vMerge w:val="continue"/>
            <w:noWrap w:val="0"/>
            <w:vAlign w:val="center"/>
          </w:tcPr>
          <w:p>
            <w:pPr>
              <w:bidi w:val="0"/>
              <w:jc w:val="center"/>
              <w:rPr>
                <w:rFonts w:hint="default" w:ascii="Times New Roman" w:hAnsi="Times New Roman" w:eastAsia="宋体" w:cs="Times New Roman"/>
                <w:color w:val="auto"/>
              </w:rPr>
            </w:pPr>
          </w:p>
        </w:tc>
        <w:tc>
          <w:tcPr>
            <w:tcW w:w="2759" w:type="dxa"/>
            <w:noWrap w:val="0"/>
            <w:vAlign w:val="center"/>
          </w:tcPr>
          <w:p>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新扩改建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9" w:type="dxa"/>
            <w:noWrap w:val="0"/>
            <w:vAlign w:val="center"/>
          </w:tcPr>
          <w:p>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臭气浓度</w:t>
            </w:r>
          </w:p>
        </w:tc>
        <w:tc>
          <w:tcPr>
            <w:tcW w:w="2759" w:type="dxa"/>
            <w:noWrap w:val="0"/>
            <w:vAlign w:val="center"/>
          </w:tcPr>
          <w:p>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无量纲</w:t>
            </w:r>
          </w:p>
        </w:tc>
        <w:tc>
          <w:tcPr>
            <w:tcW w:w="2759" w:type="dxa"/>
            <w:noWrap w:val="0"/>
            <w:vAlign w:val="center"/>
          </w:tcPr>
          <w:p>
            <w:pP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r>
    </w:tbl>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本项目运营期生产废水经</w:t>
      </w:r>
      <w:r>
        <w:rPr>
          <w:rFonts w:hint="default" w:ascii="Times New Roman" w:hAnsi="Times New Roman" w:eastAsia="宋体" w:cs="Times New Roman"/>
          <w:color w:val="auto"/>
          <w:sz w:val="24"/>
          <w:szCs w:val="24"/>
          <w:highlight w:val="none"/>
          <w:lang w:eastAsia="zh-CN"/>
        </w:rPr>
        <w:t>三级沉淀池沉淀</w:t>
      </w:r>
      <w:r>
        <w:rPr>
          <w:rFonts w:hint="default" w:ascii="Times New Roman" w:hAnsi="Times New Roman" w:eastAsia="宋体" w:cs="Times New Roman"/>
          <w:color w:val="auto"/>
          <w:sz w:val="24"/>
          <w:szCs w:val="24"/>
          <w:highlight w:val="none"/>
        </w:rPr>
        <w:t>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循环使用，</w:t>
      </w:r>
      <w:r>
        <w:rPr>
          <w:rFonts w:hint="default" w:ascii="Times New Roman" w:hAnsi="Times New Roman" w:eastAsia="宋体" w:cs="Times New Roman"/>
          <w:color w:val="auto"/>
          <w:sz w:val="24"/>
          <w:szCs w:val="24"/>
          <w:highlight w:val="none"/>
          <w:lang w:eastAsia="zh-CN"/>
        </w:rPr>
        <w:t>不外排；生活污水排入防渗化粪池，定期清掏</w:t>
      </w:r>
      <w:r>
        <w:rPr>
          <w:rFonts w:hint="default" w:ascii="Times New Roman" w:hAnsi="Times New Roman" w:eastAsia="宋体" w:cs="Times New Roman"/>
          <w:color w:val="auto"/>
          <w:sz w:val="24"/>
          <w:szCs w:val="24"/>
          <w:highlight w:val="none"/>
        </w:rPr>
        <w:t>。</w:t>
      </w:r>
    </w:p>
    <w:p>
      <w:pPr>
        <w:pStyle w:val="159"/>
        <w:keepNext w:val="0"/>
        <w:shd w:val="clear"/>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运营期厂界噪声执行《工业企业厂界环境噪声排放标准》（GB12348-2008）中的</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val="en-US" w:eastAsia="zh-CN"/>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表2.5-</w:t>
      </w:r>
      <w:r>
        <w:rPr>
          <w:rFonts w:hint="default" w:ascii="Times New Roman" w:hAnsi="Times New Roman" w:eastAsia="宋体" w:cs="Times New Roman"/>
          <w:b/>
          <w:color w:val="auto"/>
          <w:sz w:val="24"/>
          <w:highlight w:val="none"/>
          <w:lang w:val="en-US" w:eastAsia="zh-CN"/>
        </w:rPr>
        <w:t>10</w:t>
      </w:r>
      <w:r>
        <w:rPr>
          <w:rFonts w:hint="default" w:ascii="Times New Roman" w:hAnsi="Times New Roman" w:eastAsia="宋体" w:cs="Times New Roman"/>
          <w:b/>
          <w:color w:val="auto"/>
          <w:sz w:val="24"/>
          <w:highlight w:val="none"/>
        </w:rPr>
        <w:t xml:space="preserve">  噪声排放标准一览表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506"/>
        <w:gridCol w:w="753"/>
        <w:gridCol w:w="753"/>
        <w:gridCol w:w="753"/>
        <w:gridCol w:w="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dxa"/>
            <w:gridSpan w:val="2"/>
            <w:shd w:val="clear" w:color="auto" w:fill="auto"/>
            <w:vAlign w:val="center"/>
          </w:tcPr>
          <w:p>
            <w:pPr>
              <w:keepNext/>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类别</w:t>
            </w:r>
          </w:p>
        </w:tc>
        <w:tc>
          <w:tcPr>
            <w:tcW w:w="753" w:type="dxa"/>
            <w:shd w:val="clear" w:color="auto" w:fill="auto"/>
            <w:vAlign w:val="center"/>
          </w:tcPr>
          <w:p>
            <w:pPr>
              <w:keepNext/>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单位</w:t>
            </w:r>
          </w:p>
        </w:tc>
        <w:tc>
          <w:tcPr>
            <w:tcW w:w="753" w:type="dxa"/>
            <w:shd w:val="clear" w:color="auto" w:fill="auto"/>
            <w:vAlign w:val="center"/>
          </w:tcPr>
          <w:p>
            <w:pPr>
              <w:keepNext/>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昼间</w:t>
            </w:r>
          </w:p>
        </w:tc>
        <w:tc>
          <w:tcPr>
            <w:tcW w:w="753" w:type="dxa"/>
            <w:shd w:val="clear" w:color="auto" w:fill="auto"/>
            <w:vAlign w:val="center"/>
          </w:tcPr>
          <w:p>
            <w:pPr>
              <w:keepNext/>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夜间</w:t>
            </w:r>
          </w:p>
        </w:tc>
        <w:tc>
          <w:tcPr>
            <w:tcW w:w="3743" w:type="dxa"/>
            <w:shd w:val="clear" w:color="auto" w:fill="auto"/>
            <w:vAlign w:val="center"/>
          </w:tcPr>
          <w:p>
            <w:pPr>
              <w:keepNext/>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shd w:val="clear" w:color="auto" w:fill="auto"/>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1506" w:type="dxa"/>
            <w:shd w:val="clear" w:color="auto" w:fill="auto"/>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等效连续A声级</w:t>
            </w:r>
          </w:p>
        </w:tc>
        <w:tc>
          <w:tcPr>
            <w:tcW w:w="753" w:type="dxa"/>
            <w:shd w:val="clear" w:color="auto" w:fill="auto"/>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dB（A）</w:t>
            </w:r>
          </w:p>
        </w:tc>
        <w:tc>
          <w:tcPr>
            <w:tcW w:w="753" w:type="dxa"/>
            <w:shd w:val="clear" w:color="auto" w:fill="auto"/>
            <w:vAlign w:val="center"/>
          </w:tcPr>
          <w:p>
            <w:pPr>
              <w:shd w:val="clea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6</w:t>
            </w:r>
            <w:r>
              <w:rPr>
                <w:rFonts w:hint="default" w:ascii="Times New Roman" w:hAnsi="Times New Roman" w:eastAsia="宋体" w:cs="Times New Roman"/>
                <w:color w:val="auto"/>
                <w:szCs w:val="21"/>
                <w:highlight w:val="none"/>
                <w:lang w:val="en-US" w:eastAsia="zh-CN"/>
              </w:rPr>
              <w:t>0</w:t>
            </w:r>
          </w:p>
        </w:tc>
        <w:tc>
          <w:tcPr>
            <w:tcW w:w="753" w:type="dxa"/>
            <w:shd w:val="clear" w:color="auto" w:fill="auto"/>
            <w:vAlign w:val="center"/>
          </w:tcPr>
          <w:p>
            <w:pPr>
              <w:shd w:val="clea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5</w:t>
            </w:r>
            <w:r>
              <w:rPr>
                <w:rFonts w:hint="default" w:ascii="Times New Roman" w:hAnsi="Times New Roman" w:eastAsia="宋体" w:cs="Times New Roman"/>
                <w:color w:val="auto"/>
                <w:szCs w:val="21"/>
                <w:highlight w:val="none"/>
                <w:lang w:val="en-US" w:eastAsia="zh-CN"/>
              </w:rPr>
              <w:t>0</w:t>
            </w:r>
          </w:p>
        </w:tc>
        <w:tc>
          <w:tcPr>
            <w:tcW w:w="3743" w:type="dxa"/>
            <w:shd w:val="clear" w:color="auto" w:fill="auto"/>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《工业企业厂界环境噪声排放标准》（GB12348-2008）中</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类标准</w:t>
            </w:r>
          </w:p>
        </w:tc>
      </w:tr>
    </w:tbl>
    <w:p>
      <w:pPr>
        <w:pStyle w:val="159"/>
        <w:keepNext w:val="0"/>
        <w:keepLines w:val="0"/>
        <w:pageBreakBefore w:val="0"/>
        <w:widowControl w:val="0"/>
        <w:numPr>
          <w:ilvl w:val="0"/>
          <w:numId w:val="0"/>
        </w:numPr>
        <w:shd w:val="clea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4</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highlight w:val="none"/>
        </w:rPr>
        <w:t>一般工业固体废物贮存执行《一般工业固体废物贮存和填埋污染控制标准》（GB18599-2020）。</w:t>
      </w:r>
    </w:p>
    <w:p>
      <w:pPr>
        <w:pStyle w:val="159"/>
        <w:keepNext w:val="0"/>
        <w:keepLines w:val="0"/>
        <w:pageBreakBefore w:val="0"/>
        <w:widowControl w:val="0"/>
        <w:numPr>
          <w:ilvl w:val="0"/>
          <w:numId w:val="0"/>
        </w:numPr>
        <w:shd w:val="clea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5</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highlight w:val="none"/>
        </w:rPr>
        <w:t>危险废物贮存执行《危险废物贮存污染控制标准》（GB18597-2001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及修改单相关规定。</w:t>
      </w:r>
    </w:p>
    <w:p>
      <w:pPr>
        <w:pStyle w:val="5"/>
        <w:shd w:val="clear"/>
        <w:spacing w:before="60" w:after="60"/>
        <w:rPr>
          <w:rFonts w:hint="default" w:ascii="Times New Roman" w:hAnsi="Times New Roman" w:eastAsia="宋体" w:cs="Times New Roman"/>
          <w:color w:val="auto"/>
          <w:highlight w:val="none"/>
        </w:rPr>
      </w:pPr>
      <w:bookmarkStart w:id="112" w:name="_Toc327383057"/>
      <w:bookmarkStart w:id="113" w:name="_Toc464475329"/>
      <w:bookmarkStart w:id="114" w:name="_Toc11151"/>
      <w:r>
        <w:rPr>
          <w:rFonts w:hint="default" w:ascii="Times New Roman" w:hAnsi="Times New Roman" w:eastAsia="宋体" w:cs="Times New Roman"/>
          <w:color w:val="auto"/>
          <w:highlight w:val="none"/>
        </w:rPr>
        <w:t>2.6评价等级与评价范围</w:t>
      </w:r>
      <w:bookmarkEnd w:id="112"/>
      <w:bookmarkEnd w:id="113"/>
      <w:bookmarkEnd w:id="114"/>
    </w:p>
    <w:p>
      <w:pPr>
        <w:pStyle w:val="6"/>
        <w:keepLines w:val="0"/>
        <w:shd w:val="clear"/>
        <w:rPr>
          <w:rFonts w:hint="default" w:ascii="Times New Roman" w:hAnsi="Times New Roman" w:eastAsia="宋体" w:cs="Times New Roman"/>
          <w:color w:val="auto"/>
          <w:highlight w:val="none"/>
        </w:rPr>
      </w:pPr>
      <w:bookmarkStart w:id="115" w:name="_Toc464475330"/>
      <w:bookmarkStart w:id="116" w:name="_Toc327383058"/>
      <w:r>
        <w:rPr>
          <w:rFonts w:hint="default" w:ascii="Times New Roman" w:hAnsi="Times New Roman" w:eastAsia="宋体" w:cs="Times New Roman"/>
          <w:color w:val="auto"/>
          <w:highlight w:val="none"/>
        </w:rPr>
        <w:t>2.6.1环境空气评价工作等级及评价范围</w:t>
      </w:r>
      <w:bookmarkEnd w:id="115"/>
      <w:bookmarkEnd w:id="116"/>
    </w:p>
    <w:p>
      <w:pPr>
        <w:pStyle w:val="159"/>
        <w:keepNext w:val="0"/>
        <w:shd w:val="clear"/>
        <w:spacing w:line="360" w:lineRule="auto"/>
        <w:rPr>
          <w:rFonts w:hint="default" w:ascii="Times New Roman" w:hAnsi="Times New Roman" w:eastAsia="宋体" w:cs="Times New Roman"/>
          <w:color w:val="auto"/>
          <w:sz w:val="24"/>
          <w:szCs w:val="24"/>
          <w:highlight w:val="none"/>
        </w:rPr>
      </w:pPr>
      <w:bookmarkStart w:id="117" w:name="_Hlk530726204"/>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评价等级</w:t>
      </w:r>
    </w:p>
    <w:p>
      <w:pPr>
        <w:pStyle w:val="159"/>
        <w:keepNext w:val="0"/>
        <w:shd w:val="clear"/>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大气环境》（HJ2.2-2018）规定的估算模式对本项目的大气环境影响评价进行分级，确定评价等级时需根据项目污染源初步调查结果，分别计算项目排放主要污染物的最大地面空气质量浓度占标率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（第i个污染物，简称“最大浓度占标率”），及第i个污染物的地面空气质量浓度达到标准值的10%时所对应的最远距离D</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。其中P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定义为：</w:t>
      </w:r>
    </w:p>
    <w:p>
      <w:pPr>
        <w:shd w:val="clear"/>
        <w:spacing w:line="360" w:lineRule="auto"/>
        <w:ind w:firstLine="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oi</w:t>
      </w:r>
      <w:r>
        <w:rPr>
          <w:rFonts w:hint="default" w:ascii="Times New Roman" w:hAnsi="Times New Roman" w:eastAsia="宋体" w:cs="Times New Roman"/>
          <w:color w:val="auto"/>
          <w:sz w:val="24"/>
          <w:szCs w:val="24"/>
          <w:highlight w:val="none"/>
        </w:rPr>
        <w:t>×100%</w:t>
      </w:r>
    </w:p>
    <w:p>
      <w:pPr>
        <w:pStyle w:val="107"/>
        <w:keepNext w:val="0"/>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—第i个污染物的最大地面浓度占标率，%；</w:t>
      </w:r>
    </w:p>
    <w:p>
      <w:pPr>
        <w:pStyle w:val="107"/>
        <w:keepNext w:val="0"/>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—采用估算模式计算出的第i个污染物的最大地面浓度，μg/m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pStyle w:val="107"/>
        <w:keepNext w:val="0"/>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oi</w:t>
      </w:r>
      <w:r>
        <w:rPr>
          <w:rFonts w:hint="default" w:ascii="Times New Roman" w:hAnsi="Times New Roman" w:eastAsia="宋体" w:cs="Times New Roman"/>
          <w:color w:val="auto"/>
          <w:sz w:val="24"/>
          <w:szCs w:val="24"/>
          <w:highlight w:val="none"/>
        </w:rPr>
        <w:t>—第i个污染物的环境空气质量标准，μg/m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bookmarkEnd w:id="117"/>
    <w:p>
      <w:pPr>
        <w:pStyle w:val="138"/>
        <w:keepNext w:val="0"/>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评价工作等级按表2.6-1进行划分，如污染物数i大于1，取P值中最大者（Pmax），详见表2.6-1。</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表2.6-1评价工作等级划分表</w:t>
      </w:r>
    </w:p>
    <w:tbl>
      <w:tblPr>
        <w:tblStyle w:val="90"/>
        <w:tblW w:w="8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45"/>
        <w:gridCol w:w="581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45" w:type="dxa"/>
            <w:vAlign w:val="center"/>
          </w:tcPr>
          <w:p>
            <w:pPr>
              <w:keepNext w:val="0"/>
              <w:keepLines w:val="0"/>
              <w:pageBreakBefore w:val="0"/>
              <w:widowControl w:val="0"/>
              <w:shd w:val="clear"/>
              <w:kinsoku/>
              <w:wordWrap/>
              <w:overflowPunct/>
              <w:topLinePunct w:val="0"/>
              <w:autoSpaceDE/>
              <w:autoSpaceDN/>
              <w:bidi w:val="0"/>
              <w:adjustRightInd w:val="0"/>
              <w:snapToGrid/>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评价工作等级</w:t>
            </w:r>
          </w:p>
        </w:tc>
        <w:tc>
          <w:tcPr>
            <w:tcW w:w="5815" w:type="dxa"/>
            <w:vAlign w:val="center"/>
          </w:tcPr>
          <w:p>
            <w:pPr>
              <w:keepNext w:val="0"/>
              <w:keepLines w:val="0"/>
              <w:pageBreakBefore w:val="0"/>
              <w:widowControl w:val="0"/>
              <w:shd w:val="clear"/>
              <w:kinsoku/>
              <w:wordWrap/>
              <w:overflowPunct/>
              <w:topLinePunct w:val="0"/>
              <w:autoSpaceDE/>
              <w:autoSpaceDN/>
              <w:bidi w:val="0"/>
              <w:adjustRightInd w:val="0"/>
              <w:snapToGrid/>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评价工作分级判据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45" w:type="dxa"/>
            <w:vAlign w:val="center"/>
          </w:tcPr>
          <w:p>
            <w:pPr>
              <w:keepNext w:val="0"/>
              <w:keepLines w:val="0"/>
              <w:pageBreakBefore w:val="0"/>
              <w:widowControl w:val="0"/>
              <w:shd w:val="clear"/>
              <w:kinsoku/>
              <w:wordWrap/>
              <w:overflowPunct/>
              <w:topLinePunct w:val="0"/>
              <w:autoSpaceDE/>
              <w:autoSpaceDN/>
              <w:bidi w:val="0"/>
              <w:adjustRightInd w:val="0"/>
              <w:snapToGrid/>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一级</w:t>
            </w:r>
          </w:p>
        </w:tc>
        <w:tc>
          <w:tcPr>
            <w:tcW w:w="5815" w:type="dxa"/>
            <w:vAlign w:val="center"/>
          </w:tcPr>
          <w:p>
            <w:pPr>
              <w:keepNext w:val="0"/>
              <w:keepLines w:val="0"/>
              <w:pageBreakBefore w:val="0"/>
              <w:widowControl w:val="0"/>
              <w:shd w:val="clear"/>
              <w:kinsoku/>
              <w:wordWrap/>
              <w:overflowPunct/>
              <w:topLinePunct w:val="0"/>
              <w:autoSpaceDE/>
              <w:autoSpaceDN/>
              <w:bidi w:val="0"/>
              <w:adjustRightInd w:val="0"/>
              <w:snapToGrid/>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w:t>
            </w:r>
            <w:r>
              <w:rPr>
                <w:rFonts w:hint="default" w:ascii="Times New Roman" w:hAnsi="Times New Roman" w:eastAsia="宋体" w:cs="Times New Roman"/>
                <w:color w:val="auto"/>
                <w:highlight w:val="none"/>
                <w:vertAlign w:val="subscript"/>
              </w:rPr>
              <w:t>max</w:t>
            </w:r>
            <w:r>
              <w:rPr>
                <w:rFonts w:hint="default" w:ascii="Times New Roman" w:hAnsi="Times New Roman" w:eastAsia="宋体" w:cs="Times New Roman"/>
                <w:color w:val="auto"/>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45" w:type="dxa"/>
            <w:vAlign w:val="center"/>
          </w:tcPr>
          <w:p>
            <w:pPr>
              <w:keepNext w:val="0"/>
              <w:keepLines w:val="0"/>
              <w:pageBreakBefore w:val="0"/>
              <w:widowControl w:val="0"/>
              <w:shd w:val="clear"/>
              <w:kinsoku/>
              <w:wordWrap/>
              <w:overflowPunct/>
              <w:topLinePunct w:val="0"/>
              <w:autoSpaceDE/>
              <w:autoSpaceDN/>
              <w:bidi w:val="0"/>
              <w:adjustRightInd w:val="0"/>
              <w:snapToGrid/>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二级</w:t>
            </w:r>
          </w:p>
        </w:tc>
        <w:tc>
          <w:tcPr>
            <w:tcW w:w="5815" w:type="dxa"/>
            <w:vAlign w:val="center"/>
          </w:tcPr>
          <w:p>
            <w:pPr>
              <w:keepNext w:val="0"/>
              <w:keepLines w:val="0"/>
              <w:pageBreakBefore w:val="0"/>
              <w:widowControl w:val="0"/>
              <w:shd w:val="clear"/>
              <w:kinsoku/>
              <w:wordWrap/>
              <w:overflowPunct/>
              <w:topLinePunct w:val="0"/>
              <w:autoSpaceDE/>
              <w:autoSpaceDN/>
              <w:bidi w:val="0"/>
              <w:adjustRightInd w:val="0"/>
              <w:snapToGrid/>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highlight w:val="none"/>
              </w:rPr>
              <w:t xml:space="preserve"> Pmax &lt;10%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45" w:type="dxa"/>
            <w:vAlign w:val="center"/>
          </w:tcPr>
          <w:p>
            <w:pPr>
              <w:keepNext w:val="0"/>
              <w:keepLines w:val="0"/>
              <w:pageBreakBefore w:val="0"/>
              <w:widowControl w:val="0"/>
              <w:shd w:val="clear"/>
              <w:kinsoku/>
              <w:wordWrap/>
              <w:overflowPunct/>
              <w:topLinePunct w:val="0"/>
              <w:autoSpaceDE/>
              <w:autoSpaceDN/>
              <w:bidi w:val="0"/>
              <w:adjustRightInd w:val="0"/>
              <w:snapToGrid/>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三级</w:t>
            </w:r>
          </w:p>
        </w:tc>
        <w:tc>
          <w:tcPr>
            <w:tcW w:w="5815" w:type="dxa"/>
            <w:vAlign w:val="center"/>
          </w:tcPr>
          <w:p>
            <w:pPr>
              <w:keepNext w:val="0"/>
              <w:keepLines w:val="0"/>
              <w:pageBreakBefore w:val="0"/>
              <w:widowControl w:val="0"/>
              <w:shd w:val="clear"/>
              <w:kinsoku/>
              <w:wordWrap/>
              <w:overflowPunct/>
              <w:topLinePunct w:val="0"/>
              <w:autoSpaceDE/>
              <w:autoSpaceDN/>
              <w:bidi w:val="0"/>
              <w:adjustRightInd w:val="0"/>
              <w:snapToGrid/>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Pmax&lt;1% </w:t>
            </w:r>
          </w:p>
        </w:tc>
      </w:tr>
    </w:tbl>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37"/>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t>本次估算采用《环境影响评价技术导则</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lang w:val="zh-CN"/>
        </w:rPr>
        <w:t>大气环境》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HJ2.2-2018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zh-CN"/>
        </w:rPr>
        <w:t>推荐模式</w:t>
      </w:r>
      <w:r>
        <w:rPr>
          <w:rFonts w:hint="default" w:ascii="Times New Roman" w:hAnsi="Times New Roman" w:eastAsia="宋体" w:cs="Times New Roman"/>
          <w:color w:val="auto"/>
          <w:sz w:val="24"/>
          <w:highlight w:val="none"/>
        </w:rPr>
        <w:t>-AERSCREEN</w:t>
      </w:r>
      <w:r>
        <w:rPr>
          <w:rFonts w:hint="default" w:ascii="Times New Roman" w:hAnsi="Times New Roman" w:eastAsia="宋体" w:cs="Times New Roman"/>
          <w:color w:val="auto"/>
          <w:sz w:val="24"/>
          <w:highlight w:val="none"/>
          <w:lang w:val="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37"/>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lang w:val="zh-CN"/>
        </w:rPr>
        <w:t>本项目投入运营后大气污染源排放数据见表</w:t>
      </w:r>
      <w:r>
        <w:rPr>
          <w:rFonts w:hint="default" w:ascii="Times New Roman" w:hAnsi="Times New Roman" w:eastAsia="宋体" w:cs="Times New Roman"/>
          <w:color w:val="auto"/>
          <w:sz w:val="24"/>
          <w:highlight w:val="none"/>
        </w:rPr>
        <w:t>2.6-2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zh-CN"/>
        </w:rPr>
        <w:t>表</w:t>
      </w:r>
      <w:r>
        <w:rPr>
          <w:rFonts w:hint="default" w:ascii="Times New Roman" w:hAnsi="Times New Roman" w:eastAsia="宋体" w:cs="Times New Roman"/>
          <w:color w:val="auto"/>
          <w:sz w:val="24"/>
          <w:highlight w:val="none"/>
        </w:rPr>
        <w:t>2.6-</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rPr>
        <w:t>。</w:t>
      </w:r>
    </w:p>
    <w:p>
      <w:pPr>
        <w:shd w:val="clear"/>
        <w:spacing w:line="240" w:lineRule="auto"/>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表</w:t>
      </w:r>
      <w:r>
        <w:rPr>
          <w:rFonts w:hint="default" w:ascii="Times New Roman" w:hAnsi="Times New Roman" w:eastAsia="宋体" w:cs="Times New Roman"/>
          <w:b/>
          <w:bCs/>
          <w:color w:val="auto"/>
          <w:sz w:val="24"/>
          <w:highlight w:val="none"/>
        </w:rPr>
        <w:t>2.6-</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szCs w:val="22"/>
          <w:highlight w:val="none"/>
        </w:rPr>
        <w:t xml:space="preserve"> </w:t>
      </w:r>
      <w:r>
        <w:rPr>
          <w:rFonts w:hint="default" w:ascii="Times New Roman" w:hAnsi="Times New Roman" w:eastAsia="宋体" w:cs="Times New Roman"/>
          <w:b/>
          <w:color w:val="auto"/>
          <w:sz w:val="24"/>
          <w:highlight w:val="none"/>
        </w:rPr>
        <w:t>点源</w:t>
      </w:r>
      <w:r>
        <w:rPr>
          <w:rFonts w:hint="default" w:ascii="Times New Roman" w:hAnsi="Times New Roman" w:eastAsia="宋体" w:cs="Times New Roman"/>
          <w:b/>
          <w:bCs/>
          <w:color w:val="auto"/>
          <w:sz w:val="24"/>
          <w:szCs w:val="22"/>
          <w:highlight w:val="none"/>
        </w:rPr>
        <w:t>参数表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87"/>
        <w:gridCol w:w="776"/>
        <w:gridCol w:w="793"/>
        <w:gridCol w:w="751"/>
        <w:gridCol w:w="623"/>
        <w:gridCol w:w="626"/>
        <w:gridCol w:w="597"/>
        <w:gridCol w:w="568"/>
        <w:gridCol w:w="564"/>
        <w:gridCol w:w="465"/>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编号</w:t>
            </w:r>
          </w:p>
        </w:tc>
        <w:tc>
          <w:tcPr>
            <w:tcW w:w="887"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名称</w:t>
            </w:r>
          </w:p>
        </w:tc>
        <w:tc>
          <w:tcPr>
            <w:tcW w:w="1569" w:type="dxa"/>
            <w:gridSpan w:val="2"/>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排气筒底部中心坐标/经纬度坐标</w:t>
            </w:r>
          </w:p>
        </w:tc>
        <w:tc>
          <w:tcPr>
            <w:tcW w:w="751"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排气筒底部海拔高度/m</w:t>
            </w:r>
          </w:p>
        </w:tc>
        <w:tc>
          <w:tcPr>
            <w:tcW w:w="623"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排气筒高度/m</w:t>
            </w:r>
          </w:p>
        </w:tc>
        <w:tc>
          <w:tcPr>
            <w:tcW w:w="626"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排气筒出口内径/m</w:t>
            </w:r>
          </w:p>
        </w:tc>
        <w:tc>
          <w:tcPr>
            <w:tcW w:w="597"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烟气流量/（m</w:t>
            </w:r>
            <w:r>
              <w:rPr>
                <w:rFonts w:hint="default" w:ascii="Times New Roman" w:hAnsi="Times New Roman" w:eastAsia="宋体" w:cs="Times New Roman"/>
                <w:color w:val="auto"/>
                <w:sz w:val="21"/>
                <w:szCs w:val="21"/>
                <w:highlight w:val="none"/>
                <w:vertAlign w:val="superscript"/>
                <w:lang w:val="en-US"/>
              </w:rPr>
              <w:t>3</w:t>
            </w:r>
            <w:r>
              <w:rPr>
                <w:rFonts w:hint="default" w:ascii="Times New Roman" w:hAnsi="Times New Roman" w:eastAsia="宋体" w:cs="Times New Roman"/>
                <w:color w:val="auto"/>
                <w:sz w:val="21"/>
                <w:szCs w:val="21"/>
                <w:highlight w:val="none"/>
                <w:lang w:val="en-US"/>
              </w:rPr>
              <w:t>/s）</w:t>
            </w:r>
          </w:p>
        </w:tc>
        <w:tc>
          <w:tcPr>
            <w:tcW w:w="568"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烟气温度/℃</w:t>
            </w:r>
          </w:p>
        </w:tc>
        <w:tc>
          <w:tcPr>
            <w:tcW w:w="564"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年排放小时数/h</w:t>
            </w:r>
          </w:p>
        </w:tc>
        <w:tc>
          <w:tcPr>
            <w:tcW w:w="465"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排放工况</w:t>
            </w:r>
          </w:p>
        </w:tc>
        <w:tc>
          <w:tcPr>
            <w:tcW w:w="1029" w:type="dxa"/>
            <w:vMerge w:val="restart"/>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887"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776" w:type="dxa"/>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X</w:t>
            </w:r>
          </w:p>
        </w:tc>
        <w:tc>
          <w:tcPr>
            <w:tcW w:w="793" w:type="dxa"/>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Y</w:t>
            </w:r>
          </w:p>
        </w:tc>
        <w:tc>
          <w:tcPr>
            <w:tcW w:w="751"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623"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626"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597"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568"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564"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465"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29" w:type="dxa"/>
            <w:vMerge w:val="continue"/>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887"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776"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rPr>
              <w:t>4</w:t>
            </w:r>
            <w:r>
              <w:rPr>
                <w:rFonts w:hint="default" w:ascii="Times New Roman" w:hAnsi="Times New Roman" w:eastAsia="宋体" w:cs="Times New Roman"/>
                <w:color w:val="auto"/>
                <w:szCs w:val="21"/>
                <w:highlight w:val="none"/>
                <w:lang w:val="en-US" w:eastAsia="zh-CN"/>
              </w:rPr>
              <w:t>0.857134</w:t>
            </w:r>
          </w:p>
        </w:tc>
        <w:tc>
          <w:tcPr>
            <w:tcW w:w="793"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rPr>
              <w:t>10</w:t>
            </w:r>
            <w:r>
              <w:rPr>
                <w:rFonts w:hint="default" w:ascii="Times New Roman" w:hAnsi="Times New Roman" w:eastAsia="宋体" w:cs="Times New Roman"/>
                <w:color w:val="auto"/>
                <w:szCs w:val="21"/>
                <w:highlight w:val="none"/>
                <w:lang w:val="en-US" w:eastAsia="zh-CN"/>
              </w:rPr>
              <w:t>8.912539</w:t>
            </w:r>
          </w:p>
        </w:tc>
        <w:tc>
          <w:tcPr>
            <w:tcW w:w="751"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rPr>
              <w:t>1</w:t>
            </w:r>
            <w:r>
              <w:rPr>
                <w:rFonts w:hint="default" w:ascii="Times New Roman" w:hAnsi="Times New Roman" w:eastAsia="宋体" w:cs="Times New Roman"/>
                <w:color w:val="auto"/>
                <w:szCs w:val="21"/>
                <w:highlight w:val="none"/>
                <w:lang w:val="en-US" w:eastAsia="zh-CN"/>
              </w:rPr>
              <w:t>040</w:t>
            </w:r>
          </w:p>
        </w:tc>
        <w:tc>
          <w:tcPr>
            <w:tcW w:w="623"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15</w:t>
            </w:r>
          </w:p>
        </w:tc>
        <w:tc>
          <w:tcPr>
            <w:tcW w:w="626"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rPr>
              <w:t>0.</w:t>
            </w:r>
            <w:r>
              <w:rPr>
                <w:rFonts w:hint="default" w:ascii="Times New Roman" w:hAnsi="Times New Roman" w:eastAsia="宋体" w:cs="Times New Roman"/>
                <w:color w:val="auto"/>
                <w:szCs w:val="21"/>
                <w:highlight w:val="none"/>
                <w:lang w:val="en-US" w:eastAsia="zh-CN"/>
              </w:rPr>
              <w:t>3</w:t>
            </w:r>
          </w:p>
        </w:tc>
        <w:tc>
          <w:tcPr>
            <w:tcW w:w="597" w:type="dxa"/>
            <w:vMerge w:val="restart"/>
            <w:vAlign w:val="center"/>
          </w:tcPr>
          <w:p>
            <w:pPr>
              <w:shd w:val="clear"/>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2.8</w:t>
            </w:r>
          </w:p>
        </w:tc>
        <w:tc>
          <w:tcPr>
            <w:tcW w:w="568"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25</w:t>
            </w:r>
          </w:p>
        </w:tc>
        <w:tc>
          <w:tcPr>
            <w:tcW w:w="564"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5760</w:t>
            </w:r>
          </w:p>
        </w:tc>
        <w:tc>
          <w:tcPr>
            <w:tcW w:w="465"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rPr>
              <w:t>正常</w:t>
            </w:r>
          </w:p>
        </w:tc>
        <w:tc>
          <w:tcPr>
            <w:tcW w:w="1029"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非甲烷总烃：</w:t>
            </w: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p>
        </w:tc>
        <w:tc>
          <w:tcPr>
            <w:tcW w:w="887"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p>
        </w:tc>
        <w:tc>
          <w:tcPr>
            <w:tcW w:w="776"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rPr>
            </w:pPr>
          </w:p>
        </w:tc>
        <w:tc>
          <w:tcPr>
            <w:tcW w:w="793"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rPr>
            </w:pPr>
          </w:p>
        </w:tc>
        <w:tc>
          <w:tcPr>
            <w:tcW w:w="751"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rPr>
            </w:pPr>
          </w:p>
        </w:tc>
        <w:tc>
          <w:tcPr>
            <w:tcW w:w="623"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p>
        </w:tc>
        <w:tc>
          <w:tcPr>
            <w:tcW w:w="626"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rPr>
            </w:pPr>
          </w:p>
        </w:tc>
        <w:tc>
          <w:tcPr>
            <w:tcW w:w="597" w:type="dxa"/>
            <w:vMerge w:val="continue"/>
            <w:vAlign w:val="center"/>
          </w:tcPr>
          <w:p>
            <w:pPr>
              <w:shd w:val="clear"/>
              <w:jc w:val="center"/>
              <w:rPr>
                <w:rFonts w:hint="default" w:ascii="Times New Roman" w:hAnsi="Times New Roman" w:eastAsia="宋体" w:cs="Times New Roman"/>
                <w:color w:val="auto"/>
                <w:highlight w:val="none"/>
                <w:lang w:val="en-US" w:eastAsia="zh-CN"/>
              </w:rPr>
            </w:pPr>
          </w:p>
        </w:tc>
        <w:tc>
          <w:tcPr>
            <w:tcW w:w="568"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p>
        </w:tc>
        <w:tc>
          <w:tcPr>
            <w:tcW w:w="564"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p>
        </w:tc>
        <w:tc>
          <w:tcPr>
            <w:tcW w:w="465" w:type="dxa"/>
            <w:vMerge w:val="continue"/>
            <w:vAlign w:val="center"/>
          </w:tcPr>
          <w:p>
            <w:pPr>
              <w:shd w:val="clear"/>
              <w:ind w:firstLine="0" w:firstLineChars="0"/>
              <w:jc w:val="center"/>
              <w:rPr>
                <w:rFonts w:hint="default" w:ascii="Times New Roman" w:hAnsi="Times New Roman" w:eastAsia="宋体" w:cs="Times New Roman"/>
                <w:color w:val="auto"/>
                <w:szCs w:val="21"/>
                <w:highlight w:val="none"/>
                <w:lang w:val="en-US"/>
              </w:rPr>
            </w:pPr>
          </w:p>
        </w:tc>
        <w:tc>
          <w:tcPr>
            <w:tcW w:w="1029"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887"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776"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40.857228</w:t>
            </w:r>
          </w:p>
        </w:tc>
        <w:tc>
          <w:tcPr>
            <w:tcW w:w="793"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108.913304</w:t>
            </w:r>
          </w:p>
        </w:tc>
        <w:tc>
          <w:tcPr>
            <w:tcW w:w="751"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1040</w:t>
            </w:r>
          </w:p>
        </w:tc>
        <w:tc>
          <w:tcPr>
            <w:tcW w:w="623"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15</w:t>
            </w:r>
          </w:p>
        </w:tc>
        <w:tc>
          <w:tcPr>
            <w:tcW w:w="626"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0.3</w:t>
            </w:r>
          </w:p>
        </w:tc>
        <w:tc>
          <w:tcPr>
            <w:tcW w:w="597" w:type="dxa"/>
            <w:vMerge w:val="restart"/>
            <w:vAlign w:val="center"/>
          </w:tcPr>
          <w:p>
            <w:pPr>
              <w:shd w:val="clea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2.8</w:t>
            </w:r>
          </w:p>
        </w:tc>
        <w:tc>
          <w:tcPr>
            <w:tcW w:w="568"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w:t>
            </w:r>
          </w:p>
        </w:tc>
        <w:tc>
          <w:tcPr>
            <w:tcW w:w="564" w:type="dxa"/>
            <w:vMerge w:val="restart"/>
            <w:vAlign w:val="center"/>
          </w:tcPr>
          <w:p>
            <w:pPr>
              <w:shd w:val="clear"/>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5760</w:t>
            </w:r>
          </w:p>
        </w:tc>
        <w:tc>
          <w:tcPr>
            <w:tcW w:w="465" w:type="dxa"/>
            <w:vMerge w:val="restart"/>
            <w:vAlign w:val="center"/>
          </w:tcPr>
          <w:p>
            <w:pPr>
              <w:shd w:val="clear"/>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rPr>
              <w:t>正常</w:t>
            </w:r>
          </w:p>
        </w:tc>
        <w:tc>
          <w:tcPr>
            <w:tcW w:w="1029"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非甲烷总烃：</w:t>
            </w:r>
            <w:r>
              <w:rPr>
                <w:rFonts w:hint="eastAsia" w:cs="Times New Roman"/>
                <w:color w:val="auto"/>
                <w:szCs w:val="21"/>
                <w:highlight w:val="none"/>
                <w:lang w:val="en-US" w:eastAsia="zh-CN"/>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dxa"/>
            <w:vMerge w:val="continue"/>
            <w:vAlign w:val="center"/>
          </w:tcPr>
          <w:p>
            <w:pPr>
              <w:shd w:val="clear"/>
              <w:jc w:val="center"/>
              <w:rPr>
                <w:rFonts w:hint="default" w:ascii="Times New Roman" w:hAnsi="Times New Roman" w:eastAsia="宋体" w:cs="Times New Roman"/>
                <w:color w:val="auto"/>
              </w:rPr>
            </w:pPr>
          </w:p>
        </w:tc>
        <w:tc>
          <w:tcPr>
            <w:tcW w:w="887" w:type="dxa"/>
            <w:vMerge w:val="continue"/>
            <w:vAlign w:val="center"/>
          </w:tcPr>
          <w:p>
            <w:pPr>
              <w:shd w:val="clear"/>
              <w:jc w:val="center"/>
              <w:rPr>
                <w:rFonts w:hint="default" w:ascii="Times New Roman" w:hAnsi="Times New Roman" w:eastAsia="宋体" w:cs="Times New Roman"/>
                <w:color w:val="auto"/>
              </w:rPr>
            </w:pPr>
          </w:p>
        </w:tc>
        <w:tc>
          <w:tcPr>
            <w:tcW w:w="776" w:type="dxa"/>
            <w:vMerge w:val="continue"/>
            <w:vAlign w:val="center"/>
          </w:tcPr>
          <w:p>
            <w:pPr>
              <w:shd w:val="clear"/>
              <w:jc w:val="center"/>
              <w:rPr>
                <w:rFonts w:hint="default" w:ascii="Times New Roman" w:hAnsi="Times New Roman" w:eastAsia="宋体" w:cs="Times New Roman"/>
                <w:color w:val="auto"/>
              </w:rPr>
            </w:pPr>
          </w:p>
        </w:tc>
        <w:tc>
          <w:tcPr>
            <w:tcW w:w="793" w:type="dxa"/>
            <w:vMerge w:val="continue"/>
            <w:vAlign w:val="center"/>
          </w:tcPr>
          <w:p>
            <w:pPr>
              <w:shd w:val="clear"/>
              <w:jc w:val="center"/>
              <w:rPr>
                <w:rFonts w:hint="default" w:ascii="Times New Roman" w:hAnsi="Times New Roman" w:eastAsia="宋体" w:cs="Times New Roman"/>
                <w:color w:val="auto"/>
              </w:rPr>
            </w:pPr>
          </w:p>
        </w:tc>
        <w:tc>
          <w:tcPr>
            <w:tcW w:w="751" w:type="dxa"/>
            <w:vMerge w:val="continue"/>
            <w:vAlign w:val="center"/>
          </w:tcPr>
          <w:p>
            <w:pPr>
              <w:shd w:val="clear"/>
              <w:jc w:val="center"/>
              <w:rPr>
                <w:rFonts w:hint="default" w:ascii="Times New Roman" w:hAnsi="Times New Roman" w:eastAsia="宋体" w:cs="Times New Roman"/>
                <w:color w:val="auto"/>
              </w:rPr>
            </w:pPr>
          </w:p>
        </w:tc>
        <w:tc>
          <w:tcPr>
            <w:tcW w:w="623" w:type="dxa"/>
            <w:vMerge w:val="continue"/>
            <w:vAlign w:val="center"/>
          </w:tcPr>
          <w:p>
            <w:pPr>
              <w:shd w:val="clear"/>
              <w:jc w:val="center"/>
              <w:rPr>
                <w:rFonts w:hint="default" w:ascii="Times New Roman" w:hAnsi="Times New Roman" w:eastAsia="宋体" w:cs="Times New Roman"/>
                <w:color w:val="auto"/>
              </w:rPr>
            </w:pPr>
          </w:p>
        </w:tc>
        <w:tc>
          <w:tcPr>
            <w:tcW w:w="626" w:type="dxa"/>
            <w:vMerge w:val="continue"/>
            <w:vAlign w:val="center"/>
          </w:tcPr>
          <w:p>
            <w:pPr>
              <w:shd w:val="clear"/>
              <w:jc w:val="center"/>
              <w:rPr>
                <w:rFonts w:hint="default" w:ascii="Times New Roman" w:hAnsi="Times New Roman" w:eastAsia="宋体" w:cs="Times New Roman"/>
                <w:color w:val="auto"/>
              </w:rPr>
            </w:pPr>
          </w:p>
        </w:tc>
        <w:tc>
          <w:tcPr>
            <w:tcW w:w="597" w:type="dxa"/>
            <w:vMerge w:val="continue"/>
            <w:vAlign w:val="center"/>
          </w:tcPr>
          <w:p>
            <w:pPr>
              <w:shd w:val="clear"/>
              <w:jc w:val="center"/>
              <w:rPr>
                <w:rFonts w:hint="default" w:ascii="Times New Roman" w:hAnsi="Times New Roman" w:eastAsia="宋体" w:cs="Times New Roman"/>
                <w:color w:val="auto"/>
              </w:rPr>
            </w:pPr>
          </w:p>
        </w:tc>
        <w:tc>
          <w:tcPr>
            <w:tcW w:w="568" w:type="dxa"/>
            <w:vMerge w:val="continue"/>
            <w:vAlign w:val="center"/>
          </w:tcPr>
          <w:p>
            <w:pPr>
              <w:shd w:val="clear"/>
              <w:jc w:val="center"/>
              <w:rPr>
                <w:rFonts w:hint="default" w:ascii="Times New Roman" w:hAnsi="Times New Roman" w:eastAsia="宋体" w:cs="Times New Roman"/>
                <w:color w:val="auto"/>
              </w:rPr>
            </w:pPr>
          </w:p>
        </w:tc>
        <w:tc>
          <w:tcPr>
            <w:tcW w:w="564" w:type="dxa"/>
            <w:vMerge w:val="continue"/>
            <w:vAlign w:val="center"/>
          </w:tcPr>
          <w:p>
            <w:pPr>
              <w:shd w:val="clear"/>
              <w:jc w:val="center"/>
              <w:rPr>
                <w:rFonts w:hint="default" w:ascii="Times New Roman" w:hAnsi="Times New Roman" w:eastAsia="宋体" w:cs="Times New Roman"/>
                <w:color w:val="auto"/>
              </w:rPr>
            </w:pPr>
          </w:p>
        </w:tc>
        <w:tc>
          <w:tcPr>
            <w:tcW w:w="465" w:type="dxa"/>
            <w:vMerge w:val="continue"/>
            <w:vAlign w:val="center"/>
          </w:tcPr>
          <w:p>
            <w:pPr>
              <w:shd w:val="clear"/>
              <w:jc w:val="center"/>
              <w:rPr>
                <w:rFonts w:hint="default" w:ascii="Times New Roman" w:hAnsi="Times New Roman" w:eastAsia="宋体" w:cs="Times New Roman"/>
                <w:color w:val="auto"/>
              </w:rPr>
            </w:pPr>
          </w:p>
        </w:tc>
        <w:tc>
          <w:tcPr>
            <w:tcW w:w="1029" w:type="dxa"/>
            <w:vAlign w:val="center"/>
          </w:tcPr>
          <w:p>
            <w:pPr>
              <w:shd w:val="clear"/>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颗粒物：0.11</w:t>
            </w:r>
          </w:p>
        </w:tc>
      </w:tr>
    </w:tbl>
    <w:p>
      <w:pPr>
        <w:shd w:val="clear"/>
        <w:spacing w:line="24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表2.6-</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矩形面源参数表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19"/>
        <w:gridCol w:w="687"/>
        <w:gridCol w:w="756"/>
        <w:gridCol w:w="705"/>
        <w:gridCol w:w="603"/>
        <w:gridCol w:w="688"/>
        <w:gridCol w:w="688"/>
        <w:gridCol w:w="688"/>
        <w:gridCol w:w="688"/>
        <w:gridCol w:w="408"/>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编号</w:t>
            </w:r>
          </w:p>
        </w:tc>
        <w:tc>
          <w:tcPr>
            <w:tcW w:w="819"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1443" w:type="dxa"/>
            <w:gridSpan w:val="2"/>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面源起点坐标/经纬度坐标</w:t>
            </w:r>
          </w:p>
        </w:tc>
        <w:tc>
          <w:tcPr>
            <w:tcW w:w="705"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面源海拔高度/m</w:t>
            </w:r>
          </w:p>
        </w:tc>
        <w:tc>
          <w:tcPr>
            <w:tcW w:w="603"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面源长度</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w:t>
            </w:r>
          </w:p>
        </w:tc>
        <w:tc>
          <w:tcPr>
            <w:tcW w:w="68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面源宽度</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w:t>
            </w:r>
          </w:p>
        </w:tc>
        <w:tc>
          <w:tcPr>
            <w:tcW w:w="68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与正北向夹角/（°）</w:t>
            </w:r>
          </w:p>
        </w:tc>
        <w:tc>
          <w:tcPr>
            <w:tcW w:w="68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面源有效排放高度（m）</w:t>
            </w:r>
          </w:p>
        </w:tc>
        <w:tc>
          <w:tcPr>
            <w:tcW w:w="68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年排放小时数/h</w:t>
            </w:r>
          </w:p>
        </w:tc>
        <w:tc>
          <w:tcPr>
            <w:tcW w:w="40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排放工况</w:t>
            </w:r>
          </w:p>
        </w:tc>
        <w:tc>
          <w:tcPr>
            <w:tcW w:w="973"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819"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8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X</w:t>
            </w:r>
          </w:p>
        </w:tc>
        <w:tc>
          <w:tcPr>
            <w:tcW w:w="756"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Y</w:t>
            </w:r>
          </w:p>
        </w:tc>
        <w:tc>
          <w:tcPr>
            <w:tcW w:w="705"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03"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8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8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8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8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40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973" w:type="dxa"/>
            <w:vMerge w:val="continue"/>
            <w:vAlign w:val="center"/>
          </w:tcPr>
          <w:p>
            <w:pPr>
              <w:shd w:val="clear"/>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57"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819"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废气</w:t>
            </w:r>
          </w:p>
        </w:tc>
        <w:tc>
          <w:tcPr>
            <w:tcW w:w="687"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40.857107</w:t>
            </w:r>
          </w:p>
        </w:tc>
        <w:tc>
          <w:tcPr>
            <w:tcW w:w="756"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108.912604</w:t>
            </w:r>
          </w:p>
        </w:tc>
        <w:tc>
          <w:tcPr>
            <w:tcW w:w="705"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rPr>
              <w:t>1</w:t>
            </w:r>
            <w:r>
              <w:rPr>
                <w:rFonts w:hint="default" w:ascii="Times New Roman" w:hAnsi="Times New Roman" w:eastAsia="宋体" w:cs="Times New Roman"/>
                <w:color w:val="auto"/>
                <w:szCs w:val="21"/>
                <w:highlight w:val="none"/>
                <w:lang w:val="en-US" w:eastAsia="zh-CN"/>
              </w:rPr>
              <w:t>040</w:t>
            </w:r>
          </w:p>
        </w:tc>
        <w:tc>
          <w:tcPr>
            <w:tcW w:w="603" w:type="dxa"/>
            <w:vMerge w:val="restart"/>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lang w:val="en-US" w:eastAsia="zh-CN"/>
              </w:rPr>
              <w:t>40</w:t>
            </w:r>
          </w:p>
        </w:tc>
        <w:tc>
          <w:tcPr>
            <w:tcW w:w="688" w:type="dxa"/>
            <w:vMerge w:val="restart"/>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lang w:val="en-US" w:eastAsia="zh-CN"/>
              </w:rPr>
              <w:t>15</w:t>
            </w:r>
          </w:p>
        </w:tc>
        <w:tc>
          <w:tcPr>
            <w:tcW w:w="68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p>
        </w:tc>
        <w:tc>
          <w:tcPr>
            <w:tcW w:w="688" w:type="dxa"/>
            <w:vMerge w:val="restart"/>
            <w:vAlign w:val="center"/>
          </w:tcPr>
          <w:p>
            <w:pPr>
              <w:shd w:val="clear"/>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w:t>
            </w:r>
          </w:p>
        </w:tc>
        <w:tc>
          <w:tcPr>
            <w:tcW w:w="688" w:type="dxa"/>
            <w:vMerge w:val="restart"/>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5760</w:t>
            </w:r>
          </w:p>
        </w:tc>
        <w:tc>
          <w:tcPr>
            <w:tcW w:w="40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正常</w:t>
            </w:r>
          </w:p>
        </w:tc>
        <w:tc>
          <w:tcPr>
            <w:tcW w:w="97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非甲烷总烃：</w:t>
            </w:r>
          </w:p>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lang w:val="en-US" w:eastAsia="zh-CN"/>
              </w:rPr>
              <w:t xml:space="preserve">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57" w:type="dxa"/>
            <w:vMerge w:val="continue"/>
            <w:vAlign w:val="center"/>
          </w:tcPr>
          <w:p>
            <w:pPr>
              <w:shd w:val="clear"/>
              <w:jc w:val="center"/>
              <w:rPr>
                <w:rFonts w:hint="default" w:ascii="Times New Roman" w:hAnsi="Times New Roman" w:eastAsia="宋体" w:cs="Times New Roman"/>
                <w:color w:val="auto"/>
              </w:rPr>
            </w:pPr>
          </w:p>
        </w:tc>
        <w:tc>
          <w:tcPr>
            <w:tcW w:w="819" w:type="dxa"/>
            <w:vMerge w:val="continue"/>
            <w:vAlign w:val="center"/>
          </w:tcPr>
          <w:p>
            <w:pPr>
              <w:shd w:val="clear"/>
              <w:jc w:val="center"/>
              <w:rPr>
                <w:rFonts w:hint="default" w:ascii="Times New Roman" w:hAnsi="Times New Roman" w:eastAsia="宋体" w:cs="Times New Roman"/>
                <w:color w:val="auto"/>
              </w:rPr>
            </w:pPr>
          </w:p>
        </w:tc>
        <w:tc>
          <w:tcPr>
            <w:tcW w:w="687" w:type="dxa"/>
            <w:vMerge w:val="continue"/>
            <w:vAlign w:val="center"/>
          </w:tcPr>
          <w:p>
            <w:pPr>
              <w:shd w:val="clear"/>
              <w:jc w:val="center"/>
              <w:rPr>
                <w:rFonts w:hint="default" w:ascii="Times New Roman" w:hAnsi="Times New Roman" w:eastAsia="宋体" w:cs="Times New Roman"/>
                <w:color w:val="auto"/>
              </w:rPr>
            </w:pPr>
          </w:p>
        </w:tc>
        <w:tc>
          <w:tcPr>
            <w:tcW w:w="756" w:type="dxa"/>
            <w:vMerge w:val="continue"/>
            <w:vAlign w:val="center"/>
          </w:tcPr>
          <w:p>
            <w:pPr>
              <w:shd w:val="clear"/>
              <w:jc w:val="center"/>
              <w:rPr>
                <w:rFonts w:hint="default" w:ascii="Times New Roman" w:hAnsi="Times New Roman" w:eastAsia="宋体" w:cs="Times New Roman"/>
                <w:color w:val="auto"/>
              </w:rPr>
            </w:pPr>
          </w:p>
        </w:tc>
        <w:tc>
          <w:tcPr>
            <w:tcW w:w="705" w:type="dxa"/>
            <w:vMerge w:val="continue"/>
            <w:vAlign w:val="center"/>
          </w:tcPr>
          <w:p>
            <w:pPr>
              <w:shd w:val="clear"/>
              <w:jc w:val="center"/>
              <w:rPr>
                <w:rFonts w:hint="default" w:ascii="Times New Roman" w:hAnsi="Times New Roman" w:eastAsia="宋体" w:cs="Times New Roman"/>
                <w:color w:val="auto"/>
              </w:rPr>
            </w:pPr>
          </w:p>
        </w:tc>
        <w:tc>
          <w:tcPr>
            <w:tcW w:w="603" w:type="dxa"/>
            <w:vMerge w:val="continue"/>
            <w:vAlign w:val="center"/>
          </w:tcPr>
          <w:p>
            <w:pPr>
              <w:shd w:val="clear"/>
              <w:jc w:val="center"/>
              <w:rPr>
                <w:rFonts w:hint="default" w:ascii="Times New Roman" w:hAnsi="Times New Roman" w:eastAsia="宋体" w:cs="Times New Roman"/>
                <w:color w:val="auto"/>
              </w:rPr>
            </w:pPr>
          </w:p>
        </w:tc>
        <w:tc>
          <w:tcPr>
            <w:tcW w:w="688" w:type="dxa"/>
            <w:vMerge w:val="continue"/>
            <w:vAlign w:val="center"/>
          </w:tcPr>
          <w:p>
            <w:pPr>
              <w:shd w:val="clear"/>
              <w:jc w:val="center"/>
              <w:rPr>
                <w:rFonts w:hint="default" w:ascii="Times New Roman" w:hAnsi="Times New Roman" w:eastAsia="宋体" w:cs="Times New Roman"/>
                <w:color w:val="auto"/>
              </w:rPr>
            </w:pPr>
          </w:p>
        </w:tc>
        <w:tc>
          <w:tcPr>
            <w:tcW w:w="688" w:type="dxa"/>
            <w:vMerge w:val="continue"/>
            <w:vAlign w:val="center"/>
          </w:tcPr>
          <w:p>
            <w:pPr>
              <w:shd w:val="clear"/>
              <w:jc w:val="center"/>
              <w:rPr>
                <w:rFonts w:hint="default" w:ascii="Times New Roman" w:hAnsi="Times New Roman" w:eastAsia="宋体" w:cs="Times New Roman"/>
                <w:color w:val="auto"/>
              </w:rPr>
            </w:pPr>
          </w:p>
        </w:tc>
        <w:tc>
          <w:tcPr>
            <w:tcW w:w="688" w:type="dxa"/>
            <w:vMerge w:val="continue"/>
            <w:vAlign w:val="center"/>
          </w:tcPr>
          <w:p>
            <w:pPr>
              <w:shd w:val="clear"/>
              <w:jc w:val="center"/>
              <w:rPr>
                <w:rFonts w:hint="default" w:ascii="Times New Roman" w:hAnsi="Times New Roman" w:eastAsia="宋体" w:cs="Times New Roman"/>
                <w:color w:val="auto"/>
              </w:rPr>
            </w:pPr>
          </w:p>
        </w:tc>
        <w:tc>
          <w:tcPr>
            <w:tcW w:w="688" w:type="dxa"/>
            <w:vMerge w:val="continue"/>
            <w:vAlign w:val="center"/>
          </w:tcPr>
          <w:p>
            <w:pPr>
              <w:shd w:val="clear"/>
              <w:jc w:val="center"/>
              <w:rPr>
                <w:rFonts w:hint="default" w:ascii="Times New Roman" w:hAnsi="Times New Roman" w:eastAsia="宋体" w:cs="Times New Roman"/>
                <w:color w:val="auto"/>
              </w:rPr>
            </w:pPr>
          </w:p>
        </w:tc>
        <w:tc>
          <w:tcPr>
            <w:tcW w:w="408" w:type="dxa"/>
            <w:vMerge w:val="continue"/>
            <w:vAlign w:val="center"/>
          </w:tcPr>
          <w:p>
            <w:pPr>
              <w:shd w:val="clear"/>
              <w:jc w:val="center"/>
              <w:rPr>
                <w:rFonts w:hint="default" w:ascii="Times New Roman" w:hAnsi="Times New Roman" w:eastAsia="宋体" w:cs="Times New Roman"/>
                <w:color w:val="auto"/>
              </w:rPr>
            </w:pPr>
          </w:p>
        </w:tc>
        <w:tc>
          <w:tcPr>
            <w:tcW w:w="97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颗粒物：</w:t>
            </w:r>
            <w:r>
              <w:rPr>
                <w:rFonts w:hint="default" w:ascii="Times New Roman" w:hAnsi="Times New Roman" w:eastAsia="宋体" w:cs="Times New Roman"/>
                <w:color w:val="auto"/>
                <w:kern w:val="0"/>
                <w:sz w:val="21"/>
                <w:szCs w:val="21"/>
                <w:highlight w:val="none"/>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57" w:type="dxa"/>
            <w:vMerge w:val="restart"/>
            <w:vAlign w:val="center"/>
          </w:tcPr>
          <w:p>
            <w:pPr>
              <w:shd w:val="clea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819" w:type="dxa"/>
            <w:vMerge w:val="restart"/>
            <w:vAlign w:val="center"/>
          </w:tcPr>
          <w:p>
            <w:pPr>
              <w:shd w:val="clea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sz w:val="21"/>
                <w:szCs w:val="21"/>
                <w:highlight w:val="none"/>
                <w:lang w:eastAsia="zh-CN"/>
              </w:rPr>
              <w:t>塑料制品生产车间废气</w:t>
            </w:r>
          </w:p>
        </w:tc>
        <w:tc>
          <w:tcPr>
            <w:tcW w:w="687" w:type="dxa"/>
            <w:vMerge w:val="restart"/>
            <w:vAlign w:val="center"/>
          </w:tcPr>
          <w:p>
            <w:pPr>
              <w:shd w:val="clea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40.857183</w:t>
            </w:r>
          </w:p>
        </w:tc>
        <w:tc>
          <w:tcPr>
            <w:tcW w:w="756" w:type="dxa"/>
            <w:vMerge w:val="restart"/>
            <w:vAlign w:val="center"/>
          </w:tcPr>
          <w:p>
            <w:pPr>
              <w:shd w:val="clea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108.913288</w:t>
            </w:r>
          </w:p>
        </w:tc>
        <w:tc>
          <w:tcPr>
            <w:tcW w:w="705" w:type="dxa"/>
            <w:vMerge w:val="restart"/>
            <w:vAlign w:val="center"/>
          </w:tcPr>
          <w:p>
            <w:pPr>
              <w:shd w:val="clear"/>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highlight w:val="none"/>
                <w:lang w:val="en-US"/>
              </w:rPr>
              <w:t>1</w:t>
            </w:r>
            <w:r>
              <w:rPr>
                <w:rFonts w:hint="default" w:ascii="Times New Roman" w:hAnsi="Times New Roman" w:eastAsia="宋体" w:cs="Times New Roman"/>
                <w:color w:val="auto"/>
                <w:szCs w:val="21"/>
                <w:highlight w:val="none"/>
                <w:lang w:val="en-US" w:eastAsia="zh-CN"/>
              </w:rPr>
              <w:t>040</w:t>
            </w:r>
          </w:p>
        </w:tc>
        <w:tc>
          <w:tcPr>
            <w:tcW w:w="603" w:type="dxa"/>
            <w:vMerge w:val="restart"/>
            <w:vAlign w:val="center"/>
          </w:tcPr>
          <w:p>
            <w:pPr>
              <w:shd w:val="clea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w:t>
            </w:r>
          </w:p>
        </w:tc>
        <w:tc>
          <w:tcPr>
            <w:tcW w:w="688" w:type="dxa"/>
            <w:vMerge w:val="restart"/>
            <w:vAlign w:val="center"/>
          </w:tcPr>
          <w:p>
            <w:pPr>
              <w:shd w:val="clea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688" w:type="dxa"/>
            <w:vMerge w:val="restart"/>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0</w:t>
            </w:r>
          </w:p>
        </w:tc>
        <w:tc>
          <w:tcPr>
            <w:tcW w:w="688" w:type="dxa"/>
            <w:vMerge w:val="restart"/>
            <w:vAlign w:val="center"/>
          </w:tcPr>
          <w:p>
            <w:pPr>
              <w:shd w:val="clear"/>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7</w:t>
            </w:r>
          </w:p>
        </w:tc>
        <w:tc>
          <w:tcPr>
            <w:tcW w:w="688" w:type="dxa"/>
            <w:vMerge w:val="restart"/>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5760</w:t>
            </w:r>
          </w:p>
        </w:tc>
        <w:tc>
          <w:tcPr>
            <w:tcW w:w="408" w:type="dxa"/>
            <w:vMerge w:val="restart"/>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正常</w:t>
            </w:r>
          </w:p>
        </w:tc>
        <w:tc>
          <w:tcPr>
            <w:tcW w:w="97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非甲烷总烃：</w:t>
            </w:r>
          </w:p>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57" w:type="dxa"/>
            <w:vMerge w:val="continue"/>
            <w:vAlign w:val="center"/>
          </w:tcPr>
          <w:p>
            <w:pPr>
              <w:shd w:val="clear"/>
              <w:jc w:val="center"/>
              <w:rPr>
                <w:rFonts w:hint="default" w:ascii="Times New Roman" w:hAnsi="Times New Roman" w:eastAsia="宋体" w:cs="Times New Roman"/>
                <w:color w:val="auto"/>
              </w:rPr>
            </w:pPr>
          </w:p>
        </w:tc>
        <w:tc>
          <w:tcPr>
            <w:tcW w:w="819" w:type="dxa"/>
            <w:vMerge w:val="continue"/>
            <w:vAlign w:val="center"/>
          </w:tcPr>
          <w:p>
            <w:pPr>
              <w:shd w:val="clear"/>
              <w:jc w:val="center"/>
              <w:rPr>
                <w:rFonts w:hint="default" w:ascii="Times New Roman" w:hAnsi="Times New Roman" w:eastAsia="宋体" w:cs="Times New Roman"/>
                <w:color w:val="auto"/>
              </w:rPr>
            </w:pPr>
          </w:p>
        </w:tc>
        <w:tc>
          <w:tcPr>
            <w:tcW w:w="687" w:type="dxa"/>
            <w:vMerge w:val="continue"/>
            <w:vAlign w:val="center"/>
          </w:tcPr>
          <w:p>
            <w:pPr>
              <w:shd w:val="clear"/>
              <w:jc w:val="center"/>
              <w:rPr>
                <w:rFonts w:hint="default" w:ascii="Times New Roman" w:hAnsi="Times New Roman" w:eastAsia="宋体" w:cs="Times New Roman"/>
                <w:color w:val="auto"/>
              </w:rPr>
            </w:pPr>
          </w:p>
        </w:tc>
        <w:tc>
          <w:tcPr>
            <w:tcW w:w="756" w:type="dxa"/>
            <w:vMerge w:val="continue"/>
            <w:vAlign w:val="center"/>
          </w:tcPr>
          <w:p>
            <w:pPr>
              <w:shd w:val="clear"/>
              <w:jc w:val="center"/>
              <w:rPr>
                <w:rFonts w:hint="default" w:ascii="Times New Roman" w:hAnsi="Times New Roman" w:eastAsia="宋体" w:cs="Times New Roman"/>
                <w:color w:val="auto"/>
              </w:rPr>
            </w:pPr>
          </w:p>
        </w:tc>
        <w:tc>
          <w:tcPr>
            <w:tcW w:w="705" w:type="dxa"/>
            <w:vMerge w:val="continue"/>
            <w:vAlign w:val="center"/>
          </w:tcPr>
          <w:p>
            <w:pPr>
              <w:shd w:val="clear"/>
              <w:jc w:val="center"/>
              <w:rPr>
                <w:rFonts w:hint="default" w:ascii="Times New Roman" w:hAnsi="Times New Roman" w:eastAsia="宋体" w:cs="Times New Roman"/>
                <w:color w:val="auto"/>
              </w:rPr>
            </w:pPr>
          </w:p>
        </w:tc>
        <w:tc>
          <w:tcPr>
            <w:tcW w:w="603" w:type="dxa"/>
            <w:vMerge w:val="continue"/>
            <w:vAlign w:val="center"/>
          </w:tcPr>
          <w:p>
            <w:pPr>
              <w:shd w:val="clear"/>
              <w:jc w:val="center"/>
              <w:rPr>
                <w:rFonts w:hint="default" w:ascii="Times New Roman" w:hAnsi="Times New Roman" w:eastAsia="宋体" w:cs="Times New Roman"/>
                <w:color w:val="auto"/>
              </w:rPr>
            </w:pPr>
          </w:p>
        </w:tc>
        <w:tc>
          <w:tcPr>
            <w:tcW w:w="688" w:type="dxa"/>
            <w:vMerge w:val="continue"/>
            <w:vAlign w:val="center"/>
          </w:tcPr>
          <w:p>
            <w:pPr>
              <w:shd w:val="clear"/>
              <w:jc w:val="center"/>
              <w:rPr>
                <w:rFonts w:hint="default" w:ascii="Times New Roman" w:hAnsi="Times New Roman" w:eastAsia="宋体" w:cs="Times New Roman"/>
                <w:color w:val="auto"/>
              </w:rPr>
            </w:pPr>
          </w:p>
        </w:tc>
        <w:tc>
          <w:tcPr>
            <w:tcW w:w="688" w:type="dxa"/>
            <w:vMerge w:val="continue"/>
            <w:vAlign w:val="center"/>
          </w:tcPr>
          <w:p>
            <w:pPr>
              <w:shd w:val="clear"/>
              <w:jc w:val="center"/>
              <w:rPr>
                <w:rFonts w:hint="default" w:ascii="Times New Roman" w:hAnsi="Times New Roman" w:eastAsia="宋体" w:cs="Times New Roman"/>
                <w:color w:val="auto"/>
              </w:rPr>
            </w:pPr>
          </w:p>
        </w:tc>
        <w:tc>
          <w:tcPr>
            <w:tcW w:w="688" w:type="dxa"/>
            <w:vMerge w:val="continue"/>
            <w:vAlign w:val="center"/>
          </w:tcPr>
          <w:p>
            <w:pPr>
              <w:shd w:val="clear"/>
              <w:jc w:val="center"/>
              <w:rPr>
                <w:rFonts w:hint="default" w:ascii="Times New Roman" w:hAnsi="Times New Roman" w:eastAsia="宋体" w:cs="Times New Roman"/>
                <w:color w:val="auto"/>
              </w:rPr>
            </w:pPr>
          </w:p>
        </w:tc>
        <w:tc>
          <w:tcPr>
            <w:tcW w:w="688" w:type="dxa"/>
            <w:vMerge w:val="continue"/>
            <w:vAlign w:val="center"/>
          </w:tcPr>
          <w:p>
            <w:pPr>
              <w:shd w:val="clear"/>
              <w:jc w:val="center"/>
              <w:rPr>
                <w:rFonts w:hint="default" w:ascii="Times New Roman" w:hAnsi="Times New Roman" w:eastAsia="宋体" w:cs="Times New Roman"/>
                <w:color w:val="auto"/>
              </w:rPr>
            </w:pPr>
          </w:p>
        </w:tc>
        <w:tc>
          <w:tcPr>
            <w:tcW w:w="408" w:type="dxa"/>
            <w:vMerge w:val="continue"/>
            <w:vAlign w:val="center"/>
          </w:tcPr>
          <w:p>
            <w:pPr>
              <w:shd w:val="clear"/>
              <w:jc w:val="center"/>
              <w:rPr>
                <w:rFonts w:hint="default" w:ascii="Times New Roman" w:hAnsi="Times New Roman" w:eastAsia="宋体" w:cs="Times New Roman"/>
                <w:color w:val="auto"/>
              </w:rPr>
            </w:pPr>
          </w:p>
        </w:tc>
        <w:tc>
          <w:tcPr>
            <w:tcW w:w="97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颗粒物：0.14</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本项目各污染物采用估算模式计算结果见表2.6-</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2.6-</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表2.6-</w:t>
      </w:r>
      <w:r>
        <w:rPr>
          <w:rFonts w:hint="default" w:ascii="Times New Roman" w:hAnsi="Times New Roman" w:eastAsia="宋体" w:cs="Times New Roman"/>
          <w:b/>
          <w:color w:val="auto"/>
          <w:sz w:val="24"/>
          <w:highlight w:val="none"/>
          <w:shd w:val="clear" w:color="auto" w:fill="auto"/>
          <w:lang w:val="en-US" w:eastAsia="zh-CN"/>
        </w:rPr>
        <w:t>4</w:t>
      </w:r>
      <w:r>
        <w:rPr>
          <w:rFonts w:hint="default" w:ascii="Times New Roman" w:hAnsi="Times New Roman" w:eastAsia="宋体" w:cs="Times New Roman"/>
          <w:b/>
          <w:color w:val="auto"/>
          <w:sz w:val="24"/>
          <w:highlight w:val="none"/>
          <w:shd w:val="clear" w:color="auto" w:fill="auto"/>
        </w:rPr>
        <w:t xml:space="preserve">  项目点源计算结果表</w:t>
      </w:r>
    </w:p>
    <w:tbl>
      <w:tblPr>
        <w:tblStyle w:val="9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919"/>
        <w:gridCol w:w="919"/>
        <w:gridCol w:w="920"/>
        <w:gridCol w:w="920"/>
        <w:gridCol w:w="920"/>
        <w:gridCol w:w="920"/>
        <w:gridCol w:w="92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restart"/>
            <w:vAlign w:val="center"/>
          </w:tcPr>
          <w:p>
            <w:pPr>
              <w:shd w:val="clear"/>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下方向距离</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m</w:t>
            </w:r>
            <w:r>
              <w:rPr>
                <w:rFonts w:hint="default" w:ascii="Times New Roman" w:hAnsi="Times New Roman" w:eastAsia="宋体" w:cs="Times New Roman"/>
                <w:color w:val="auto"/>
                <w:sz w:val="21"/>
                <w:szCs w:val="21"/>
                <w:highlight w:val="none"/>
                <w:shd w:val="clear" w:color="auto" w:fill="auto"/>
                <w:lang w:eastAsia="zh-CN"/>
              </w:rPr>
              <w:t>）</w:t>
            </w:r>
          </w:p>
        </w:tc>
        <w:tc>
          <w:tcPr>
            <w:tcW w:w="3678" w:type="dxa"/>
            <w:gridSpan w:val="4"/>
            <w:vAlign w:val="center"/>
          </w:tcPr>
          <w:p>
            <w:pPr>
              <w:shd w:val="clear"/>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eastAsia="zh-CN"/>
              </w:rPr>
              <w:t>造粒生产车间排气筒P1</w:t>
            </w:r>
          </w:p>
        </w:tc>
        <w:tc>
          <w:tcPr>
            <w:tcW w:w="3680" w:type="dxa"/>
            <w:gridSpan w:val="4"/>
            <w:vAlign w:val="center"/>
          </w:tcPr>
          <w:p>
            <w:pPr>
              <w:shd w:val="clear"/>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kern w:val="0"/>
                <w:sz w:val="21"/>
                <w:szCs w:val="21"/>
                <w:highlight w:val="none"/>
                <w:shd w:val="clear" w:color="auto" w:fill="auto"/>
                <w:lang w:eastAsia="zh-CN"/>
              </w:rPr>
              <w:t>塑料制品生产车间</w:t>
            </w:r>
            <w:r>
              <w:rPr>
                <w:rFonts w:hint="default" w:ascii="Times New Roman" w:hAnsi="Times New Roman" w:eastAsia="宋体" w:cs="Times New Roman"/>
                <w:b w:val="0"/>
                <w:bCs w:val="0"/>
                <w:color w:val="auto"/>
                <w:sz w:val="21"/>
                <w:szCs w:val="21"/>
                <w:highlight w:val="none"/>
                <w:shd w:val="clear" w:color="auto" w:fill="auto"/>
              </w:rPr>
              <w:t>排气筒</w:t>
            </w:r>
            <w:r>
              <w:rPr>
                <w:rFonts w:hint="default" w:ascii="Times New Roman" w:hAnsi="Times New Roman" w:eastAsia="宋体" w:cs="Times New Roman"/>
                <w:b w:val="0"/>
                <w:bCs w:val="0"/>
                <w:color w:val="auto"/>
                <w:sz w:val="21"/>
                <w:szCs w:val="21"/>
                <w:highlight w:val="none"/>
                <w:shd w:val="clear" w:color="auto" w:fill="auto"/>
                <w:lang w:val="en-US" w:eastAsia="zh-CN"/>
              </w:rPr>
              <w:t>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vAlign w:val="center"/>
          </w:tcPr>
          <w:p>
            <w:pPr>
              <w:shd w:val="clear"/>
              <w:jc w:val="center"/>
              <w:rPr>
                <w:rFonts w:hint="default" w:ascii="Times New Roman" w:hAnsi="Times New Roman" w:eastAsia="宋体" w:cs="Times New Roman"/>
                <w:color w:val="auto"/>
                <w:sz w:val="21"/>
                <w:szCs w:val="21"/>
                <w:highlight w:val="none"/>
                <w:shd w:val="clear" w:color="auto" w:fill="auto"/>
              </w:rPr>
            </w:pPr>
          </w:p>
        </w:tc>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NMHC浓度（</w:t>
            </w:r>
            <w:r>
              <w:rPr>
                <w:rFonts w:hint="default" w:ascii="Times New Roman" w:hAnsi="Times New Roman" w:eastAsia="宋体" w:cs="Times New Roman"/>
                <w:bCs/>
                <w:color w:val="auto"/>
                <w:sz w:val="21"/>
                <w:szCs w:val="21"/>
              </w:rPr>
              <w:t>μ</w:t>
            </w:r>
            <w:r>
              <w:rPr>
                <w:rFonts w:hint="default" w:ascii="Times New Roman" w:hAnsi="Times New Roman" w:eastAsia="宋体" w:cs="Times New Roman"/>
                <w:color w:val="auto"/>
                <w:sz w:val="21"/>
                <w:szCs w:val="21"/>
                <w:highlight w:val="none"/>
                <w:shd w:val="clear" w:color="auto" w:fill="auto"/>
              </w:rPr>
              <w:t>g/m</w:t>
            </w:r>
            <w:r>
              <w:rPr>
                <w:rFonts w:hint="default" w:ascii="Times New Roman" w:hAnsi="Times New Roman" w:eastAsia="宋体" w:cs="Times New Roman"/>
                <w:color w:val="auto"/>
                <w:sz w:val="21"/>
                <w:szCs w:val="21"/>
                <w:highlight w:val="none"/>
                <w:shd w:val="clear" w:color="auto" w:fill="auto"/>
                <w:vertAlign w:val="superscript"/>
              </w:rPr>
              <w:t>3</w:t>
            </w:r>
            <w:r>
              <w:rPr>
                <w:rFonts w:hint="default" w:ascii="Times New Roman" w:hAnsi="Times New Roman" w:eastAsia="宋体" w:cs="Times New Roman"/>
                <w:color w:val="auto"/>
                <w:sz w:val="21"/>
                <w:szCs w:val="21"/>
                <w:highlight w:val="none"/>
                <w:shd w:val="clear" w:color="auto" w:fill="auto"/>
              </w:rPr>
              <w:t>）</w:t>
            </w:r>
          </w:p>
        </w:tc>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NMHC占标率（%）</w:t>
            </w:r>
          </w:p>
        </w:tc>
        <w:tc>
          <w:tcPr>
            <w:tcW w:w="920"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颗粒物</w:t>
            </w:r>
            <w:r>
              <w:rPr>
                <w:rFonts w:hint="default" w:ascii="Times New Roman" w:hAnsi="Times New Roman" w:eastAsia="宋体" w:cs="Times New Roman"/>
                <w:color w:val="auto"/>
                <w:sz w:val="21"/>
                <w:szCs w:val="21"/>
                <w:highlight w:val="none"/>
                <w:shd w:val="clear" w:color="auto" w:fill="auto"/>
              </w:rPr>
              <w:t>浓度（</w:t>
            </w:r>
            <w:r>
              <w:rPr>
                <w:rFonts w:hint="default" w:ascii="Times New Roman" w:hAnsi="Times New Roman" w:eastAsia="宋体" w:cs="Times New Roman"/>
                <w:bCs/>
                <w:color w:val="auto"/>
                <w:sz w:val="21"/>
                <w:szCs w:val="21"/>
              </w:rPr>
              <w:t>μ</w:t>
            </w:r>
            <w:r>
              <w:rPr>
                <w:rFonts w:hint="default" w:ascii="Times New Roman" w:hAnsi="Times New Roman" w:eastAsia="宋体" w:cs="Times New Roman"/>
                <w:color w:val="auto"/>
                <w:sz w:val="21"/>
                <w:szCs w:val="21"/>
                <w:highlight w:val="none"/>
                <w:shd w:val="clear" w:color="auto" w:fill="auto"/>
              </w:rPr>
              <w:t>g/m</w:t>
            </w:r>
            <w:r>
              <w:rPr>
                <w:rFonts w:hint="default" w:ascii="Times New Roman" w:hAnsi="Times New Roman" w:eastAsia="宋体" w:cs="Times New Roman"/>
                <w:color w:val="auto"/>
                <w:sz w:val="21"/>
                <w:szCs w:val="21"/>
                <w:highlight w:val="none"/>
                <w:shd w:val="clear" w:color="auto" w:fill="auto"/>
                <w:vertAlign w:val="superscript"/>
              </w:rPr>
              <w:t>3</w:t>
            </w:r>
            <w:r>
              <w:rPr>
                <w:rFonts w:hint="default" w:ascii="Times New Roman" w:hAnsi="Times New Roman" w:eastAsia="宋体" w:cs="Times New Roman"/>
                <w:color w:val="auto"/>
                <w:sz w:val="21"/>
                <w:szCs w:val="21"/>
                <w:highlight w:val="none"/>
                <w:shd w:val="clear" w:color="auto" w:fill="auto"/>
              </w:rPr>
              <w:t>）</w:t>
            </w:r>
          </w:p>
        </w:tc>
        <w:tc>
          <w:tcPr>
            <w:tcW w:w="920"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颗粒物</w:t>
            </w:r>
            <w:r>
              <w:rPr>
                <w:rFonts w:hint="default" w:ascii="Times New Roman" w:hAnsi="Times New Roman" w:eastAsia="宋体" w:cs="Times New Roman"/>
                <w:color w:val="auto"/>
                <w:sz w:val="21"/>
                <w:szCs w:val="21"/>
                <w:highlight w:val="none"/>
                <w:shd w:val="clear" w:color="auto" w:fill="auto"/>
              </w:rPr>
              <w:t>占标率（%）</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NMHC浓度（</w:t>
            </w:r>
            <w:r>
              <w:rPr>
                <w:rFonts w:hint="default" w:ascii="Times New Roman" w:hAnsi="Times New Roman" w:eastAsia="宋体" w:cs="Times New Roman"/>
                <w:bCs/>
                <w:color w:val="auto"/>
                <w:sz w:val="21"/>
                <w:szCs w:val="21"/>
              </w:rPr>
              <w:t>μ</w:t>
            </w:r>
            <w:r>
              <w:rPr>
                <w:rFonts w:hint="default" w:ascii="Times New Roman" w:hAnsi="Times New Roman" w:eastAsia="宋体" w:cs="Times New Roman"/>
                <w:color w:val="auto"/>
                <w:sz w:val="21"/>
                <w:szCs w:val="21"/>
                <w:highlight w:val="none"/>
                <w:shd w:val="clear" w:color="auto" w:fill="auto"/>
              </w:rPr>
              <w:t>g/m</w:t>
            </w:r>
            <w:r>
              <w:rPr>
                <w:rFonts w:hint="default" w:ascii="Times New Roman" w:hAnsi="Times New Roman" w:eastAsia="宋体" w:cs="Times New Roman"/>
                <w:color w:val="auto"/>
                <w:sz w:val="21"/>
                <w:szCs w:val="21"/>
                <w:highlight w:val="none"/>
                <w:shd w:val="clear" w:color="auto" w:fill="auto"/>
                <w:vertAlign w:val="superscript"/>
              </w:rPr>
              <w:t>3</w:t>
            </w:r>
            <w:r>
              <w:rPr>
                <w:rFonts w:hint="default" w:ascii="Times New Roman" w:hAnsi="Times New Roman" w:eastAsia="宋体" w:cs="Times New Roman"/>
                <w:color w:val="auto"/>
                <w:sz w:val="21"/>
                <w:szCs w:val="21"/>
                <w:highlight w:val="none"/>
                <w:shd w:val="clear" w:color="auto" w:fill="auto"/>
              </w:rPr>
              <w:t>）</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NMHC占标率（%）</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颗粒物</w:t>
            </w:r>
            <w:r>
              <w:rPr>
                <w:rFonts w:hint="default" w:ascii="Times New Roman" w:hAnsi="Times New Roman" w:eastAsia="宋体" w:cs="Times New Roman"/>
                <w:color w:val="auto"/>
                <w:sz w:val="21"/>
                <w:szCs w:val="21"/>
                <w:highlight w:val="none"/>
                <w:shd w:val="clear" w:color="auto" w:fill="auto"/>
              </w:rPr>
              <w:t>浓度（</w:t>
            </w:r>
            <w:r>
              <w:rPr>
                <w:rFonts w:hint="default" w:ascii="Times New Roman" w:hAnsi="Times New Roman" w:eastAsia="宋体" w:cs="Times New Roman"/>
                <w:bCs/>
                <w:color w:val="auto"/>
                <w:sz w:val="21"/>
                <w:szCs w:val="21"/>
              </w:rPr>
              <w:t>μ</w:t>
            </w:r>
            <w:r>
              <w:rPr>
                <w:rFonts w:hint="default" w:ascii="Times New Roman" w:hAnsi="Times New Roman" w:eastAsia="宋体" w:cs="Times New Roman"/>
                <w:color w:val="auto"/>
                <w:sz w:val="21"/>
                <w:szCs w:val="21"/>
                <w:highlight w:val="none"/>
                <w:shd w:val="clear" w:color="auto" w:fill="auto"/>
              </w:rPr>
              <w:t>g/m</w:t>
            </w:r>
            <w:r>
              <w:rPr>
                <w:rFonts w:hint="default" w:ascii="Times New Roman" w:hAnsi="Times New Roman" w:eastAsia="宋体" w:cs="Times New Roman"/>
                <w:color w:val="auto"/>
                <w:sz w:val="21"/>
                <w:szCs w:val="21"/>
                <w:highlight w:val="none"/>
                <w:shd w:val="clear" w:color="auto" w:fill="auto"/>
                <w:vertAlign w:val="superscript"/>
              </w:rPr>
              <w:t>3</w:t>
            </w:r>
            <w:r>
              <w:rPr>
                <w:rFonts w:hint="default" w:ascii="Times New Roman" w:hAnsi="Times New Roman" w:eastAsia="宋体" w:cs="Times New Roman"/>
                <w:color w:val="auto"/>
                <w:sz w:val="21"/>
                <w:szCs w:val="21"/>
                <w:highlight w:val="none"/>
                <w:shd w:val="clear" w:color="auto" w:fill="auto"/>
              </w:rPr>
              <w:t>）</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颗粒物</w:t>
            </w:r>
            <w:r>
              <w:rPr>
                <w:rFonts w:hint="default" w:ascii="Times New Roman" w:hAnsi="Times New Roman" w:eastAsia="宋体" w:cs="Times New Roman"/>
                <w:color w:val="auto"/>
                <w:sz w:val="21"/>
                <w:szCs w:val="21"/>
                <w:highlight w:val="none"/>
                <w:shd w:val="clear" w:color="auto" w:fill="auto"/>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0.222126</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0.01</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0.30939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0.07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0.924183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0.05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0.12296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75</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11.4664</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0.57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15.971</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3.55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47.7079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2.39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6.3474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13.1133</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0.66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18.265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4.06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54.5626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2.73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7.2594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125</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16.5631</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0.83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23.07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5.13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68.9139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3.45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9.1688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175</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18.0614</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0.90</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25.157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5.59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75.1478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3.76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9.9982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18.4958</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0.92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25.762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5.72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76.9576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3.85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10.239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16.0189</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0.80</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22.312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4.96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66.6508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3.33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8.8677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12.8642</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0.64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17.918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3.98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53.5254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2.68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7.1214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10.5517</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0.53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14.697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3.27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43.9017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2.20</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5.841</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600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9.74113</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0.49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13.568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3.02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40.5315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2.03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5.3926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700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9.33262</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0.47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12.999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2.89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38.8306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1.94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5.1663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800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8.78338</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0.44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12.234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2.72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36.5449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1.83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4.8622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900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8.19897</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0.41</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11.42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2.54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34.115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1.71</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4.5389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1000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9.81651</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0.49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13.673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3.04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40.8434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2.04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5.4341</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1500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17.0764</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0.85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23.785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5.29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71.0507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3.55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9.4531</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1810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23.7627</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1.19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33.098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7.36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98.8672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4.94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13.154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2000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19.0048</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0.95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26.471</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5.88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79.0697</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3.95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10.52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r>
              <w:rPr>
                <w:rFonts w:hint="default" w:ascii="Times New Roman" w:hAnsi="Times New Roman" w:eastAsia="宋体" w:cs="Times New Roman"/>
                <w:color w:val="auto"/>
                <w:sz w:val="21"/>
                <w:szCs w:val="21"/>
                <w:highlight w:val="none"/>
                <w:shd w:val="clear" w:color="auto" w:fill="auto"/>
                <w:lang w:val="en-US" w:eastAsia="zh-CN"/>
              </w:rPr>
              <w:t>5</w:t>
            </w:r>
            <w:r>
              <w:rPr>
                <w:rFonts w:hint="default" w:ascii="Times New Roman" w:hAnsi="Times New Roman" w:eastAsia="宋体" w:cs="Times New Roman"/>
                <w:color w:val="auto"/>
                <w:sz w:val="21"/>
                <w:szCs w:val="21"/>
                <w:highlight w:val="none"/>
                <w:shd w:val="clear" w:color="auto" w:fill="auto"/>
              </w:rPr>
              <w:t>00</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11.7334</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0.59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16.343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3.63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48.8195</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2.44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6.4953</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下风向最大浓度</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23.7627</w:t>
            </w:r>
          </w:p>
        </w:tc>
        <w:tc>
          <w:tcPr>
            <w:tcW w:w="919"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1.19</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33.098</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7.36</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98.8672</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4.94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13.154</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下风向最大浓度出现距离</w:t>
            </w:r>
          </w:p>
        </w:tc>
        <w:tc>
          <w:tcPr>
            <w:tcW w:w="1838" w:type="dxa"/>
            <w:gridSpan w:val="2"/>
            <w:vAlign w:val="center"/>
          </w:tcPr>
          <w:p>
            <w:pPr>
              <w:shd w:val="clea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1810</w:t>
            </w:r>
          </w:p>
        </w:tc>
        <w:tc>
          <w:tcPr>
            <w:tcW w:w="1840" w:type="dxa"/>
            <w:gridSpan w:val="2"/>
            <w:vAlign w:val="center"/>
          </w:tcPr>
          <w:p>
            <w:pPr>
              <w:shd w:val="clea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1810</w:t>
            </w:r>
          </w:p>
        </w:tc>
        <w:tc>
          <w:tcPr>
            <w:tcW w:w="1840" w:type="dxa"/>
            <w:gridSpan w:val="2"/>
            <w:vAlign w:val="center"/>
          </w:tcPr>
          <w:p>
            <w:pPr>
              <w:shd w:val="clea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1810</w:t>
            </w:r>
          </w:p>
        </w:tc>
        <w:tc>
          <w:tcPr>
            <w:tcW w:w="1840" w:type="dxa"/>
            <w:gridSpan w:val="2"/>
            <w:vAlign w:val="center"/>
          </w:tcPr>
          <w:p>
            <w:pPr>
              <w:shd w:val="clea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D10%最远距离</w:t>
            </w:r>
          </w:p>
        </w:tc>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19"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920"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920"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dxa"/>
            <w:vAlign w:val="center"/>
          </w:tcPr>
          <w:p>
            <w:pPr>
              <w:shd w:val="clea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bl>
    <w:p>
      <w:pPr>
        <w:shd w:val="clea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表2.6-</w:t>
      </w:r>
      <w:r>
        <w:rPr>
          <w:rFonts w:hint="default" w:ascii="Times New Roman" w:hAnsi="Times New Roman" w:eastAsia="宋体" w:cs="Times New Roman"/>
          <w:b/>
          <w:color w:val="auto"/>
          <w:sz w:val="24"/>
          <w:highlight w:val="none"/>
          <w:shd w:val="clear" w:color="auto" w:fill="auto"/>
          <w:lang w:val="en-US" w:eastAsia="zh-CN"/>
        </w:rPr>
        <w:t>5</w:t>
      </w:r>
      <w:r>
        <w:rPr>
          <w:rFonts w:hint="default" w:ascii="Times New Roman" w:hAnsi="Times New Roman" w:eastAsia="宋体" w:cs="Times New Roman"/>
          <w:b/>
          <w:color w:val="auto"/>
          <w:sz w:val="24"/>
          <w:highlight w:val="none"/>
          <w:shd w:val="clear" w:color="auto" w:fill="auto"/>
        </w:rPr>
        <w:t xml:space="preserve">  项目面源计算结果表</w:t>
      </w:r>
    </w:p>
    <w:tbl>
      <w:tblPr>
        <w:tblStyle w:val="9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655"/>
        <w:gridCol w:w="1655"/>
        <w:gridCol w:w="1655"/>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Merge w:val="restart"/>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下方向距离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eastAsia="zh-CN"/>
              </w:rPr>
              <w:t>）</w:t>
            </w:r>
          </w:p>
        </w:tc>
        <w:tc>
          <w:tcPr>
            <w:tcW w:w="6622" w:type="dxa"/>
            <w:gridSpan w:val="4"/>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655"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NMHC浓度（</w:t>
            </w:r>
            <w:r>
              <w:rPr>
                <w:rFonts w:hint="default" w:ascii="Times New Roman" w:hAnsi="Times New Roman" w:eastAsia="宋体" w:cs="Times New Roman"/>
                <w:bCs/>
                <w:color w:val="auto"/>
                <w:sz w:val="21"/>
                <w:szCs w:val="21"/>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655"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NMHC占标率（%）</w:t>
            </w:r>
          </w:p>
        </w:tc>
        <w:tc>
          <w:tcPr>
            <w:tcW w:w="1655"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浓度（</w:t>
            </w:r>
            <w:r>
              <w:rPr>
                <w:rFonts w:hint="default" w:ascii="Times New Roman" w:hAnsi="Times New Roman" w:eastAsia="宋体" w:cs="Times New Roman"/>
                <w:bCs/>
                <w:color w:val="auto"/>
                <w:sz w:val="21"/>
                <w:szCs w:val="21"/>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657"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27.8221</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1.39</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35.002</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3.8</w:t>
            </w:r>
            <w:r>
              <w:rPr>
                <w:rFonts w:hint="default" w:ascii="Times New Roman" w:hAnsi="Times New Roman" w:eastAsia="宋体" w:cs="Times New Roman"/>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56.6012</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71.208</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75</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56.5996</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2.8</w:t>
            </w:r>
            <w:r>
              <w:rPr>
                <w:rFonts w:hint="default" w:ascii="Times New Roman" w:hAnsi="Times New Roman" w:eastAsia="宋体" w:cs="Times New Roman"/>
                <w:color w:val="auto"/>
                <w:sz w:val="21"/>
                <w:szCs w:val="21"/>
                <w:highlight w:val="none"/>
                <w:lang w:val="en-US" w:eastAsia="zh-CN"/>
              </w:rPr>
              <w:t>3</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71.206</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50.6262</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2.531</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63.691</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7.0</w:t>
            </w: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125</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44.2942</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2.21</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55.725</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175</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36.7628</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1.8</w:t>
            </w:r>
            <w:r>
              <w:rPr>
                <w:rFonts w:hint="default" w:ascii="Times New Roman" w:hAnsi="Times New Roman" w:eastAsia="宋体" w:cs="Times New Roman"/>
                <w:color w:val="auto"/>
                <w:sz w:val="21"/>
                <w:szCs w:val="21"/>
                <w:highlight w:val="none"/>
                <w:lang w:val="en-US" w:eastAsia="zh-CN"/>
              </w:rPr>
              <w:t>4</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46.25</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5.1</w:t>
            </w: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34.3838</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1.7</w:t>
            </w:r>
            <w:r>
              <w:rPr>
                <w:rFonts w:hint="default" w:ascii="Times New Roman" w:hAnsi="Times New Roman" w:eastAsia="宋体" w:cs="Times New Roman"/>
                <w:color w:val="auto"/>
                <w:sz w:val="21"/>
                <w:szCs w:val="21"/>
                <w:highlight w:val="none"/>
                <w:lang w:val="en-US" w:eastAsia="zh-CN"/>
              </w:rPr>
              <w:t>2</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43.257</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4.8</w:t>
            </w: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29.8355</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1.49</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37.535</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29.508</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1.4</w:t>
            </w:r>
            <w:r>
              <w:rPr>
                <w:rFonts w:hint="default" w:ascii="Times New Roman" w:hAnsi="Times New Roman" w:eastAsia="宋体" w:cs="Times New Roman"/>
                <w:color w:val="auto"/>
                <w:sz w:val="21"/>
                <w:szCs w:val="21"/>
                <w:highlight w:val="none"/>
                <w:lang w:val="en-US" w:eastAsia="zh-CN"/>
              </w:rPr>
              <w:t>8</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37.123</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29.3657</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1.4</w:t>
            </w:r>
            <w:r>
              <w:rPr>
                <w:rFonts w:hint="default" w:ascii="Times New Roman" w:hAnsi="Times New Roman" w:eastAsia="宋体" w:cs="Times New Roman"/>
                <w:color w:val="auto"/>
                <w:sz w:val="21"/>
                <w:szCs w:val="21"/>
                <w:highlight w:val="none"/>
                <w:lang w:val="en-US" w:eastAsia="zh-CN"/>
              </w:rPr>
              <w:t>7</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36.944</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27.9827</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40</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35.204</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26.1799</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1.3</w:t>
            </w:r>
            <w:r>
              <w:rPr>
                <w:rFonts w:hint="default" w:ascii="Times New Roman" w:hAnsi="Times New Roman" w:eastAsia="宋体" w:cs="Times New Roman"/>
                <w:color w:val="auto"/>
                <w:sz w:val="21"/>
                <w:szCs w:val="21"/>
                <w:highlight w:val="none"/>
                <w:lang w:val="en-US" w:eastAsia="zh-CN"/>
              </w:rPr>
              <w:t>1</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32.936</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3.6</w:t>
            </w:r>
            <w:r>
              <w:rPr>
                <w:rFonts w:hint="default" w:ascii="Times New Roman" w:hAnsi="Times New Roman" w:eastAsia="宋体"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40.3374</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50.747</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5.6</w:t>
            </w: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35.4505</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1.77</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44.599</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4.95</w:t>
            </w:r>
            <w:r>
              <w:rPr>
                <w:rFonts w:hint="default" w:ascii="Times New Roman" w:hAnsi="Times New Roman" w:eastAsia="宋体"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51.8264</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2.59</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65.201</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31.9562</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60</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40.203</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4.4</w:t>
            </w:r>
            <w:r>
              <w:rPr>
                <w:rFonts w:hint="default" w:ascii="Times New Roman" w:hAnsi="Times New Roman" w:eastAsia="宋体" w:cs="Times New Roman"/>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15.8585</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0.79</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19.951</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2.2</w:t>
            </w: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15.9173</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0.80</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20.025</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2.2</w:t>
            </w: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56.6012</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71.208</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7.9</w:t>
            </w: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下风向最大浓度出现距离</w:t>
            </w:r>
          </w:p>
        </w:tc>
        <w:tc>
          <w:tcPr>
            <w:tcW w:w="3310" w:type="dxa"/>
            <w:gridSpan w:val="2"/>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3312" w:type="dxa"/>
            <w:gridSpan w:val="2"/>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D10%最远距离</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表2.6-</w:t>
      </w:r>
      <w:r>
        <w:rPr>
          <w:rFonts w:hint="default" w:ascii="Times New Roman" w:hAnsi="Times New Roman" w:eastAsia="宋体" w:cs="Times New Roman"/>
          <w:b/>
          <w:color w:val="auto"/>
          <w:sz w:val="24"/>
          <w:highlight w:val="none"/>
          <w:lang w:val="en-US" w:eastAsia="zh-CN"/>
        </w:rPr>
        <w:t>6</w:t>
      </w:r>
      <w:r>
        <w:rPr>
          <w:rFonts w:hint="default" w:ascii="Times New Roman" w:hAnsi="Times New Roman" w:eastAsia="宋体" w:cs="Times New Roman"/>
          <w:b/>
          <w:color w:val="auto"/>
          <w:sz w:val="24"/>
          <w:highlight w:val="none"/>
        </w:rPr>
        <w:t xml:space="preserve">  项目面源计算结果表</w:t>
      </w:r>
    </w:p>
    <w:tbl>
      <w:tblPr>
        <w:tblStyle w:val="9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644"/>
        <w:gridCol w:w="1644"/>
        <w:gridCol w:w="1644"/>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Merge w:val="restart"/>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下方向距离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eastAsia="zh-CN"/>
              </w:rPr>
              <w:t>）</w:t>
            </w:r>
          </w:p>
        </w:tc>
        <w:tc>
          <w:tcPr>
            <w:tcW w:w="6622" w:type="dxa"/>
            <w:gridSpan w:val="4"/>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塑料制品生产车间废气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655"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NMHC浓度（</w:t>
            </w:r>
            <w:r>
              <w:rPr>
                <w:rFonts w:hint="default" w:ascii="Times New Roman" w:hAnsi="Times New Roman" w:eastAsia="宋体" w:cs="Times New Roman"/>
                <w:bCs/>
                <w:color w:val="auto"/>
                <w:sz w:val="21"/>
                <w:szCs w:val="21"/>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655"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NMHC占标率（%）</w:t>
            </w:r>
          </w:p>
        </w:tc>
        <w:tc>
          <w:tcPr>
            <w:tcW w:w="1655"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浓度（</w:t>
            </w:r>
            <w:r>
              <w:rPr>
                <w:rFonts w:hint="default" w:ascii="Times New Roman" w:hAnsi="Times New Roman" w:eastAsia="宋体" w:cs="Times New Roman"/>
                <w:bCs/>
                <w:color w:val="auto"/>
                <w:sz w:val="21"/>
                <w:szCs w:val="21"/>
              </w:rPr>
              <w:t>μ</w:t>
            </w:r>
            <w:r>
              <w:rPr>
                <w:rFonts w:hint="default" w:ascii="Times New Roman" w:hAnsi="Times New Roman" w:eastAsia="宋体" w:cs="Times New Roman"/>
                <w:color w:val="auto"/>
                <w:sz w:val="21"/>
                <w:szCs w:val="21"/>
                <w:highlight w:val="none"/>
              </w:rPr>
              <w:t>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657"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58.3588</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2.9</w:t>
            </w:r>
            <w:r>
              <w:rPr>
                <w:rFonts w:hint="default" w:ascii="Times New Roman" w:hAnsi="Times New Roman" w:eastAsia="宋体" w:cs="Times New Roman"/>
                <w:color w:val="auto"/>
                <w:sz w:val="21"/>
                <w:szCs w:val="21"/>
                <w:highlight w:val="none"/>
                <w:lang w:val="en-US" w:eastAsia="zh-CN"/>
              </w:rPr>
              <w:t>2</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17.374</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75</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115.451</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5.77</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34.371</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3.8</w:t>
            </w: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100</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136.015</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6.80</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40.493</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125</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134.201</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6.71</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39.953</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4.4</w:t>
            </w: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175</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119.788</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5.98</w:t>
            </w:r>
            <w:r>
              <w:rPr>
                <w:rFonts w:hint="default" w:ascii="Times New Roman" w:hAnsi="Times New Roman" w:eastAsia="宋体" w:cs="Times New Roman"/>
                <w:color w:val="auto"/>
                <w:sz w:val="21"/>
                <w:szCs w:val="21"/>
                <w:highlight w:val="none"/>
                <w:lang w:val="en-US" w:eastAsia="zh-CN"/>
              </w:rPr>
              <w:t>9</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35.662</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114.682</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34.142</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99.0226</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4.95</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29.48</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86.6985</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4.33</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25.811</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2.8</w:t>
            </w:r>
            <w:r>
              <w:rPr>
                <w:rFonts w:hint="default" w:ascii="Times New Roman" w:hAnsi="Times New Roman" w:eastAsia="宋体" w:cs="Times New Roman"/>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77.112</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3.8</w:t>
            </w:r>
            <w:r>
              <w:rPr>
                <w:rFonts w:hint="default" w:ascii="Times New Roman" w:hAnsi="Times New Roman" w:eastAsia="宋体" w:cs="Times New Roman"/>
                <w:color w:val="auto"/>
                <w:sz w:val="21"/>
                <w:szCs w:val="21"/>
                <w:highlight w:val="none"/>
                <w:lang w:val="en-US" w:eastAsia="zh-CN"/>
              </w:rPr>
              <w:t>6</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22.957</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69.7827</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3.4</w:t>
            </w:r>
            <w:r>
              <w:rPr>
                <w:rFonts w:hint="default" w:ascii="Times New Roman" w:hAnsi="Times New Roman" w:eastAsia="宋体" w:cs="Times New Roman"/>
                <w:color w:val="auto"/>
                <w:sz w:val="21"/>
                <w:szCs w:val="21"/>
                <w:highlight w:val="none"/>
                <w:lang w:val="en-US" w:eastAsia="zh-CN"/>
              </w:rPr>
              <w:t>9</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20.775</w:t>
            </w:r>
          </w:p>
        </w:tc>
        <w:tc>
          <w:tcPr>
            <w:tcW w:w="1657"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2.3</w:t>
            </w: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69.7088</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3.4</w:t>
            </w:r>
            <w:r>
              <w:rPr>
                <w:rFonts w:hint="default" w:ascii="Times New Roman" w:hAnsi="Times New Roman" w:eastAsia="宋体" w:cs="Times New Roman"/>
                <w:color w:val="auto"/>
                <w:sz w:val="21"/>
                <w:szCs w:val="21"/>
                <w:highlight w:val="none"/>
                <w:lang w:val="en-US" w:eastAsia="zh-CN"/>
              </w:rPr>
              <w:t>9</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20.753</w:t>
            </w:r>
          </w:p>
        </w:tc>
        <w:tc>
          <w:tcPr>
            <w:tcW w:w="1657"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2.3</w:t>
            </w: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133.526</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6.6</w:t>
            </w:r>
            <w:r>
              <w:rPr>
                <w:rFonts w:hint="default" w:ascii="Times New Roman" w:hAnsi="Times New Roman" w:eastAsia="宋体" w:cs="Times New Roman"/>
                <w:color w:val="auto"/>
                <w:sz w:val="21"/>
                <w:szCs w:val="21"/>
                <w:highlight w:val="none"/>
                <w:lang w:val="en-US" w:eastAsia="zh-CN"/>
              </w:rPr>
              <w:t>8</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39.752</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4.4</w:t>
            </w: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122.488</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6.12</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36.466</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r>
              <w:rPr>
                <w:rFonts w:hint="default" w:ascii="Times New Roman" w:hAnsi="Times New Roman" w:eastAsia="宋体"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86.742</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9.3</w:t>
            </w:r>
            <w:r>
              <w:rPr>
                <w:rFonts w:hint="default" w:ascii="Times New Roman" w:hAnsi="Times New Roman" w:eastAsia="宋体" w:cs="Times New Roman"/>
                <w:color w:val="auto"/>
                <w:sz w:val="21"/>
                <w:szCs w:val="21"/>
                <w:highlight w:val="none"/>
                <w:lang w:val="en-US" w:eastAsia="zh-CN"/>
              </w:rPr>
              <w:t>4</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55.595</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6.1</w:t>
            </w: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1002</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186.927</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9.3</w:t>
            </w:r>
            <w:r>
              <w:rPr>
                <w:rFonts w:hint="default" w:ascii="Times New Roman" w:hAnsi="Times New Roman" w:eastAsia="宋体" w:cs="Times New Roman"/>
                <w:color w:val="auto"/>
                <w:sz w:val="21"/>
                <w:szCs w:val="21"/>
                <w:highlight w:val="none"/>
                <w:lang w:val="en-US" w:eastAsia="zh-CN"/>
              </w:rPr>
              <w:t>5</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55.65</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108.582</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5.4</w:t>
            </w:r>
            <w:r>
              <w:rPr>
                <w:rFonts w:hint="default" w:ascii="Times New Roman" w:hAnsi="Times New Roman" w:eastAsia="宋体" w:cs="Times New Roman"/>
                <w:color w:val="auto"/>
                <w:sz w:val="21"/>
                <w:szCs w:val="21"/>
                <w:highlight w:val="none"/>
                <w:lang w:val="en-US" w:eastAsia="zh-CN"/>
              </w:rPr>
              <w:t>3</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32.326</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59.3061</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2.9</w:t>
            </w:r>
            <w:r>
              <w:rPr>
                <w:rFonts w:hint="default" w:ascii="Times New Roman" w:hAnsi="Times New Roman" w:eastAsia="宋体" w:cs="Times New Roman"/>
                <w:color w:val="auto"/>
                <w:sz w:val="21"/>
                <w:szCs w:val="21"/>
                <w:highlight w:val="none"/>
                <w:lang w:val="en-US" w:eastAsia="zh-CN"/>
              </w:rPr>
              <w:t>7</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17.656</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52.0238</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2.60</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15.488</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186.927</w:t>
            </w:r>
          </w:p>
        </w:tc>
        <w:tc>
          <w:tcPr>
            <w:tcW w:w="1655"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9.3</w:t>
            </w:r>
            <w:r>
              <w:rPr>
                <w:rFonts w:hint="default" w:ascii="Times New Roman" w:hAnsi="Times New Roman" w:eastAsia="宋体" w:cs="Times New Roman"/>
                <w:color w:val="auto"/>
                <w:sz w:val="21"/>
                <w:szCs w:val="21"/>
                <w:highlight w:val="none"/>
                <w:lang w:val="en-US" w:eastAsia="zh-CN"/>
              </w:rPr>
              <w:t>5</w:t>
            </w:r>
          </w:p>
        </w:tc>
        <w:tc>
          <w:tcPr>
            <w:tcW w:w="1655"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 55.65</w:t>
            </w:r>
          </w:p>
        </w:tc>
        <w:tc>
          <w:tcPr>
            <w:tcW w:w="1657"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下风向最大浓度出现距离</w:t>
            </w:r>
          </w:p>
        </w:tc>
        <w:tc>
          <w:tcPr>
            <w:tcW w:w="3310" w:type="dxa"/>
            <w:gridSpan w:val="2"/>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1002</w:t>
            </w:r>
          </w:p>
        </w:tc>
        <w:tc>
          <w:tcPr>
            <w:tcW w:w="3312" w:type="dxa"/>
            <w:gridSpan w:val="2"/>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D10%最远距离</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55"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4"/>
          <w:highlight w:val="none"/>
        </w:rPr>
        <w:t>表2.6-</w:t>
      </w:r>
      <w:r>
        <w:rPr>
          <w:rFonts w:hint="default" w:ascii="Times New Roman" w:hAnsi="Times New Roman" w:eastAsia="宋体" w:cs="Times New Roman"/>
          <w:b/>
          <w:color w:val="auto"/>
          <w:sz w:val="24"/>
          <w:highlight w:val="none"/>
          <w:lang w:val="en-US" w:eastAsia="zh-CN"/>
        </w:rPr>
        <w:t xml:space="preserve">7  </w:t>
      </w:r>
      <w:r>
        <w:rPr>
          <w:rFonts w:hint="default" w:ascii="Times New Roman" w:hAnsi="Times New Roman" w:eastAsia="宋体" w:cs="Times New Roman"/>
          <w:b/>
          <w:color w:val="auto"/>
          <w:sz w:val="24"/>
          <w:highlight w:val="none"/>
        </w:rPr>
        <w:t xml:space="preserve"> 项目空气污染因子和评价等级</w:t>
      </w:r>
    </w:p>
    <w:tbl>
      <w:tblPr>
        <w:tblStyle w:val="90"/>
        <w:tblW w:w="82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17"/>
        <w:gridCol w:w="1485"/>
        <w:gridCol w:w="1486"/>
        <w:gridCol w:w="1486"/>
        <w:gridCol w:w="14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1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TW"/>
              </w:rPr>
              <w:t>污染源</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TW"/>
              </w:rPr>
              <w:t>污染物名称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Cmax</w:t>
            </w:r>
            <w:r>
              <w:rPr>
                <w:rFonts w:hint="default" w:ascii="Times New Roman" w:hAnsi="Times New Roman" w:eastAsia="宋体" w:cs="Times New Roman"/>
                <w:color w:val="auto"/>
                <w:lang w:eastAsia="zh-CN"/>
              </w:rPr>
              <w:t>（</w:t>
            </w:r>
            <w:r>
              <w:rPr>
                <w:rFonts w:hint="default" w:ascii="Times New Roman" w:hAnsi="Times New Roman" w:eastAsia="宋体" w:cs="Times New Roman"/>
                <w:bCs/>
                <w:color w:val="auto"/>
                <w:sz w:val="21"/>
                <w:szCs w:val="21"/>
              </w:rPr>
              <w:t>μ</w:t>
            </w:r>
            <w:r>
              <w:rPr>
                <w:rFonts w:hint="default" w:ascii="Times New Roman" w:hAnsi="Times New Roman" w:eastAsia="宋体" w:cs="Times New Roman"/>
                <w:color w:val="auto"/>
              </w:rPr>
              <w:t>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eastAsia="zh-CN"/>
              </w:rPr>
              <w:t>）</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 xml:space="preserve">Pmax </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D10%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TW"/>
              </w:rPr>
              <w:t>非甲烷总烃</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23.7627</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1.19</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lang w:eastAsia="zh-TW"/>
              </w:rPr>
            </w:pP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33.098</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7.36</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lang w:eastAsia="zh-TW"/>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eastAsia="zh-TW"/>
              </w:rPr>
              <w:t>非甲烷总烃</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98.8672</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4.94</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lang w:eastAsia="zh-TW"/>
              </w:rPr>
            </w:pP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颗粒物</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13.154</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2.92</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废气</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TW"/>
              </w:rPr>
              <w:t>非甲烷总烃</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 xml:space="preserve"> 56.6012</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2.83</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lang w:eastAsia="zh-TW"/>
              </w:rPr>
            </w:pP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kern w:val="2"/>
                <w:sz w:val="21"/>
                <w:szCs w:val="24"/>
                <w:lang w:val="en-US" w:eastAsia="zh-TW" w:bidi="ar-SA"/>
              </w:rPr>
            </w:pPr>
            <w:r>
              <w:rPr>
                <w:rFonts w:hint="default" w:ascii="Times New Roman" w:hAnsi="Times New Roman" w:eastAsia="宋体" w:cs="Times New Roman"/>
                <w:color w:val="auto"/>
                <w:lang w:val="en-US" w:eastAsia="zh-CN"/>
              </w:rPr>
              <w:t>颗粒物</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 xml:space="preserve"> 71.208</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7.9</w:t>
            </w:r>
            <w:r>
              <w:rPr>
                <w:rFonts w:hint="default" w:ascii="Times New Roman" w:hAnsi="Times New Roman" w:eastAsia="宋体" w:cs="Times New Roman"/>
                <w:color w:val="auto"/>
                <w:sz w:val="21"/>
                <w:szCs w:val="21"/>
                <w:highlight w:val="none"/>
                <w:lang w:val="en-US" w:eastAsia="zh-CN"/>
              </w:rPr>
              <w:t>1</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lang w:eastAsia="zh-TW"/>
              </w:rPr>
            </w:pPr>
            <w:r>
              <w:rPr>
                <w:rFonts w:hint="default" w:ascii="Times New Roman" w:hAnsi="Times New Roman" w:eastAsia="宋体" w:cs="Times New Roman"/>
                <w:color w:val="auto"/>
                <w:kern w:val="0"/>
                <w:sz w:val="21"/>
                <w:szCs w:val="21"/>
                <w:highlight w:val="none"/>
                <w:lang w:eastAsia="zh-CN"/>
              </w:rPr>
              <w:t>塑料制品生产车间废气</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eastAsia="zh-TW"/>
              </w:rPr>
              <w:t>非甲烷总烃</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186.927</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9.3</w:t>
            </w:r>
            <w:r>
              <w:rPr>
                <w:rFonts w:hint="default" w:ascii="Times New Roman" w:hAnsi="Times New Roman" w:eastAsia="宋体" w:cs="Times New Roman"/>
                <w:color w:val="auto"/>
                <w:sz w:val="21"/>
                <w:szCs w:val="21"/>
                <w:highlight w:val="none"/>
                <w:lang w:val="en-US" w:eastAsia="zh-CN"/>
              </w:rPr>
              <w:t>5</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lang w:eastAsia="zh-TW"/>
              </w:rPr>
            </w:pP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颗粒物</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 xml:space="preserve"> 55.65</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6.18</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bl>
    <w:p>
      <w:pPr>
        <w:keepNext w:val="0"/>
        <w:keepLines w:val="0"/>
        <w:pageBreakBefore w:val="0"/>
        <w:widowControl w:val="0"/>
        <w:shd w:val="clear"/>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根据表2.6-</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可以看出，项目废气Pmax=9.35%，大于1%且小于10%，因此，按照项目区域情况、结合《环境影响评价技术导则大气环境》（HJ2.2-2018）中规定的分级判据，确定本项目大气环境评价等级为二级。</w:t>
      </w:r>
    </w:p>
    <w:p>
      <w:pPr>
        <w:keepNext w:val="0"/>
        <w:keepLines w:val="0"/>
        <w:pageBreakBefore w:val="0"/>
        <w:widowControl w:val="0"/>
        <w:shd w:val="clear"/>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评价范围</w:t>
      </w:r>
    </w:p>
    <w:p>
      <w:pPr>
        <w:keepNext w:val="0"/>
        <w:keepLines w:val="0"/>
        <w:pageBreakBefore w:val="0"/>
        <w:widowControl w:val="0"/>
        <w:shd w:val="clear"/>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大气环境》（HJ2.2-2018）规定，本项目评价等级为二级评价，项目大气环境影响范围为</w:t>
      </w:r>
      <w:r>
        <w:rPr>
          <w:rFonts w:hint="default" w:ascii="Times New Roman" w:hAnsi="Times New Roman" w:eastAsia="宋体" w:cs="Times New Roman"/>
          <w:color w:val="auto"/>
          <w:sz w:val="24"/>
          <w:szCs w:val="24"/>
          <w:highlight w:val="none"/>
          <w:lang w:val="en-US" w:eastAsia="zh-CN"/>
        </w:rPr>
        <w:t>以项目为中心，</w:t>
      </w:r>
      <w:r>
        <w:rPr>
          <w:rFonts w:hint="default" w:ascii="Times New Roman" w:hAnsi="Times New Roman" w:eastAsia="宋体" w:cs="Times New Roman"/>
          <w:color w:val="auto"/>
          <w:sz w:val="24"/>
          <w:szCs w:val="24"/>
          <w:highlight w:val="none"/>
        </w:rPr>
        <w:t>边长5km矩形区域。见附图2.6-1。</w:t>
      </w:r>
    </w:p>
    <w:p>
      <w:pPr>
        <w:pStyle w:val="6"/>
        <w:keepLines w:val="0"/>
        <w:shd w:val="clear"/>
        <w:spacing w:line="360" w:lineRule="auto"/>
        <w:rPr>
          <w:rFonts w:hint="default" w:ascii="Times New Roman" w:hAnsi="Times New Roman" w:eastAsia="宋体" w:cs="Times New Roman"/>
          <w:color w:val="auto"/>
          <w:highlight w:val="none"/>
        </w:rPr>
      </w:pPr>
      <w:bookmarkStart w:id="118" w:name="_Toc327383059"/>
      <w:bookmarkStart w:id="119" w:name="_Toc464475331"/>
      <w:r>
        <w:rPr>
          <w:rFonts w:hint="default" w:ascii="Times New Roman" w:hAnsi="Times New Roman" w:eastAsia="宋体" w:cs="Times New Roman"/>
          <w:color w:val="auto"/>
          <w:highlight w:val="none"/>
        </w:rPr>
        <w:t>2.6.2地下水环境评价工作等级</w:t>
      </w:r>
      <w:bookmarkEnd w:id="118"/>
      <w:r>
        <w:rPr>
          <w:rFonts w:hint="default" w:ascii="Times New Roman" w:hAnsi="Times New Roman" w:eastAsia="宋体" w:cs="Times New Roman"/>
          <w:color w:val="auto"/>
          <w:highlight w:val="none"/>
        </w:rPr>
        <w:t>及评价范围</w:t>
      </w:r>
      <w:bookmarkEnd w:id="119"/>
    </w:p>
    <w:p>
      <w:pPr>
        <w:shd w:val="clear"/>
        <w:spacing w:line="360" w:lineRule="auto"/>
        <w:ind w:firstLine="480" w:firstLineChars="200"/>
        <w:rPr>
          <w:rFonts w:hint="default" w:ascii="Times New Roman" w:hAnsi="Times New Roman" w:eastAsia="宋体" w:cs="Times New Roman"/>
          <w:color w:val="auto"/>
          <w:kern w:val="0"/>
          <w:sz w:val="24"/>
          <w:highlight w:val="none"/>
          <w:lang w:bidi="en-US"/>
        </w:rPr>
      </w:pPr>
      <w:bookmarkStart w:id="120" w:name="_Toc327383060"/>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val="en-US" w:eastAsia="zh-CN" w:bidi="en-US"/>
        </w:rPr>
        <w:t>1</w:t>
      </w:r>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bidi="en-US"/>
        </w:rPr>
        <w:t>地下水环境影响评价等级</w:t>
      </w:r>
    </w:p>
    <w:p>
      <w:pPr>
        <w:shd w:val="clear"/>
        <w:spacing w:line="360" w:lineRule="auto"/>
        <w:ind w:firstLine="480" w:firstLineChars="200"/>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kern w:val="0"/>
          <w:sz w:val="24"/>
          <w:highlight w:val="none"/>
          <w:lang w:bidi="en-US"/>
        </w:rPr>
        <w:t>1）建设项目分类</w:t>
      </w:r>
    </w:p>
    <w:p>
      <w:pPr>
        <w:shd w:val="clear"/>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color w:val="auto"/>
          <w:kern w:val="0"/>
          <w:sz w:val="24"/>
          <w:highlight w:val="none"/>
          <w:lang w:bidi="en-US"/>
        </w:rPr>
        <w:t>根据《环境影响评价技术导则—地下水环境》</w:t>
      </w:r>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bidi="en-US"/>
        </w:rPr>
        <w:t>HJ610-2016</w:t>
      </w:r>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bidi="en-US"/>
        </w:rPr>
        <w:t>中附录A，本项目</w:t>
      </w:r>
      <w:r>
        <w:rPr>
          <w:rFonts w:hint="default" w:ascii="Times New Roman" w:hAnsi="Times New Roman" w:eastAsia="宋体" w:cs="Times New Roman"/>
          <w:bCs/>
          <w:color w:val="auto"/>
          <w:kern w:val="0"/>
          <w:sz w:val="24"/>
          <w:highlight w:val="none"/>
          <w:lang w:val="en-US" w:eastAsia="zh-CN"/>
        </w:rPr>
        <w:t>利用废旧塑料生产可再生塑料颗粒</w:t>
      </w:r>
      <w:r>
        <w:rPr>
          <w:rFonts w:hint="default" w:ascii="Times New Roman" w:hAnsi="Times New Roman" w:eastAsia="宋体" w:cs="Times New Roman"/>
          <w:color w:val="auto"/>
          <w:kern w:val="0"/>
          <w:sz w:val="24"/>
          <w:highlight w:val="none"/>
          <w:lang w:bidi="en-US"/>
        </w:rPr>
        <w:t>属于“</w:t>
      </w:r>
      <w:r>
        <w:rPr>
          <w:rFonts w:hint="default" w:ascii="Times New Roman" w:hAnsi="Times New Roman" w:eastAsia="宋体" w:cs="Times New Roman"/>
          <w:color w:val="auto"/>
          <w:kern w:val="0"/>
          <w:sz w:val="24"/>
          <w:highlight w:val="none"/>
          <w:lang w:val="en-US" w:eastAsia="zh-CN" w:bidi="en-US"/>
        </w:rPr>
        <w:t>U 城镇基础设施及房地产--155、</w:t>
      </w:r>
      <w:r>
        <w:rPr>
          <w:rFonts w:hint="default" w:ascii="Times New Roman" w:hAnsi="Times New Roman" w:eastAsia="宋体" w:cs="Times New Roman"/>
          <w:color w:val="auto"/>
          <w:kern w:val="0"/>
          <w:sz w:val="24"/>
          <w:highlight w:val="none"/>
          <w:lang w:bidi="en-US"/>
        </w:rPr>
        <w:t>废</w:t>
      </w:r>
      <w:r>
        <w:rPr>
          <w:rFonts w:hint="default" w:ascii="Times New Roman" w:hAnsi="Times New Roman" w:eastAsia="宋体" w:cs="Times New Roman"/>
          <w:color w:val="auto"/>
          <w:kern w:val="0"/>
          <w:sz w:val="24"/>
          <w:highlight w:val="none"/>
          <w:lang w:val="en-US" w:eastAsia="zh-CN" w:bidi="en-US"/>
        </w:rPr>
        <w:t>旧资源（含生物质）加工、再生</w:t>
      </w:r>
      <w:r>
        <w:rPr>
          <w:rFonts w:hint="default" w:ascii="Times New Roman" w:hAnsi="Times New Roman" w:eastAsia="宋体" w:cs="Times New Roman"/>
          <w:color w:val="auto"/>
          <w:kern w:val="0"/>
          <w:sz w:val="24"/>
          <w:highlight w:val="none"/>
          <w:lang w:bidi="en-US"/>
        </w:rPr>
        <w:t>利用”</w:t>
      </w:r>
      <w:r>
        <w:rPr>
          <w:rFonts w:hint="default" w:ascii="Times New Roman" w:hAnsi="Times New Roman" w:eastAsia="宋体" w:cs="Times New Roman"/>
          <w:color w:val="auto"/>
          <w:kern w:val="0"/>
          <w:sz w:val="24"/>
          <w:highlight w:val="none"/>
          <w:lang w:val="en-US" w:eastAsia="zh-CN" w:bidi="en-US"/>
        </w:rPr>
        <w:t>中的废塑料</w:t>
      </w:r>
      <w:r>
        <w:rPr>
          <w:rFonts w:hint="default" w:ascii="Times New Roman" w:hAnsi="Times New Roman" w:eastAsia="宋体" w:cs="Times New Roman"/>
          <w:color w:val="auto"/>
          <w:kern w:val="0"/>
          <w:sz w:val="24"/>
          <w:highlight w:val="none"/>
          <w:lang w:bidi="en-US"/>
        </w:rPr>
        <w:t>加工、再生</w:t>
      </w:r>
      <w:r>
        <w:rPr>
          <w:rFonts w:hint="default" w:ascii="Times New Roman" w:hAnsi="Times New Roman" w:eastAsia="宋体" w:cs="Times New Roman"/>
          <w:color w:val="auto"/>
          <w:kern w:val="0"/>
          <w:sz w:val="24"/>
          <w:highlight w:val="none"/>
          <w:lang w:eastAsia="zh-CN" w:bidi="en-US"/>
        </w:rPr>
        <w:t>，地下水环境影响评价项目类别属于Ⅲ类；</w:t>
      </w:r>
      <w:r>
        <w:rPr>
          <w:rFonts w:hint="default" w:ascii="Times New Roman" w:hAnsi="Times New Roman" w:eastAsia="宋体" w:cs="Times New Roman"/>
          <w:bCs/>
          <w:color w:val="auto"/>
          <w:kern w:val="0"/>
          <w:sz w:val="24"/>
          <w:highlight w:val="none"/>
          <w:lang w:eastAsia="zh-CN"/>
        </w:rPr>
        <w:t>生产滴灌带、</w:t>
      </w:r>
      <w:r>
        <w:rPr>
          <w:rFonts w:hint="default" w:ascii="Times New Roman" w:hAnsi="Times New Roman" w:eastAsia="宋体" w:cs="Times New Roman"/>
          <w:color w:val="auto"/>
          <w:sz w:val="24"/>
          <w:highlight w:val="none"/>
          <w:lang w:val="en-US" w:eastAsia="zh-CN"/>
        </w:rPr>
        <w:t>PE管材管件和地膜</w:t>
      </w:r>
      <w:r>
        <w:rPr>
          <w:rFonts w:hint="default" w:ascii="Times New Roman" w:hAnsi="Times New Roman" w:eastAsia="宋体" w:cs="Times New Roman"/>
          <w:bCs/>
          <w:color w:val="auto"/>
          <w:kern w:val="0"/>
          <w:sz w:val="24"/>
          <w:highlight w:val="none"/>
          <w:lang w:eastAsia="zh-CN"/>
        </w:rPr>
        <w:t>属于“</w:t>
      </w:r>
      <w:r>
        <w:rPr>
          <w:rFonts w:hint="default" w:ascii="Times New Roman" w:hAnsi="Times New Roman" w:eastAsia="宋体" w:cs="Times New Roman"/>
          <w:bCs/>
          <w:color w:val="auto"/>
          <w:kern w:val="0"/>
          <w:sz w:val="24"/>
          <w:highlight w:val="none"/>
          <w:lang w:val="en-US" w:eastAsia="zh-CN"/>
        </w:rPr>
        <w:t>N轻工--116、塑料制品制造</w:t>
      </w: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color w:val="auto"/>
          <w:kern w:val="0"/>
          <w:sz w:val="24"/>
          <w:highlight w:val="none"/>
          <w:lang w:eastAsia="zh-CN" w:bidi="en-US"/>
        </w:rPr>
        <w:t>地下水环境影响评价项目</w:t>
      </w:r>
      <w:r>
        <w:rPr>
          <w:rFonts w:hint="default" w:ascii="Times New Roman" w:hAnsi="Times New Roman" w:eastAsia="宋体" w:cs="Times New Roman"/>
          <w:color w:val="auto"/>
          <w:kern w:val="0"/>
          <w:sz w:val="24"/>
          <w:szCs w:val="24"/>
          <w:highlight w:val="none"/>
          <w:lang w:eastAsia="zh-CN" w:bidi="en-US"/>
        </w:rPr>
        <w:t>类别属于</w:t>
      </w:r>
      <w:r>
        <w:rPr>
          <w:rFonts w:hint="default" w:ascii="Times New Roman" w:hAnsi="Times New Roman" w:eastAsia="宋体" w:cs="Times New Roman"/>
          <w:color w:val="auto"/>
          <w:kern w:val="0"/>
          <w:sz w:val="24"/>
          <w:szCs w:val="24"/>
          <w:highlight w:val="none"/>
          <w:lang w:eastAsia="zh-CN" w:bidi="en-US"/>
        </w:rPr>
        <w:fldChar w:fldCharType="begin"/>
      </w:r>
      <w:r>
        <w:rPr>
          <w:rFonts w:hint="default" w:ascii="Times New Roman" w:hAnsi="Times New Roman" w:eastAsia="宋体" w:cs="Times New Roman"/>
          <w:color w:val="auto"/>
          <w:kern w:val="0"/>
          <w:sz w:val="24"/>
          <w:szCs w:val="24"/>
          <w:highlight w:val="none"/>
          <w:lang w:eastAsia="zh-CN" w:bidi="en-US"/>
        </w:rPr>
        <w:instrText xml:space="preserve"> = 4 \* ROMAN \* MERGEFORMAT </w:instrText>
      </w:r>
      <w:r>
        <w:rPr>
          <w:rFonts w:hint="default" w:ascii="Times New Roman" w:hAnsi="Times New Roman" w:eastAsia="宋体" w:cs="Times New Roman"/>
          <w:color w:val="auto"/>
          <w:kern w:val="0"/>
          <w:sz w:val="24"/>
          <w:szCs w:val="24"/>
          <w:highlight w:val="none"/>
          <w:lang w:eastAsia="zh-CN" w:bidi="en-US"/>
        </w:rPr>
        <w:fldChar w:fldCharType="separate"/>
      </w:r>
      <w:r>
        <w:rPr>
          <w:rFonts w:hint="default" w:ascii="Times New Roman" w:hAnsi="Times New Roman" w:eastAsia="宋体" w:cs="Times New Roman"/>
          <w:color w:val="auto"/>
          <w:sz w:val="24"/>
          <w:szCs w:val="24"/>
          <w:lang w:eastAsia="zh-CN"/>
        </w:rPr>
        <w:t>Ⅳ</w:t>
      </w:r>
      <w:r>
        <w:rPr>
          <w:rFonts w:hint="default" w:ascii="Times New Roman" w:hAnsi="Times New Roman" w:eastAsia="宋体" w:cs="Times New Roman"/>
          <w:color w:val="auto"/>
          <w:kern w:val="0"/>
          <w:sz w:val="24"/>
          <w:szCs w:val="24"/>
          <w:highlight w:val="none"/>
          <w:lang w:eastAsia="zh-CN" w:bidi="en-US"/>
        </w:rPr>
        <w:fldChar w:fldCharType="end"/>
      </w:r>
      <w:r>
        <w:rPr>
          <w:rFonts w:hint="default" w:ascii="Times New Roman" w:hAnsi="Times New Roman" w:eastAsia="宋体" w:cs="Times New Roman"/>
          <w:color w:val="auto"/>
          <w:kern w:val="0"/>
          <w:sz w:val="24"/>
          <w:szCs w:val="24"/>
          <w:highlight w:val="none"/>
          <w:lang w:eastAsia="zh-CN" w:bidi="en-US"/>
        </w:rPr>
        <w:t>类，</w:t>
      </w:r>
      <w:r>
        <w:rPr>
          <w:rFonts w:hint="default" w:ascii="Times New Roman" w:hAnsi="Times New Roman" w:eastAsia="宋体" w:cs="Times New Roman"/>
          <w:color w:val="auto"/>
          <w:kern w:val="0"/>
          <w:sz w:val="24"/>
          <w:szCs w:val="24"/>
          <w:highlight w:val="none"/>
          <w:lang w:val="en-US" w:eastAsia="zh-CN" w:bidi="en-US"/>
        </w:rPr>
        <w:t>根据</w:t>
      </w:r>
      <w:r>
        <w:rPr>
          <w:rFonts w:hint="default" w:ascii="Times New Roman" w:hAnsi="Times New Roman" w:eastAsia="宋体" w:cs="Times New Roman"/>
          <w:color w:val="auto"/>
          <w:kern w:val="0"/>
          <w:sz w:val="24"/>
          <w:highlight w:val="none"/>
          <w:lang w:bidi="en-US"/>
        </w:rPr>
        <w:t>《环境影响评价技术导则—地下水环境》</w:t>
      </w:r>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bidi="en-US"/>
        </w:rPr>
        <w:t>HJ610-2016</w:t>
      </w:r>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szCs w:val="24"/>
          <w:highlight w:val="none"/>
          <w:lang w:eastAsia="zh-CN" w:bidi="en-US"/>
        </w:rPr>
        <w:t>，</w:t>
      </w:r>
      <w:r>
        <w:rPr>
          <w:rFonts w:hint="default" w:ascii="Times New Roman" w:hAnsi="Times New Roman" w:eastAsia="宋体" w:cs="Times New Roman"/>
          <w:color w:val="auto"/>
          <w:kern w:val="0"/>
          <w:sz w:val="24"/>
          <w:szCs w:val="24"/>
          <w:highlight w:val="none"/>
          <w:lang w:val="en-US" w:eastAsia="zh-CN" w:bidi="en-US"/>
        </w:rPr>
        <w:t>因此，本项目</w:t>
      </w:r>
      <w:r>
        <w:rPr>
          <w:rFonts w:hint="default" w:ascii="Times New Roman" w:hAnsi="Times New Roman" w:eastAsia="宋体" w:cs="Times New Roman"/>
          <w:color w:val="auto"/>
          <w:kern w:val="0"/>
          <w:sz w:val="24"/>
          <w:highlight w:val="none"/>
          <w:lang w:eastAsia="zh-CN" w:bidi="en-US"/>
        </w:rPr>
        <w:t>地下水环境影响评价项目类别属于Ⅲ类。</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2）地下水环境敏感程度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根据《环境影响评价技术导则 地下水环境》（HJ610-2016），建设项目的地下水环境敏感程度可分为敏感、较敏感、不敏感三级，分级原则见表2.6-</w:t>
      </w:r>
      <w:r>
        <w:rPr>
          <w:rFonts w:hint="default" w:ascii="Times New Roman" w:hAnsi="Times New Roman" w:eastAsia="宋体" w:cs="Times New Roman"/>
          <w:color w:val="auto"/>
          <w:sz w:val="24"/>
          <w:szCs w:val="32"/>
          <w:lang w:val="en-US" w:eastAsia="zh-CN"/>
        </w:rPr>
        <w:t>8</w:t>
      </w:r>
      <w:r>
        <w:rPr>
          <w:rFonts w:hint="default" w:ascii="Times New Roman" w:hAnsi="Times New Roman" w:eastAsia="宋体" w:cs="Times New Roman"/>
          <w:color w:val="auto"/>
          <w:sz w:val="24"/>
          <w:szCs w:val="32"/>
        </w:rPr>
        <w:t>。</w:t>
      </w:r>
    </w:p>
    <w:p>
      <w:pPr>
        <w:shd w:val="clear"/>
        <w:spacing w:line="24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color w:val="auto"/>
          <w:sz w:val="24"/>
          <w:highlight w:val="none"/>
        </w:rPr>
        <w:t>2.6-</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bCs/>
          <w:color w:val="auto"/>
          <w:sz w:val="24"/>
          <w:highlight w:val="none"/>
        </w:rPr>
        <w:t>地下水环境敏感程度分级表</w:t>
      </w:r>
    </w:p>
    <w:tbl>
      <w:tblPr>
        <w:tblStyle w:val="90"/>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7"/>
        <w:gridCol w:w="73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敏感程度</w:t>
            </w:r>
          </w:p>
        </w:tc>
        <w:tc>
          <w:tcPr>
            <w:tcW w:w="7340"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敏感</w:t>
            </w:r>
          </w:p>
        </w:tc>
        <w:tc>
          <w:tcPr>
            <w:tcW w:w="7340"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集中式饮用水水源（包括已建成的在用、备用、应急水源，在建和规划的饮用水源）准保护区；除集中式饮用水水源以外的国家或地方政府设定的与地下水环境先关的其他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较敏感</w:t>
            </w:r>
          </w:p>
        </w:tc>
        <w:tc>
          <w:tcPr>
            <w:tcW w:w="7340"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集中式饮用水水源（包括已建成的在用、备用、应急水源，在建和规划的饮用水源）准保护区以外的补给径流区；未划定准保护区的集中式饮用水水源，其保护区以外的补给径流区；分散式饮用水水源地；特殊地下水资源（如矿泉水、温泉）保护区以外的分布区等其他未列入上述敏感分级的环境敏感区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不敏感</w:t>
            </w:r>
          </w:p>
        </w:tc>
        <w:tc>
          <w:tcPr>
            <w:tcW w:w="7340"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上述地区之外的其他地区.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注：a“环境敏感区”是指《建设项目环境影响评价分类管理名录》中界定的涉及地下水的环境敏感区</w:t>
            </w:r>
          </w:p>
        </w:tc>
      </w:tr>
    </w:tbl>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综上分析，通过对周边区域的调研走访，本项目</w:t>
      </w:r>
      <w:r>
        <w:rPr>
          <w:rFonts w:hint="default" w:ascii="Times New Roman" w:hAnsi="Times New Roman" w:eastAsia="宋体" w:cs="Times New Roman"/>
          <w:color w:val="auto"/>
          <w:sz w:val="24"/>
          <w:highlight w:val="none"/>
          <w:lang w:eastAsia="zh-CN"/>
        </w:rPr>
        <w:t>周围</w:t>
      </w:r>
      <w:r>
        <w:rPr>
          <w:rFonts w:hint="default" w:ascii="Times New Roman" w:hAnsi="Times New Roman" w:eastAsia="宋体" w:cs="Times New Roman"/>
          <w:color w:val="auto"/>
          <w:sz w:val="24"/>
          <w:highlight w:val="none"/>
        </w:rPr>
        <w:t>无开发利用地下水的水源地及保护区，无其他与地下水环境相关的保护区（如热水、矿泉水、温泉等特殊地下水资源保护区），</w:t>
      </w:r>
      <w:r>
        <w:rPr>
          <w:rFonts w:hint="default" w:ascii="Times New Roman" w:hAnsi="Times New Roman" w:eastAsia="宋体" w:cs="Times New Roman"/>
          <w:color w:val="auto"/>
          <w:sz w:val="24"/>
          <w:highlight w:val="none"/>
          <w:lang w:eastAsia="zh-CN"/>
        </w:rPr>
        <w:t>无集中式饮用水水源准保护区；项目区域地区存在分散式水井</w:t>
      </w:r>
      <w:r>
        <w:rPr>
          <w:rFonts w:hint="default" w:ascii="Times New Roman" w:hAnsi="Times New Roman" w:eastAsia="宋体" w:cs="Times New Roman"/>
          <w:color w:val="auto"/>
          <w:sz w:val="24"/>
          <w:highlight w:val="none"/>
        </w:rPr>
        <w:t>，因此，项目所在地的地下水环境为</w:t>
      </w:r>
      <w:r>
        <w:rPr>
          <w:rFonts w:hint="default" w:ascii="Times New Roman" w:hAnsi="Times New Roman" w:eastAsia="宋体" w:cs="Times New Roman"/>
          <w:color w:val="auto"/>
          <w:sz w:val="24"/>
          <w:highlight w:val="none"/>
          <w:lang w:eastAsia="zh-CN"/>
        </w:rPr>
        <w:t>较</w:t>
      </w:r>
      <w:r>
        <w:rPr>
          <w:rFonts w:hint="default" w:ascii="Times New Roman" w:hAnsi="Times New Roman" w:eastAsia="宋体" w:cs="Times New Roman"/>
          <w:color w:val="auto"/>
          <w:sz w:val="24"/>
          <w:highlight w:val="none"/>
        </w:rPr>
        <w:t>敏感</w:t>
      </w:r>
      <w:r>
        <w:rPr>
          <w:rFonts w:hint="default" w:ascii="Times New Roman" w:hAnsi="Times New Roman" w:eastAsia="宋体" w:cs="Times New Roman"/>
          <w:color w:val="auto"/>
          <w:sz w:val="24"/>
          <w:highlight w:val="none"/>
          <w:lang w:eastAsia="zh-CN"/>
        </w:rPr>
        <w:t>。</w:t>
      </w:r>
    </w:p>
    <w:p>
      <w:pPr>
        <w:shd w:val="clear"/>
        <w:spacing w:line="360" w:lineRule="auto"/>
        <w:ind w:firstLine="480" w:firstLineChars="200"/>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kern w:val="0"/>
          <w:sz w:val="24"/>
          <w:highlight w:val="none"/>
          <w:lang w:val="en-US" w:eastAsia="zh-CN" w:bidi="en-US"/>
        </w:rPr>
        <w:t>3</w:t>
      </w:r>
      <w:r>
        <w:rPr>
          <w:rFonts w:hint="default" w:ascii="Times New Roman" w:hAnsi="Times New Roman" w:eastAsia="宋体" w:cs="Times New Roman"/>
          <w:color w:val="auto"/>
          <w:kern w:val="0"/>
          <w:sz w:val="24"/>
          <w:highlight w:val="none"/>
          <w:lang w:bidi="en-US"/>
        </w:rPr>
        <w:t>）评价等级划分依据</w:t>
      </w:r>
    </w:p>
    <w:p>
      <w:pPr>
        <w:shd w:val="clear"/>
        <w:spacing w:line="360" w:lineRule="auto"/>
        <w:ind w:firstLine="480" w:firstLineChars="200"/>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kern w:val="0"/>
          <w:sz w:val="24"/>
          <w:highlight w:val="none"/>
          <w:lang w:bidi="en-US"/>
        </w:rPr>
        <w:t>根据《环境影响评价技术导则 地下水环境》</w:t>
      </w:r>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bidi="en-US"/>
        </w:rPr>
        <w:t>HJ610-2016</w:t>
      </w:r>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bidi="en-US"/>
        </w:rPr>
        <w:t>，建设项目地下水环境影响评价工作等级划分见表2.6-</w:t>
      </w:r>
      <w:r>
        <w:rPr>
          <w:rFonts w:hint="default" w:ascii="Times New Roman" w:hAnsi="Times New Roman" w:eastAsia="宋体" w:cs="Times New Roman"/>
          <w:color w:val="auto"/>
          <w:kern w:val="0"/>
          <w:sz w:val="24"/>
          <w:highlight w:val="none"/>
          <w:lang w:val="en-US" w:eastAsia="zh-CN" w:bidi="en-US"/>
        </w:rPr>
        <w:t>9</w:t>
      </w:r>
      <w:r>
        <w:rPr>
          <w:rFonts w:hint="default" w:ascii="Times New Roman" w:hAnsi="Times New Roman" w:eastAsia="宋体" w:cs="Times New Roman"/>
          <w:color w:val="auto"/>
          <w:kern w:val="0"/>
          <w:sz w:val="24"/>
          <w:highlight w:val="none"/>
          <w:lang w:bidi="en-US"/>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表2.6-</w:t>
      </w:r>
      <w:r>
        <w:rPr>
          <w:rFonts w:hint="default" w:ascii="Times New Roman" w:hAnsi="Times New Roman" w:eastAsia="宋体" w:cs="Times New Roman"/>
          <w:b/>
          <w:color w:val="auto"/>
          <w:sz w:val="24"/>
          <w:highlight w:val="none"/>
          <w:lang w:val="en-US" w:eastAsia="zh-CN"/>
        </w:rPr>
        <w:t xml:space="preserve">9  </w:t>
      </w:r>
      <w:r>
        <w:rPr>
          <w:rFonts w:hint="default" w:ascii="Times New Roman" w:hAnsi="Times New Roman" w:eastAsia="宋体" w:cs="Times New Roman"/>
          <w:b/>
          <w:color w:val="auto"/>
          <w:sz w:val="24"/>
          <w:highlight w:val="none"/>
        </w:rPr>
        <w:t xml:space="preserve"> 评价工作等级分级表</w:t>
      </w:r>
    </w:p>
    <w:tbl>
      <w:tblPr>
        <w:tblStyle w:val="90"/>
        <w:tblW w:w="82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42"/>
        <w:gridCol w:w="1873"/>
        <w:gridCol w:w="1873"/>
        <w:gridCol w:w="1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42" w:type="dxa"/>
            <w:tcBorders>
              <w:tl2br w:val="single" w:color="auto" w:sz="4" w:space="0"/>
            </w:tcBorders>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 xml:space="preserve">     项目类别</w:t>
            </w:r>
          </w:p>
          <w:p>
            <w:pPr>
              <w:shd w:val="clea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环境敏感程度</w:t>
            </w:r>
          </w:p>
        </w:tc>
        <w:tc>
          <w:tcPr>
            <w:tcW w:w="1873"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Ⅰ类项目</w:t>
            </w:r>
          </w:p>
        </w:tc>
        <w:tc>
          <w:tcPr>
            <w:tcW w:w="1873"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Ⅱ类项目</w:t>
            </w:r>
          </w:p>
        </w:tc>
        <w:tc>
          <w:tcPr>
            <w:tcW w:w="1872"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Ⅲ类项目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42"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敏感</w:t>
            </w:r>
          </w:p>
        </w:tc>
        <w:tc>
          <w:tcPr>
            <w:tcW w:w="1873"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一</w:t>
            </w:r>
          </w:p>
        </w:tc>
        <w:tc>
          <w:tcPr>
            <w:tcW w:w="1873"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一</w:t>
            </w:r>
          </w:p>
        </w:tc>
        <w:tc>
          <w:tcPr>
            <w:tcW w:w="1872"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42"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较敏感</w:t>
            </w:r>
          </w:p>
        </w:tc>
        <w:tc>
          <w:tcPr>
            <w:tcW w:w="1873"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一</w:t>
            </w:r>
          </w:p>
        </w:tc>
        <w:tc>
          <w:tcPr>
            <w:tcW w:w="1873"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二</w:t>
            </w:r>
          </w:p>
        </w:tc>
        <w:tc>
          <w:tcPr>
            <w:tcW w:w="1872" w:type="dxa"/>
            <w:shd w:val="clear" w:color="auto" w:fill="auto"/>
            <w:vAlign w:val="center"/>
          </w:tcPr>
          <w:p>
            <w:pPr>
              <w:shd w:val="clear"/>
              <w:jc w:val="center"/>
              <w:rPr>
                <w:rFonts w:hint="default" w:ascii="Times New Roman" w:hAnsi="Times New Roman" w:eastAsia="宋体" w:cs="Times New Roman"/>
                <w:b/>
                <w:color w:val="auto"/>
                <w:kern w:val="0"/>
                <w:sz w:val="21"/>
                <w:szCs w:val="21"/>
                <w:highlight w:val="none"/>
                <w:lang w:bidi="en-US"/>
              </w:rPr>
            </w:pPr>
            <w:r>
              <w:rPr>
                <w:rFonts w:hint="default" w:ascii="Times New Roman" w:hAnsi="Times New Roman" w:eastAsia="宋体" w:cs="Times New Roman"/>
                <w:b/>
                <w:color w:val="auto"/>
                <w:kern w:val="0"/>
                <w:sz w:val="21"/>
                <w:szCs w:val="21"/>
                <w:highlight w:val="none"/>
                <w:lang w:bidi="en-US"/>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42"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不敏感</w:t>
            </w:r>
          </w:p>
        </w:tc>
        <w:tc>
          <w:tcPr>
            <w:tcW w:w="1873"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二</w:t>
            </w:r>
          </w:p>
        </w:tc>
        <w:tc>
          <w:tcPr>
            <w:tcW w:w="1873"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三</w:t>
            </w:r>
          </w:p>
        </w:tc>
        <w:tc>
          <w:tcPr>
            <w:tcW w:w="1872"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bidi="en-US"/>
              </w:rPr>
            </w:pPr>
            <w:r>
              <w:rPr>
                <w:rFonts w:hint="default" w:ascii="Times New Roman" w:hAnsi="Times New Roman" w:eastAsia="宋体" w:cs="Times New Roman"/>
                <w:color w:val="auto"/>
                <w:kern w:val="0"/>
                <w:sz w:val="21"/>
                <w:szCs w:val="21"/>
                <w:highlight w:val="none"/>
                <w:lang w:bidi="en-US"/>
              </w:rPr>
              <w:t>三</w:t>
            </w:r>
          </w:p>
        </w:tc>
      </w:tr>
    </w:tbl>
    <w:p>
      <w:pPr>
        <w:shd w:val="clear"/>
        <w:autoSpaceDE w:val="0"/>
        <w:autoSpaceDN w:val="0"/>
        <w:adjustRightInd w:val="0"/>
        <w:spacing w:before="5" w:line="30" w:lineRule="exact"/>
        <w:jc w:val="left"/>
        <w:rPr>
          <w:rFonts w:hint="default" w:ascii="Times New Roman" w:hAnsi="Times New Roman" w:eastAsia="宋体" w:cs="Times New Roman"/>
          <w:color w:val="auto"/>
          <w:kern w:val="0"/>
          <w:sz w:val="3"/>
          <w:szCs w:val="3"/>
          <w:highlight w:val="none"/>
        </w:rPr>
      </w:pPr>
    </w:p>
    <w:p>
      <w:pPr>
        <w:shd w:val="clear"/>
        <w:spacing w:line="360" w:lineRule="auto"/>
        <w:ind w:firstLine="480" w:firstLineChars="200"/>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kern w:val="0"/>
          <w:sz w:val="24"/>
          <w:highlight w:val="none"/>
          <w:lang w:val="en-US" w:eastAsia="zh-CN" w:bidi="en-US"/>
        </w:rPr>
        <w:t>4</w:t>
      </w:r>
      <w:r>
        <w:rPr>
          <w:rFonts w:hint="default" w:ascii="Times New Roman" w:hAnsi="Times New Roman" w:eastAsia="宋体" w:cs="Times New Roman"/>
          <w:color w:val="auto"/>
          <w:kern w:val="0"/>
          <w:sz w:val="24"/>
          <w:highlight w:val="none"/>
          <w:lang w:bidi="en-US"/>
        </w:rPr>
        <w:t>）评价等级确定</w:t>
      </w:r>
    </w:p>
    <w:p>
      <w:pPr>
        <w:shd w:val="clear"/>
        <w:spacing w:line="360" w:lineRule="auto"/>
        <w:ind w:firstLine="480" w:firstLineChars="200"/>
        <w:rPr>
          <w:rFonts w:hint="default" w:ascii="Times New Roman" w:hAnsi="Times New Roman" w:eastAsia="宋体" w:cs="Times New Roman"/>
          <w:b/>
          <w:bCs/>
          <w:color w:val="auto"/>
          <w:kern w:val="0"/>
          <w:sz w:val="24"/>
          <w:highlight w:val="none"/>
          <w:lang w:bidi="en-US"/>
        </w:rPr>
      </w:pPr>
      <w:r>
        <w:rPr>
          <w:rFonts w:hint="default" w:ascii="Times New Roman" w:hAnsi="Times New Roman" w:eastAsia="宋体" w:cs="Times New Roman"/>
          <w:color w:val="auto"/>
          <w:kern w:val="0"/>
          <w:sz w:val="24"/>
          <w:highlight w:val="none"/>
          <w:lang w:bidi="en-US"/>
        </w:rPr>
        <w:t>根据实地调查等工作，</w:t>
      </w:r>
      <w:r>
        <w:rPr>
          <w:rFonts w:hint="default" w:ascii="Times New Roman" w:hAnsi="Times New Roman" w:eastAsia="宋体" w:cs="Times New Roman"/>
          <w:color w:val="auto"/>
          <w:kern w:val="0"/>
          <w:sz w:val="24"/>
          <w:highlight w:val="none"/>
          <w:lang w:eastAsia="zh-CN" w:bidi="en-US"/>
        </w:rPr>
        <w:t>项目区域周围存在</w:t>
      </w:r>
      <w:r>
        <w:rPr>
          <w:rFonts w:hint="default" w:ascii="Times New Roman" w:hAnsi="Times New Roman" w:eastAsia="宋体" w:cs="Times New Roman"/>
          <w:color w:val="auto"/>
          <w:kern w:val="0"/>
          <w:sz w:val="24"/>
          <w:highlight w:val="none"/>
          <w:lang w:bidi="en-US"/>
        </w:rPr>
        <w:t>分散式</w:t>
      </w:r>
      <w:r>
        <w:rPr>
          <w:rFonts w:hint="default" w:ascii="Times New Roman" w:hAnsi="Times New Roman" w:eastAsia="宋体" w:cs="Times New Roman"/>
          <w:color w:val="auto"/>
          <w:kern w:val="0"/>
          <w:sz w:val="24"/>
          <w:highlight w:val="none"/>
          <w:lang w:eastAsia="zh-CN" w:bidi="en-US"/>
        </w:rPr>
        <w:t>饮用水井，</w:t>
      </w:r>
      <w:r>
        <w:rPr>
          <w:rFonts w:hint="default" w:ascii="Times New Roman" w:hAnsi="Times New Roman" w:eastAsia="宋体" w:cs="Times New Roman"/>
          <w:color w:val="auto"/>
          <w:kern w:val="0"/>
          <w:sz w:val="24"/>
          <w:highlight w:val="none"/>
          <w:lang w:bidi="en-US"/>
        </w:rPr>
        <w:t>属</w:t>
      </w:r>
      <w:r>
        <w:rPr>
          <w:rFonts w:hint="default" w:ascii="Times New Roman" w:hAnsi="Times New Roman" w:eastAsia="宋体" w:cs="Times New Roman"/>
          <w:color w:val="auto"/>
          <w:kern w:val="0"/>
          <w:sz w:val="24"/>
          <w:highlight w:val="none"/>
          <w:lang w:eastAsia="zh-CN" w:bidi="en-US"/>
        </w:rPr>
        <w:t>较</w:t>
      </w:r>
      <w:r>
        <w:rPr>
          <w:rFonts w:hint="default" w:ascii="Times New Roman" w:hAnsi="Times New Roman" w:eastAsia="宋体" w:cs="Times New Roman"/>
          <w:color w:val="auto"/>
          <w:kern w:val="0"/>
          <w:sz w:val="24"/>
          <w:highlight w:val="none"/>
          <w:lang w:bidi="en-US"/>
        </w:rPr>
        <w:t>敏感，因此本工程地下水评价等级为三级。</w:t>
      </w:r>
    </w:p>
    <w:p>
      <w:pPr>
        <w:shd w:val="clear"/>
        <w:spacing w:line="360" w:lineRule="auto"/>
        <w:ind w:firstLine="480" w:firstLineChars="200"/>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val="en-US" w:eastAsia="zh-CN" w:bidi="en-US"/>
        </w:rPr>
        <w:t>2</w:t>
      </w:r>
      <w:r>
        <w:rPr>
          <w:rFonts w:hint="default"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bidi="en-US"/>
        </w:rPr>
        <w:t>评价范围</w:t>
      </w:r>
    </w:p>
    <w:p>
      <w:pPr>
        <w:shd w:val="clear"/>
        <w:spacing w:line="360" w:lineRule="auto"/>
        <w:ind w:firstLine="480" w:firstLineChars="200"/>
        <w:rPr>
          <w:rFonts w:hint="default" w:ascii="Times New Roman" w:hAnsi="Times New Roman" w:eastAsia="宋体" w:cs="Times New Roman"/>
          <w:color w:val="auto"/>
          <w:sz w:val="24"/>
          <w:highlight w:val="none"/>
        </w:rPr>
      </w:pPr>
      <w:bookmarkStart w:id="121" w:name="_Toc464475332"/>
      <w:r>
        <w:rPr>
          <w:rFonts w:hint="default" w:ascii="Times New Roman" w:hAnsi="Times New Roman" w:eastAsia="宋体" w:cs="Times New Roman"/>
          <w:color w:val="auto"/>
          <w:sz w:val="24"/>
          <w:highlight w:val="none"/>
        </w:rPr>
        <w:t>该项目评价范围根据评价工作等级、水文地质条件及地下水环境保护目标等因素进行确定，结合《环境影响评价技术导则地下水环境》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HJ610-2016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的要求，确定评价范围为：以项目厂址为中心，向地下水下游方向外扩2km，两侧及上游各外扩1.0km的范围，评价面积6.0km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p>
      <w:pPr>
        <w:pStyle w:val="6"/>
        <w:keepLines w:val="0"/>
        <w:shd w:val="clea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2.6.3地表水评价工作等级及评价范围</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根据《环境影响评价技术导则-地表水环境》（HJ2.2-2018）地表水评价工作等级按照影响类型、排放方式、排放量或影响情况、受纳水体环境质量现状、水环境保护目标等综合确定。</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本项目属于水污染影响型建设项目，根据排放方式和废水排放量划分评价工作等级，详见表2.6-</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表2.6-</w:t>
      </w:r>
      <w:r>
        <w:rPr>
          <w:rFonts w:hint="default" w:ascii="Times New Roman" w:hAnsi="Times New Roman" w:eastAsia="宋体" w:cs="Times New Roman"/>
          <w:b/>
          <w:color w:val="auto"/>
          <w:sz w:val="24"/>
          <w:highlight w:val="none"/>
          <w:lang w:val="en-US" w:eastAsia="zh-CN"/>
        </w:rPr>
        <w:t>10</w:t>
      </w:r>
      <w:r>
        <w:rPr>
          <w:rFonts w:hint="default" w:ascii="Times New Roman" w:hAnsi="Times New Roman" w:eastAsia="宋体" w:cs="Times New Roman"/>
          <w:b/>
          <w:color w:val="auto"/>
          <w:sz w:val="24"/>
          <w:highlight w:val="none"/>
        </w:rPr>
        <w:t xml:space="preserve">  水污染影响型建设项目评价等级判定</w:t>
      </w:r>
    </w:p>
    <w:tbl>
      <w:tblPr>
        <w:tblStyle w:val="91"/>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2098"/>
        <w:gridCol w:w="3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5" w:type="dxa"/>
            <w:vMerge w:val="restart"/>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评价等级</w:t>
            </w:r>
          </w:p>
        </w:tc>
        <w:tc>
          <w:tcPr>
            <w:tcW w:w="6005" w:type="dxa"/>
            <w:gridSpan w:val="2"/>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5" w:type="dxa"/>
            <w:vMerge w:val="continue"/>
            <w:vAlign w:val="center"/>
          </w:tcPr>
          <w:p>
            <w:pPr>
              <w:pStyle w:val="398"/>
              <w:shd w:val="clear"/>
              <w:spacing w:line="240" w:lineRule="auto"/>
              <w:ind w:firstLine="420"/>
              <w:rPr>
                <w:rFonts w:hint="default" w:ascii="Times New Roman" w:hAnsi="Times New Roman" w:eastAsia="宋体" w:cs="Times New Roman"/>
                <w:color w:val="auto"/>
                <w:sz w:val="21"/>
                <w:szCs w:val="21"/>
                <w:highlight w:val="none"/>
              </w:rPr>
            </w:pPr>
          </w:p>
        </w:tc>
        <w:tc>
          <w:tcPr>
            <w:tcW w:w="2098"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排放方式</w:t>
            </w:r>
          </w:p>
        </w:tc>
        <w:tc>
          <w:tcPr>
            <w:tcW w:w="3907"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废水排放量Q/（m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/d）；水污染当量数W/（无量纲）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5"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w:t>
            </w:r>
          </w:p>
        </w:tc>
        <w:tc>
          <w:tcPr>
            <w:tcW w:w="2098"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直接排放</w:t>
            </w:r>
          </w:p>
        </w:tc>
        <w:tc>
          <w:tcPr>
            <w:tcW w:w="3907"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Q≥20000 或 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5"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w:t>
            </w:r>
          </w:p>
        </w:tc>
        <w:tc>
          <w:tcPr>
            <w:tcW w:w="2098"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直接排放</w:t>
            </w:r>
          </w:p>
        </w:tc>
        <w:tc>
          <w:tcPr>
            <w:tcW w:w="3907"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5"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三级A</w:t>
            </w:r>
          </w:p>
        </w:tc>
        <w:tc>
          <w:tcPr>
            <w:tcW w:w="2098"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直接排放</w:t>
            </w:r>
          </w:p>
        </w:tc>
        <w:tc>
          <w:tcPr>
            <w:tcW w:w="3907"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Q&lt;200 或 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5"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三级B</w:t>
            </w:r>
          </w:p>
        </w:tc>
        <w:tc>
          <w:tcPr>
            <w:tcW w:w="2098"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间接排放</w:t>
            </w:r>
          </w:p>
        </w:tc>
        <w:tc>
          <w:tcPr>
            <w:tcW w:w="3907" w:type="dxa"/>
            <w:vAlign w:val="center"/>
          </w:tcPr>
          <w:p>
            <w:pPr>
              <w:pStyle w:val="398"/>
              <w:shd w:val="clear"/>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本项目废水来源主要为工作人员产生的生活污水，</w:t>
      </w:r>
      <w:r>
        <w:rPr>
          <w:rFonts w:hint="default" w:ascii="Times New Roman" w:hAnsi="Times New Roman" w:eastAsia="宋体" w:cs="Times New Roman"/>
          <w:color w:val="auto"/>
          <w:sz w:val="24"/>
          <w:highlight w:val="none"/>
          <w:lang w:eastAsia="zh-CN"/>
        </w:rPr>
        <w:t>生活污水排入防渗化粪池，定期清掏；生产废水循环使用，不外排，</w:t>
      </w:r>
      <w:r>
        <w:rPr>
          <w:rFonts w:hint="default" w:ascii="Times New Roman" w:hAnsi="Times New Roman" w:eastAsia="宋体" w:cs="Times New Roman"/>
          <w:color w:val="auto"/>
          <w:sz w:val="24"/>
          <w:highlight w:val="none"/>
        </w:rPr>
        <w:t>因此评价工作等级为三级B。不进行地表水环境影响预测，仅对水污染控制措施有效性进行评价。</w:t>
      </w:r>
    </w:p>
    <w:p>
      <w:pPr>
        <w:pStyle w:val="6"/>
        <w:keepLines w:val="0"/>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2.6.3声环境评价工作等级及评价范围</w:t>
      </w:r>
      <w:bookmarkEnd w:id="120"/>
      <w:bookmarkEnd w:id="121"/>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评价工作等级</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本项目位于《声环境质量标准》（GB3096-2008）规定的</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类区，根据《环境影响评价技术导则-声环境》（HJ2.4-2009）中有关声环境影响评价工作等级划分原则，本项目噪声环境影响评价工作等级定为</w:t>
      </w:r>
      <w:r>
        <w:rPr>
          <w:rFonts w:hint="default" w:ascii="Times New Roman" w:hAnsi="Times New Roman" w:eastAsia="宋体" w:cs="Times New Roman"/>
          <w:color w:val="auto"/>
          <w:sz w:val="24"/>
          <w:highlight w:val="none"/>
          <w:lang w:eastAsia="zh-CN"/>
        </w:rPr>
        <w:t>二</w:t>
      </w:r>
      <w:r>
        <w:rPr>
          <w:rFonts w:hint="default" w:ascii="Times New Roman" w:hAnsi="Times New Roman" w:eastAsia="宋体" w:cs="Times New Roman"/>
          <w:color w:val="auto"/>
          <w:sz w:val="24"/>
          <w:highlight w:val="none"/>
        </w:rPr>
        <w:t>级。详见表2.6-</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表2.6-</w:t>
      </w:r>
      <w:r>
        <w:rPr>
          <w:rFonts w:hint="default" w:ascii="Times New Roman" w:hAnsi="Times New Roman" w:eastAsia="宋体" w:cs="Times New Roman"/>
          <w:b/>
          <w:color w:val="auto"/>
          <w:sz w:val="24"/>
          <w:highlight w:val="none"/>
          <w:lang w:val="en-US" w:eastAsia="zh-CN"/>
        </w:rPr>
        <w:t xml:space="preserve">11   </w:t>
      </w:r>
      <w:r>
        <w:rPr>
          <w:rFonts w:hint="default" w:ascii="Times New Roman" w:hAnsi="Times New Roman" w:eastAsia="宋体" w:cs="Times New Roman"/>
          <w:b/>
          <w:color w:val="auto"/>
          <w:sz w:val="24"/>
          <w:highlight w:val="none"/>
        </w:rPr>
        <w:t xml:space="preserve"> 声环境影响评价等级划分一览表</w:t>
      </w:r>
    </w:p>
    <w:tbl>
      <w:tblPr>
        <w:tblStyle w:val="90"/>
        <w:tblW w:w="82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56"/>
        <w:gridCol w:w="1287"/>
        <w:gridCol w:w="1977"/>
        <w:gridCol w:w="1939"/>
        <w:gridCol w:w="19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443"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widowControl/>
              <w:shd w:val="clear"/>
              <w:jc w:val="righ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影响因素</w:t>
            </w:r>
          </w:p>
          <w:p>
            <w:pPr>
              <w:shd w:val="clear"/>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评价等级</w:t>
            </w:r>
          </w:p>
        </w:tc>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声环境功能区</w:t>
            </w:r>
          </w:p>
        </w:tc>
        <w:tc>
          <w:tcPr>
            <w:tcW w:w="1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评价范围内敏感目标声级增量</w:t>
            </w:r>
          </w:p>
        </w:tc>
        <w:tc>
          <w:tcPr>
            <w:tcW w:w="19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影响人口变化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评价等</w:t>
            </w:r>
          </w:p>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级判据</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一级</w:t>
            </w:r>
          </w:p>
        </w:tc>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0类</w:t>
            </w:r>
          </w:p>
        </w:tc>
        <w:tc>
          <w:tcPr>
            <w:tcW w:w="1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&gt;5dB</w:t>
            </w:r>
          </w:p>
        </w:tc>
        <w:tc>
          <w:tcPr>
            <w:tcW w:w="19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显著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0"/>
                <w:szCs w:val="21"/>
                <w:highlight w:val="none"/>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二级</w:t>
            </w:r>
          </w:p>
        </w:tc>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1类，2类</w:t>
            </w:r>
          </w:p>
        </w:tc>
        <w:tc>
          <w:tcPr>
            <w:tcW w:w="1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&gt;3dB且&lt;5dB</w:t>
            </w:r>
          </w:p>
        </w:tc>
        <w:tc>
          <w:tcPr>
            <w:tcW w:w="19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较多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kern w:val="0"/>
                <w:szCs w:val="21"/>
                <w:highlight w:val="none"/>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三级</w:t>
            </w:r>
          </w:p>
        </w:tc>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3类，4类</w:t>
            </w:r>
          </w:p>
        </w:tc>
        <w:tc>
          <w:tcPr>
            <w:tcW w:w="1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&lt;3dB</w:t>
            </w:r>
          </w:p>
        </w:tc>
        <w:tc>
          <w:tcPr>
            <w:tcW w:w="19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不大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本项目</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项目情况</w:t>
            </w:r>
          </w:p>
        </w:tc>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w:t>
            </w:r>
            <w:r>
              <w:rPr>
                <w:rFonts w:hint="default" w:ascii="Times New Roman" w:hAnsi="Times New Roman" w:eastAsia="宋体" w:cs="Times New Roman"/>
                <w:color w:val="auto"/>
                <w:kern w:val="0"/>
                <w:szCs w:val="21"/>
                <w:highlight w:val="none"/>
                <w:lang w:eastAsia="zh-TW"/>
              </w:rPr>
              <w:t>类</w:t>
            </w:r>
          </w:p>
        </w:tc>
        <w:tc>
          <w:tcPr>
            <w:tcW w:w="1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环境敏</w:t>
            </w:r>
            <w:r>
              <w:rPr>
                <w:rFonts w:hint="default" w:ascii="Times New Roman" w:hAnsi="Times New Roman" w:eastAsia="宋体" w:cs="Times New Roman"/>
                <w:color w:val="auto"/>
                <w:kern w:val="0"/>
                <w:szCs w:val="21"/>
                <w:highlight w:val="none"/>
                <w:lang w:eastAsia="zh-TW"/>
              </w:rPr>
              <w:t>感目标噪声级增加量&lt;3dB</w:t>
            </w:r>
          </w:p>
        </w:tc>
        <w:tc>
          <w:tcPr>
            <w:tcW w:w="19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建设前后变化不大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评价等级</w:t>
            </w:r>
          </w:p>
        </w:tc>
        <w:tc>
          <w:tcPr>
            <w:tcW w:w="581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CN"/>
              </w:rPr>
              <w:t>二</w:t>
            </w:r>
            <w:r>
              <w:rPr>
                <w:rFonts w:hint="default" w:ascii="Times New Roman" w:hAnsi="Times New Roman" w:eastAsia="宋体" w:cs="Times New Roman"/>
                <w:color w:val="auto"/>
                <w:kern w:val="0"/>
                <w:szCs w:val="21"/>
                <w:highlight w:val="none"/>
                <w:lang w:eastAsia="zh-TW"/>
              </w:rPr>
              <w:t>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判定结果</w:t>
            </w:r>
          </w:p>
        </w:tc>
        <w:tc>
          <w:tcPr>
            <w:tcW w:w="581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本项目噪声评价工作等级确定为</w:t>
            </w:r>
            <w:r>
              <w:rPr>
                <w:rFonts w:hint="default" w:ascii="Times New Roman" w:hAnsi="Times New Roman" w:eastAsia="宋体" w:cs="Times New Roman"/>
                <w:color w:val="auto"/>
                <w:kern w:val="0"/>
                <w:szCs w:val="21"/>
                <w:highlight w:val="none"/>
                <w:lang w:eastAsia="zh-CN"/>
              </w:rPr>
              <w:t>二</w:t>
            </w:r>
            <w:r>
              <w:rPr>
                <w:rFonts w:hint="default" w:ascii="Times New Roman" w:hAnsi="Times New Roman" w:eastAsia="宋体" w:cs="Times New Roman"/>
                <w:color w:val="auto"/>
                <w:kern w:val="0"/>
                <w:szCs w:val="21"/>
                <w:highlight w:val="none"/>
                <w:lang w:eastAsia="zh-TW"/>
              </w:rPr>
              <w:t>级</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评价范围</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声环境评价范围为拟建厂址周围200m的范围内。</w:t>
      </w:r>
    </w:p>
    <w:p>
      <w:pPr>
        <w:pStyle w:val="6"/>
        <w:keepLines w:val="0"/>
        <w:shd w:val="clear"/>
        <w:rPr>
          <w:rFonts w:hint="default" w:ascii="Times New Roman" w:hAnsi="Times New Roman" w:eastAsia="宋体" w:cs="Times New Roman"/>
          <w:color w:val="auto"/>
          <w:highlight w:val="none"/>
        </w:rPr>
      </w:pPr>
      <w:bookmarkStart w:id="122" w:name="_Toc464475333"/>
      <w:r>
        <w:rPr>
          <w:rFonts w:hint="default" w:ascii="Times New Roman" w:hAnsi="Times New Roman" w:eastAsia="宋体" w:cs="Times New Roman"/>
          <w:color w:val="auto"/>
          <w:highlight w:val="none"/>
        </w:rPr>
        <w:t>2.6.4生态环境评价工作等级及评价范围</w:t>
      </w:r>
      <w:bookmarkEnd w:id="122"/>
    </w:p>
    <w:p>
      <w:pPr>
        <w:shd w:val="clear"/>
        <w:overflowPunct w:val="0"/>
        <w:spacing w:line="360" w:lineRule="auto"/>
        <w:ind w:firstLine="480"/>
        <w:rPr>
          <w:rFonts w:hint="default" w:ascii="Times New Roman" w:hAnsi="Times New Roman" w:eastAsia="宋体" w:cs="Times New Roman"/>
          <w:color w:val="auto"/>
          <w:kern w:val="0"/>
          <w:sz w:val="24"/>
          <w:highlight w:val="none"/>
          <w:lang w:bidi="ar-OM"/>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位于</w:t>
      </w:r>
      <w:r>
        <w:rPr>
          <w:rFonts w:hint="default" w:ascii="Times New Roman" w:hAnsi="Times New Roman" w:eastAsia="宋体" w:cs="Times New Roman"/>
          <w:color w:val="auto"/>
          <w:sz w:val="24"/>
          <w:szCs w:val="24"/>
          <w:highlight w:val="none"/>
          <w:lang w:val="en-US" w:eastAsia="zh-CN"/>
        </w:rPr>
        <w:t>乌拉特前旗额尔登布拉格苏木旧乡政府院内，利用院内现有生产厂房进行建设，不新增占地</w:t>
      </w:r>
      <w:r>
        <w:rPr>
          <w:rFonts w:hint="default" w:ascii="Times New Roman" w:hAnsi="Times New Roman" w:eastAsia="宋体" w:cs="Times New Roman"/>
          <w:color w:val="auto"/>
          <w:sz w:val="24"/>
          <w:szCs w:val="24"/>
          <w:lang w:eastAsia="zh-CN"/>
        </w:rPr>
        <w:t>；并且</w:t>
      </w:r>
      <w:r>
        <w:rPr>
          <w:rFonts w:hint="default" w:ascii="Times New Roman" w:hAnsi="Times New Roman" w:eastAsia="宋体" w:cs="Times New Roman"/>
          <w:color w:val="auto"/>
          <w:sz w:val="24"/>
          <w:szCs w:val="24"/>
        </w:rPr>
        <w:t>根据现场调查，</w:t>
      </w:r>
      <w:r>
        <w:rPr>
          <w:rFonts w:hint="default" w:ascii="Times New Roman" w:hAnsi="Times New Roman" w:eastAsia="宋体" w:cs="Times New Roman"/>
          <w:color w:val="auto"/>
          <w:sz w:val="24"/>
          <w:szCs w:val="24"/>
          <w:lang w:eastAsia="zh-CN"/>
        </w:rPr>
        <w:t>拟建厂区内无自然植被覆盖，</w:t>
      </w:r>
      <w:r>
        <w:rPr>
          <w:rFonts w:hint="default" w:ascii="Times New Roman" w:hAnsi="Times New Roman" w:eastAsia="宋体" w:cs="Times New Roman"/>
          <w:color w:val="auto"/>
          <w:sz w:val="24"/>
          <w:szCs w:val="24"/>
        </w:rPr>
        <w:t>根据《环境影响评价技术导则生态影响》（HJ19-2011），项目</w:t>
      </w:r>
      <w:r>
        <w:rPr>
          <w:rFonts w:hint="default" w:ascii="Times New Roman" w:hAnsi="Times New Roman" w:eastAsia="宋体" w:cs="Times New Roman"/>
          <w:color w:val="auto"/>
          <w:sz w:val="24"/>
          <w:szCs w:val="32"/>
        </w:rPr>
        <w:t>生态影响</w:t>
      </w:r>
      <w:r>
        <w:rPr>
          <w:rFonts w:hint="default" w:ascii="Times New Roman" w:hAnsi="Times New Roman" w:eastAsia="宋体" w:cs="Times New Roman"/>
          <w:color w:val="auto"/>
          <w:sz w:val="24"/>
          <w:szCs w:val="32"/>
          <w:lang w:eastAsia="zh-CN"/>
        </w:rPr>
        <w:t>为一般分析</w:t>
      </w:r>
      <w:r>
        <w:rPr>
          <w:rFonts w:hint="default" w:ascii="Times New Roman" w:hAnsi="Times New Roman" w:eastAsia="宋体" w:cs="Times New Roman"/>
          <w:color w:val="auto"/>
          <w:sz w:val="24"/>
          <w:szCs w:val="32"/>
        </w:rPr>
        <w:t>。</w:t>
      </w:r>
    </w:p>
    <w:p>
      <w:pPr>
        <w:pStyle w:val="6"/>
        <w:keepLines w:val="0"/>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2.6.5土壤环境评价工作等级及评价范围</w:t>
      </w:r>
    </w:p>
    <w:p>
      <w:pPr>
        <w:pageBreakBefore w:val="0"/>
        <w:widowControl w:val="0"/>
        <w:shd w:val="clear"/>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（1）评价等级</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 土壤环境》（HJ964- 2018），本项目为污染影响</w:t>
      </w:r>
      <w:r>
        <w:rPr>
          <w:rFonts w:hint="default" w:ascii="Times New Roman" w:hAnsi="Times New Roman" w:eastAsia="宋体" w:cs="Times New Roman"/>
          <w:color w:val="auto"/>
          <w:sz w:val="24"/>
          <w:highlight w:val="none"/>
          <w:lang w:eastAsia="zh-CN"/>
        </w:rPr>
        <w:t>型</w:t>
      </w:r>
      <w:r>
        <w:rPr>
          <w:rFonts w:hint="default" w:ascii="Times New Roman" w:hAnsi="Times New Roman" w:eastAsia="宋体" w:cs="Times New Roman"/>
          <w:color w:val="auto"/>
          <w:sz w:val="24"/>
          <w:highlight w:val="none"/>
        </w:rPr>
        <w:t>企业，土壤环境评价工作等级应根据项目类别、占地规模与敏感程度划分评价工作等级。</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1）项目类别</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 土壤环境》（HJ964- 2018）附录A土壤环境影响评价项目类别，</w:t>
      </w:r>
      <w:r>
        <w:rPr>
          <w:rFonts w:hint="default" w:ascii="Times New Roman" w:hAnsi="Times New Roman" w:eastAsia="宋体" w:cs="Times New Roman"/>
          <w:color w:val="auto"/>
          <w:kern w:val="0"/>
          <w:sz w:val="24"/>
          <w:highlight w:val="none"/>
          <w:lang w:bidi="en-US"/>
        </w:rPr>
        <w:t>本项目</w:t>
      </w:r>
      <w:r>
        <w:rPr>
          <w:rFonts w:hint="default" w:ascii="Times New Roman" w:hAnsi="Times New Roman" w:eastAsia="宋体" w:cs="Times New Roman"/>
          <w:bCs/>
          <w:color w:val="auto"/>
          <w:kern w:val="0"/>
          <w:sz w:val="24"/>
          <w:highlight w:val="none"/>
          <w:lang w:val="en-US" w:eastAsia="zh-CN"/>
        </w:rPr>
        <w:t>利用废旧塑料生产可再生塑料颗粒</w:t>
      </w:r>
      <w:r>
        <w:rPr>
          <w:rFonts w:hint="default" w:ascii="Times New Roman" w:hAnsi="Times New Roman" w:eastAsia="宋体" w:cs="Times New Roman"/>
          <w:color w:val="auto"/>
          <w:kern w:val="0"/>
          <w:sz w:val="24"/>
          <w:highlight w:val="none"/>
          <w:lang w:bidi="en-US"/>
        </w:rPr>
        <w:t>属于</w:t>
      </w:r>
      <w:r>
        <w:rPr>
          <w:rFonts w:hint="default" w:ascii="Times New Roman" w:hAnsi="Times New Roman" w:eastAsia="宋体" w:cs="Times New Roman"/>
          <w:color w:val="auto"/>
          <w:sz w:val="24"/>
          <w:highlight w:val="none"/>
        </w:rPr>
        <w:t>“环境和公共设施管理业-废旧资源回收利用”，</w:t>
      </w:r>
      <w:r>
        <w:rPr>
          <w:rFonts w:hint="default" w:ascii="Times New Roman" w:hAnsi="Times New Roman" w:eastAsia="宋体" w:cs="Times New Roman"/>
          <w:color w:val="auto"/>
          <w:sz w:val="24"/>
          <w:highlight w:val="none"/>
          <w:lang w:val="en-US" w:eastAsia="zh-CN"/>
        </w:rPr>
        <w:t>土壤</w:t>
      </w:r>
      <w:r>
        <w:rPr>
          <w:rFonts w:hint="default" w:ascii="Times New Roman" w:hAnsi="Times New Roman" w:eastAsia="宋体" w:cs="Times New Roman"/>
          <w:color w:val="auto"/>
          <w:kern w:val="0"/>
          <w:sz w:val="24"/>
          <w:highlight w:val="none"/>
          <w:lang w:eastAsia="zh-CN" w:bidi="en-US"/>
        </w:rPr>
        <w:t>环境影响评价项目</w:t>
      </w:r>
      <w:r>
        <w:rPr>
          <w:rFonts w:hint="default" w:ascii="Times New Roman" w:hAnsi="Times New Roman" w:eastAsia="宋体" w:cs="Times New Roman"/>
          <w:color w:val="auto"/>
          <w:kern w:val="0"/>
          <w:sz w:val="24"/>
          <w:szCs w:val="24"/>
          <w:highlight w:val="none"/>
          <w:lang w:eastAsia="zh-CN" w:bidi="en-US"/>
        </w:rPr>
        <w:t>类别属于Ⅲ类；</w:t>
      </w:r>
      <w:r>
        <w:rPr>
          <w:rFonts w:hint="default" w:ascii="Times New Roman" w:hAnsi="Times New Roman" w:eastAsia="宋体" w:cs="Times New Roman"/>
          <w:bCs/>
          <w:color w:val="auto"/>
          <w:kern w:val="0"/>
          <w:sz w:val="24"/>
          <w:highlight w:val="none"/>
          <w:lang w:eastAsia="zh-CN"/>
        </w:rPr>
        <w:t>生产滴灌带、</w:t>
      </w:r>
      <w:r>
        <w:rPr>
          <w:rFonts w:hint="default" w:ascii="Times New Roman" w:hAnsi="Times New Roman" w:eastAsia="宋体" w:cs="Times New Roman"/>
          <w:color w:val="auto"/>
          <w:sz w:val="24"/>
          <w:highlight w:val="none"/>
          <w:lang w:val="en-US" w:eastAsia="zh-CN"/>
        </w:rPr>
        <w:t>PE管材管件和地膜</w:t>
      </w:r>
      <w:r>
        <w:rPr>
          <w:rFonts w:hint="default" w:ascii="Times New Roman" w:hAnsi="Times New Roman" w:eastAsia="宋体" w:cs="Times New Roman"/>
          <w:color w:val="auto"/>
          <w:kern w:val="0"/>
          <w:sz w:val="24"/>
          <w:szCs w:val="24"/>
          <w:highlight w:val="none"/>
          <w:lang w:eastAsia="zh-CN" w:bidi="en-US"/>
        </w:rPr>
        <w:t>属于</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其他行业</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土壤</w:t>
      </w:r>
      <w:r>
        <w:rPr>
          <w:rFonts w:hint="default" w:ascii="Times New Roman" w:hAnsi="Times New Roman" w:eastAsia="宋体" w:cs="Times New Roman"/>
          <w:color w:val="auto"/>
          <w:kern w:val="0"/>
          <w:sz w:val="24"/>
          <w:szCs w:val="24"/>
          <w:highlight w:val="none"/>
          <w:lang w:eastAsia="zh-CN" w:bidi="en-US"/>
        </w:rPr>
        <w:t>环境影响评价项目类别属于Ⅳ类，</w:t>
      </w:r>
      <w:r>
        <w:rPr>
          <w:rFonts w:hint="default" w:ascii="Times New Roman" w:hAnsi="Times New Roman" w:eastAsia="宋体" w:cs="Times New Roman"/>
          <w:color w:val="auto"/>
          <w:kern w:val="0"/>
          <w:sz w:val="24"/>
          <w:szCs w:val="24"/>
          <w:highlight w:val="none"/>
          <w:lang w:val="en-US" w:eastAsia="zh-CN" w:bidi="en-US"/>
        </w:rPr>
        <w:t>因此，本项目土壤</w:t>
      </w:r>
      <w:r>
        <w:rPr>
          <w:rFonts w:hint="default" w:ascii="Times New Roman" w:hAnsi="Times New Roman" w:eastAsia="宋体" w:cs="Times New Roman"/>
          <w:color w:val="auto"/>
          <w:kern w:val="0"/>
          <w:sz w:val="24"/>
          <w:szCs w:val="24"/>
          <w:highlight w:val="none"/>
          <w:lang w:eastAsia="zh-CN" w:bidi="en-US"/>
        </w:rPr>
        <w:t>环境影响评价项目类别属于Ⅲ类。</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2）占地规模</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本项目占地面为</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kern w:val="0"/>
          <w:sz w:val="24"/>
          <w:highlight w:val="none"/>
          <w:lang w:val="en-US" w:eastAsia="zh-CN" w:bidi="ar-OM"/>
        </w:rPr>
        <w:t>7056</w:t>
      </w:r>
      <w:r>
        <w:rPr>
          <w:rFonts w:hint="default" w:ascii="Times New Roman" w:hAnsi="Times New Roman" w:eastAsia="宋体" w:cs="Times New Roman"/>
          <w:color w:val="auto"/>
          <w:sz w:val="24"/>
          <w:highlight w:val="none"/>
        </w:rPr>
        <w:t>hm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，属于小型规模（≤5hm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3）土壤环境敏感程度</w:t>
      </w:r>
    </w:p>
    <w:p>
      <w:pPr>
        <w:shd w:val="clea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项目位于内蒙古自治区巴彦淖尔市</w:t>
      </w:r>
      <w:r>
        <w:rPr>
          <w:rFonts w:hint="default" w:ascii="Times New Roman" w:hAnsi="Times New Roman" w:eastAsia="宋体" w:cs="Times New Roman"/>
          <w:color w:val="auto"/>
          <w:sz w:val="24"/>
          <w:highlight w:val="none"/>
          <w:lang w:eastAsia="zh-CN"/>
        </w:rPr>
        <w:t>乌拉特前旗额尔登布拉格苏木旧乡政府院内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厂区外</w:t>
      </w:r>
      <w:r>
        <w:rPr>
          <w:rFonts w:hint="default" w:ascii="Times New Roman" w:hAnsi="Times New Roman" w:eastAsia="宋体" w:cs="Times New Roman"/>
          <w:color w:val="auto"/>
          <w:sz w:val="24"/>
          <w:highlight w:val="none"/>
          <w:lang w:val="en-US" w:eastAsia="zh-CN"/>
        </w:rPr>
        <w:t>50m范围内存在</w:t>
      </w:r>
      <w:r>
        <w:rPr>
          <w:rFonts w:hint="default" w:ascii="Times New Roman" w:hAnsi="Times New Roman" w:eastAsia="宋体" w:cs="Times New Roman"/>
          <w:color w:val="auto"/>
          <w:sz w:val="24"/>
          <w:highlight w:val="none"/>
          <w:lang w:val="en-US" w:eastAsia="zh-CN"/>
        </w:rPr>
        <w:t>林地</w:t>
      </w:r>
      <w:r>
        <w:rPr>
          <w:rFonts w:hint="default" w:ascii="Times New Roman" w:hAnsi="Times New Roman" w:eastAsia="宋体" w:cs="Times New Roman"/>
          <w:color w:val="auto"/>
          <w:sz w:val="24"/>
          <w:highlight w:val="none"/>
          <w:lang w:val="en-US" w:eastAsia="zh-CN"/>
        </w:rPr>
        <w:t>等土壤环境敏感目标，</w:t>
      </w:r>
      <w:r>
        <w:rPr>
          <w:rFonts w:hint="default" w:ascii="Times New Roman" w:hAnsi="Times New Roman" w:eastAsia="宋体" w:cs="Times New Roman"/>
          <w:bCs/>
          <w:color w:val="auto"/>
          <w:sz w:val="24"/>
          <w:highlight w:val="none"/>
        </w:rPr>
        <w:t>因此，土壤环境敏感程度为“敏感”。</w:t>
      </w:r>
    </w:p>
    <w:p>
      <w:pPr>
        <w:shd w:val="clear"/>
        <w:spacing w:line="240" w:lineRule="auto"/>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表2.6-</w:t>
      </w:r>
      <w:r>
        <w:rPr>
          <w:rFonts w:hint="default" w:ascii="Times New Roman" w:hAnsi="Times New Roman" w:eastAsia="宋体" w:cs="Times New Roman"/>
          <w:b/>
          <w:color w:val="auto"/>
          <w:sz w:val="24"/>
          <w:highlight w:val="none"/>
          <w:lang w:val="en-US" w:eastAsia="zh-CN"/>
        </w:rPr>
        <w:t>12</w:t>
      </w:r>
      <w:r>
        <w:rPr>
          <w:rFonts w:hint="default" w:ascii="Times New Roman" w:hAnsi="Times New Roman" w:eastAsia="宋体" w:cs="Times New Roman"/>
          <w:b/>
          <w:color w:val="auto"/>
          <w:sz w:val="24"/>
          <w:highlight w:val="none"/>
        </w:rPr>
        <w:t xml:space="preserve">    污染影响型敏感程度分级表</w:t>
      </w:r>
    </w:p>
    <w:tbl>
      <w:tblPr>
        <w:tblStyle w:val="91"/>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6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敏感程度</w:t>
            </w:r>
          </w:p>
        </w:tc>
        <w:tc>
          <w:tcPr>
            <w:tcW w:w="6548" w:type="dxa"/>
            <w:vAlign w:val="center"/>
          </w:tcPr>
          <w:p>
            <w:pPr>
              <w:shd w:val="clea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敏感</w:t>
            </w:r>
          </w:p>
        </w:tc>
        <w:tc>
          <w:tcPr>
            <w:tcW w:w="6548" w:type="dxa"/>
            <w:vAlign w:val="center"/>
          </w:tcPr>
          <w:p>
            <w:pPr>
              <w:shd w:val="clea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较敏感</w:t>
            </w:r>
          </w:p>
        </w:tc>
        <w:tc>
          <w:tcPr>
            <w:tcW w:w="6548" w:type="dxa"/>
            <w:vAlign w:val="center"/>
          </w:tcPr>
          <w:p>
            <w:pPr>
              <w:shd w:val="clea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vAlign w:val="center"/>
          </w:tcPr>
          <w:p>
            <w:pPr>
              <w:shd w:val="clea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不敏感</w:t>
            </w:r>
          </w:p>
        </w:tc>
        <w:tc>
          <w:tcPr>
            <w:tcW w:w="6548" w:type="dxa"/>
            <w:vAlign w:val="center"/>
          </w:tcPr>
          <w:p>
            <w:pPr>
              <w:shd w:val="clea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其他情况</w:t>
            </w:r>
          </w:p>
        </w:tc>
      </w:tr>
    </w:tbl>
    <w:p>
      <w:pPr>
        <w:shd w:val="clear"/>
        <w:spacing w:line="360" w:lineRule="auto"/>
        <w:ind w:firstLine="480" w:firstLineChars="200"/>
        <w:rPr>
          <w:rFonts w:hint="default" w:ascii="Times New Roman" w:hAnsi="Times New Roman" w:eastAsia="宋体" w:cs="Times New Roman"/>
          <w:b w:val="0"/>
          <w:bCs w:val="0"/>
          <w:color w:val="auto"/>
          <w:sz w:val="24"/>
          <w:szCs w:val="32"/>
          <w:highlight w:val="none"/>
        </w:rPr>
      </w:pPr>
      <w:r>
        <w:rPr>
          <w:rFonts w:hint="default" w:ascii="Times New Roman" w:hAnsi="Times New Roman" w:eastAsia="宋体" w:cs="Times New Roman"/>
          <w:b w:val="0"/>
          <w:bCs w:val="0"/>
          <w:color w:val="auto"/>
          <w:sz w:val="24"/>
          <w:szCs w:val="32"/>
          <w:highlight w:val="none"/>
        </w:rPr>
        <w:t>4）评价工作等级划分</w:t>
      </w:r>
    </w:p>
    <w:p>
      <w:pPr>
        <w:shd w:val="clea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根据土壤环境影响评价项目类别、占地规模与敏感程度划分评价工作等级，本项目土壤环境影响评价工作等级判定依据见表2.6-1</w:t>
      </w:r>
      <w:r>
        <w:rPr>
          <w:rFonts w:hint="default" w:ascii="Times New Roman" w:hAnsi="Times New Roman" w:eastAsia="宋体"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rPr>
        <w:t>。</w:t>
      </w:r>
    </w:p>
    <w:p>
      <w:pPr>
        <w:shd w:val="clear"/>
        <w:spacing w:line="44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表2.6-</w:t>
      </w:r>
      <w:r>
        <w:rPr>
          <w:rFonts w:hint="default" w:ascii="Times New Roman" w:hAnsi="Times New Roman" w:eastAsia="宋体" w:cs="Times New Roman"/>
          <w:b/>
          <w:color w:val="auto"/>
          <w:sz w:val="24"/>
          <w:highlight w:val="none"/>
          <w:lang w:val="en-US" w:eastAsia="zh-CN"/>
        </w:rPr>
        <w:t>13</w:t>
      </w:r>
      <w:r>
        <w:rPr>
          <w:rFonts w:hint="default" w:ascii="Times New Roman" w:hAnsi="Times New Roman" w:eastAsia="宋体" w:cs="Times New Roman"/>
          <w:b/>
          <w:color w:val="auto"/>
          <w:sz w:val="24"/>
          <w:highlight w:val="none"/>
        </w:rPr>
        <w:t xml:space="preserve">      评价工作等级判定表</w:t>
      </w:r>
    </w:p>
    <w:tbl>
      <w:tblPr>
        <w:tblStyle w:val="91"/>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689"/>
        <w:gridCol w:w="690"/>
        <w:gridCol w:w="689"/>
        <w:gridCol w:w="690"/>
        <w:gridCol w:w="689"/>
        <w:gridCol w:w="689"/>
        <w:gridCol w:w="689"/>
        <w:gridCol w:w="691"/>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2052" w:type="dxa"/>
            <w:vMerge w:val="restart"/>
            <w:vAlign w:val="center"/>
            <mc:AlternateContent>
              <mc:Choice Requires="wpsCustomData">
                <wpsCustomData:diagonals>
                  <wpsCustomData:diagonal from="14600" to="30000">
                    <wpsCustomData:border w:val="single" w:color="auto" w:sz="4" w:space="0"/>
                  </wpsCustomData:diagonal>
                  <wpsCustomData:diagonal from="6200" to="30000">
                    <wpsCustomData:border w:val="single" w:color="auto" w:sz="4" w:space="0"/>
                  </wpsCustomData:diagonal>
                </wpsCustomData:diagonals>
              </mc:Choice>
            </mc:AlternateContent>
          </w:tcPr>
          <w:p>
            <w:pPr>
              <w:pStyle w:val="23"/>
              <w:shd w:val="clear"/>
              <w:snapToGrid w:val="0"/>
              <w:spacing w:after="0"/>
              <w:ind w:left="0" w:leftChars="0" w:firstLine="0" w:firstLineChars="0"/>
              <w:jc w:val="center"/>
              <w:rPr>
                <w:rFonts w:hint="default" w:ascii="Times New Roman" w:hAnsi="Times New Roman" w:eastAsia="宋体" w:cs="Times New Roman"/>
                <w:bCs/>
                <w:color w:val="auto"/>
                <w:sz w:val="21"/>
                <w:szCs w:val="21"/>
                <w:highlight w:val="none"/>
              </w:rPr>
            </w:pPr>
          </w:p>
          <w:p>
            <w:pPr>
              <w:pStyle w:val="23"/>
              <w:shd w:val="clear"/>
              <w:snapToGrid w:val="0"/>
              <w:spacing w:after="0" w:line="240" w:lineRule="auto"/>
              <w:ind w:left="0" w:leftChars="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敏感</w:t>
            </w:r>
          </w:p>
          <w:p>
            <w:pPr>
              <w:pStyle w:val="23"/>
              <w:shd w:val="clear"/>
              <w:snapToGrid w:val="0"/>
              <w:spacing w:after="0" w:line="240" w:lineRule="auto"/>
              <w:ind w:left="0" w:leftChars="0" w:firstLine="0" w:firstLineChars="0"/>
              <w:jc w:val="both"/>
              <mc:AlternateContent>
                <mc:Choice Requires="wpsCustomData">
                  <wpsCustomData:diagonalParaType/>
                </mc:Choice>
              </mc:AlternateConten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程度</w:t>
            </w:r>
          </w:p>
          <w:p>
            <w:pPr>
              <w:pStyle w:val="23"/>
              <w:shd w:val="clear"/>
              <w:snapToGrid w:val="0"/>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评价</w:t>
            </w:r>
          </w:p>
          <w:p>
            <w:pPr>
              <w:pStyle w:val="23"/>
              <w:shd w:val="clear"/>
              <w:snapToGrid w:val="0"/>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工作等级</w:t>
            </w:r>
          </w:p>
          <w:p>
            <w:pPr>
              <w:pStyle w:val="23"/>
              <w:shd w:val="clear"/>
              <w:snapToGrid w:val="0"/>
              <w:spacing w:after="0" w:line="240" w:lineRule="auto"/>
              <w:ind w:left="0" w:leftChars="0" w:firstLine="0" w:firstLineChars="0"/>
              <w:jc w:val="center"/>
              <mc:AlternateContent>
                <mc:Choice Requires="wpsCustomData">
                  <wpsCustomData:diagonalParaType/>
                </mc:Choice>
              </mc:AlternateContent>
              <w:rPr>
                <w:rFonts w:hint="default" w:ascii="Times New Roman" w:hAnsi="Times New Roman" w:eastAsia="宋体" w:cs="Times New Roman"/>
                <w:bCs/>
                <w:color w:val="auto"/>
                <w:sz w:val="21"/>
                <w:szCs w:val="21"/>
                <w:highlight w:val="none"/>
              </w:rPr>
            </w:pPr>
          </w:p>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占地</w:t>
            </w:r>
          </w:p>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规</w:t>
            </w:r>
            <w:r>
              <w:rPr>
                <w:rFonts w:hint="default" w:ascii="Times New Roman" w:hAnsi="Times New Roman" w:eastAsia="宋体" w:cs="Times New Roman"/>
                <w:bCs/>
                <w:color w:val="auto"/>
                <w:sz w:val="21"/>
                <w:szCs w:val="21"/>
                <w:highlight w:val="none"/>
                <w:lang w:eastAsia="zh-CN"/>
              </w:rPr>
              <w:t>模</w:t>
            </w:r>
          </w:p>
        </w:tc>
        <w:tc>
          <w:tcPr>
            <w:tcW w:w="2068" w:type="dxa"/>
            <w:gridSpan w:val="3"/>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Ⅰ</w:t>
            </w:r>
            <w:r>
              <w:rPr>
                <w:rFonts w:hint="default" w:ascii="Times New Roman" w:hAnsi="Times New Roman" w:eastAsia="宋体" w:cs="Times New Roman"/>
                <w:bCs/>
                <w:color w:val="auto"/>
                <w:sz w:val="21"/>
                <w:szCs w:val="21"/>
                <w:highlight w:val="none"/>
              </w:rPr>
              <w:t>类</w:t>
            </w:r>
          </w:p>
        </w:tc>
        <w:tc>
          <w:tcPr>
            <w:tcW w:w="2068" w:type="dxa"/>
            <w:gridSpan w:val="3"/>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Ⅱ</w:t>
            </w:r>
            <w:r>
              <w:rPr>
                <w:rFonts w:hint="default" w:ascii="Times New Roman" w:hAnsi="Times New Roman" w:eastAsia="宋体" w:cs="Times New Roman"/>
                <w:bCs/>
                <w:color w:val="auto"/>
                <w:sz w:val="21"/>
                <w:szCs w:val="21"/>
                <w:highlight w:val="none"/>
              </w:rPr>
              <w:t>类</w:t>
            </w:r>
          </w:p>
        </w:tc>
        <w:tc>
          <w:tcPr>
            <w:tcW w:w="2072" w:type="dxa"/>
            <w:gridSpan w:val="3"/>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Ⅲ</w:t>
            </w:r>
            <w:r>
              <w:rPr>
                <w:rFonts w:hint="default" w:ascii="Times New Roman" w:hAnsi="Times New Roman" w:eastAsia="宋体" w:cs="Times New Roman"/>
                <w:bCs/>
                <w:color w:val="auto"/>
                <w:sz w:val="21"/>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2" w:type="dxa"/>
            <w:vMerge w:val="continue"/>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p>
        </w:tc>
        <w:tc>
          <w:tcPr>
            <w:tcW w:w="689"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大</w:t>
            </w:r>
          </w:p>
        </w:tc>
        <w:tc>
          <w:tcPr>
            <w:tcW w:w="690"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中</w:t>
            </w:r>
          </w:p>
        </w:tc>
        <w:tc>
          <w:tcPr>
            <w:tcW w:w="689"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小</w:t>
            </w:r>
          </w:p>
        </w:tc>
        <w:tc>
          <w:tcPr>
            <w:tcW w:w="690"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大</w:t>
            </w:r>
          </w:p>
        </w:tc>
        <w:tc>
          <w:tcPr>
            <w:tcW w:w="689"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中</w:t>
            </w:r>
          </w:p>
        </w:tc>
        <w:tc>
          <w:tcPr>
            <w:tcW w:w="689"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小</w:t>
            </w:r>
          </w:p>
        </w:tc>
        <w:tc>
          <w:tcPr>
            <w:tcW w:w="689"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大</w:t>
            </w:r>
          </w:p>
        </w:tc>
        <w:tc>
          <w:tcPr>
            <w:tcW w:w="691"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中</w:t>
            </w:r>
          </w:p>
        </w:tc>
        <w:tc>
          <w:tcPr>
            <w:tcW w:w="692"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2"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敏感</w:t>
            </w:r>
          </w:p>
        </w:tc>
        <w:tc>
          <w:tcPr>
            <w:tcW w:w="689"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一级</w:t>
            </w:r>
          </w:p>
        </w:tc>
        <w:tc>
          <w:tcPr>
            <w:tcW w:w="690"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一级</w:t>
            </w:r>
          </w:p>
        </w:tc>
        <w:tc>
          <w:tcPr>
            <w:tcW w:w="690"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w:t>
            </w:r>
          </w:p>
        </w:tc>
        <w:tc>
          <w:tcPr>
            <w:tcW w:w="691"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w:t>
            </w:r>
          </w:p>
        </w:tc>
        <w:tc>
          <w:tcPr>
            <w:tcW w:w="692"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2"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较敏感</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一级</w:t>
            </w:r>
          </w:p>
        </w:tc>
        <w:tc>
          <w:tcPr>
            <w:tcW w:w="690"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w:t>
            </w:r>
          </w:p>
        </w:tc>
        <w:tc>
          <w:tcPr>
            <w:tcW w:w="690"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w:t>
            </w:r>
          </w:p>
        </w:tc>
        <w:tc>
          <w:tcPr>
            <w:tcW w:w="691"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w:t>
            </w:r>
          </w:p>
        </w:tc>
        <w:tc>
          <w:tcPr>
            <w:tcW w:w="692"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2"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不敏感</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一级</w:t>
            </w:r>
          </w:p>
        </w:tc>
        <w:tc>
          <w:tcPr>
            <w:tcW w:w="690"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w:t>
            </w:r>
          </w:p>
        </w:tc>
        <w:tc>
          <w:tcPr>
            <w:tcW w:w="690"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二级</w:t>
            </w:r>
          </w:p>
        </w:tc>
        <w:tc>
          <w:tcPr>
            <w:tcW w:w="689"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w:t>
            </w:r>
          </w:p>
        </w:tc>
        <w:tc>
          <w:tcPr>
            <w:tcW w:w="689"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color w:val="auto"/>
                <w:sz w:val="21"/>
                <w:szCs w:val="21"/>
                <w:highlight w:val="none"/>
              </w:rPr>
              <w:t>三级</w:t>
            </w:r>
          </w:p>
        </w:tc>
        <w:tc>
          <w:tcPr>
            <w:tcW w:w="689"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三级</w:t>
            </w:r>
          </w:p>
        </w:tc>
        <w:tc>
          <w:tcPr>
            <w:tcW w:w="691" w:type="dxa"/>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692"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0" w:type="dxa"/>
            <w:gridSpan w:val="10"/>
            <w:vAlign w:val="center"/>
          </w:tcPr>
          <w:p>
            <w:pPr>
              <w:pStyle w:val="23"/>
              <w:shd w:val="clear"/>
              <w:spacing w:after="0"/>
              <w:ind w:left="0" w:lef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注：“-”表示可不开展土壤环境影响评价工作</w:t>
            </w:r>
          </w:p>
        </w:tc>
      </w:tr>
    </w:tbl>
    <w:p>
      <w:pPr>
        <w:shd w:val="clear"/>
        <w:spacing w:line="360" w:lineRule="auto"/>
        <w:ind w:firstLine="480" w:firstLineChars="200"/>
        <w:rPr>
          <w:rFonts w:hint="default" w:ascii="Times New Roman" w:hAnsi="Times New Roman" w:eastAsia="宋体" w:cs="Times New Roman"/>
          <w:color w:val="auto"/>
          <w:sz w:val="24"/>
          <w:highlight w:val="none"/>
          <w:lang w:eastAsia="zh-CN"/>
        </w:rPr>
      </w:pPr>
      <w:bookmarkStart w:id="123" w:name="_bookmark19"/>
      <w:bookmarkEnd w:id="123"/>
      <w:bookmarkStart w:id="124" w:name="_bookmark17"/>
      <w:bookmarkEnd w:id="124"/>
      <w:r>
        <w:rPr>
          <w:rFonts w:hint="default" w:ascii="Times New Roman" w:hAnsi="Times New Roman" w:eastAsia="宋体" w:cs="Times New Roman"/>
          <w:color w:val="auto"/>
          <w:sz w:val="24"/>
          <w:highlight w:val="none"/>
        </w:rPr>
        <w:t>综上所述，本项目属于《环境影响评价技术导则 土壤环境》（HJ964- 2018）中Ⅲ类土壤环境影响评价项目类别，占地规模属小型规模，</w:t>
      </w:r>
      <w:r>
        <w:rPr>
          <w:rFonts w:hint="default" w:ascii="Times New Roman" w:hAnsi="Times New Roman" w:eastAsia="宋体" w:cs="Times New Roman"/>
          <w:bCs/>
          <w:color w:val="auto"/>
          <w:sz w:val="24"/>
          <w:highlight w:val="none"/>
        </w:rPr>
        <w:t>土壤环境敏感程度属“敏感”</w:t>
      </w:r>
      <w:r>
        <w:rPr>
          <w:rFonts w:hint="default" w:ascii="Times New Roman" w:hAnsi="Times New Roman" w:eastAsia="宋体" w:cs="Times New Roman"/>
          <w:color w:val="auto"/>
          <w:sz w:val="24"/>
          <w:highlight w:val="none"/>
        </w:rPr>
        <w:t>，本项目土壤环境评价工作等级为</w:t>
      </w:r>
      <w:r>
        <w:rPr>
          <w:rFonts w:hint="default" w:ascii="Times New Roman" w:hAnsi="Times New Roman" w:eastAsia="宋体" w:cs="Times New Roman"/>
          <w:color w:val="auto"/>
          <w:sz w:val="24"/>
          <w:highlight w:val="none"/>
          <w:lang w:eastAsia="zh-CN"/>
        </w:rPr>
        <w:t>三级。</w:t>
      </w:r>
    </w:p>
    <w:p>
      <w:pPr>
        <w:shd w:val="clear"/>
        <w:overflowPunct w:val="0"/>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（2）评价范围</w:t>
      </w:r>
    </w:p>
    <w:p>
      <w:pPr>
        <w:shd w:val="clear"/>
        <w:spacing w:line="360" w:lineRule="auto"/>
        <w:ind w:firstLine="480" w:firstLineChars="200"/>
        <w:rPr>
          <w:rFonts w:hint="default" w:ascii="Times New Roman" w:hAnsi="Times New Roman" w:eastAsia="宋体" w:cs="Times New Roman"/>
          <w:color w:val="auto"/>
          <w:kern w:val="0"/>
          <w:sz w:val="24"/>
          <w:highlight w:val="none"/>
          <w:lang w:eastAsia="zh-CN" w:bidi="ar-OM"/>
        </w:rPr>
      </w:pPr>
      <w:r>
        <w:rPr>
          <w:rFonts w:hint="default" w:ascii="Times New Roman" w:hAnsi="Times New Roman" w:eastAsia="宋体" w:cs="Times New Roman"/>
          <w:color w:val="auto"/>
          <w:sz w:val="24"/>
          <w:szCs w:val="32"/>
          <w:lang w:val="en-GB"/>
        </w:rPr>
        <w:t>确定评价范围为工程占地范围及周边50m范围内</w:t>
      </w:r>
      <w:r>
        <w:rPr>
          <w:rFonts w:hint="default" w:ascii="Times New Roman" w:hAnsi="Times New Roman" w:eastAsia="宋体" w:cs="Times New Roman"/>
          <w:color w:val="auto"/>
          <w:sz w:val="24"/>
          <w:highlight w:val="none"/>
          <w:lang w:eastAsia="zh-CN"/>
        </w:rPr>
        <w:t>。</w:t>
      </w:r>
    </w:p>
    <w:p>
      <w:pPr>
        <w:pStyle w:val="6"/>
        <w:keepLines w:val="0"/>
        <w:shd w:val="clear"/>
        <w:rPr>
          <w:rFonts w:hint="default" w:ascii="Times New Roman" w:hAnsi="Times New Roman" w:eastAsia="宋体" w:cs="Times New Roman"/>
          <w:color w:val="auto"/>
          <w:highlight w:val="none"/>
        </w:rPr>
      </w:pPr>
      <w:bookmarkStart w:id="125" w:name="_Toc464475334"/>
      <w:bookmarkStart w:id="126" w:name="_Toc327383061"/>
      <w:r>
        <w:rPr>
          <w:rFonts w:hint="default" w:ascii="Times New Roman" w:hAnsi="Times New Roman" w:eastAsia="宋体" w:cs="Times New Roman"/>
          <w:color w:val="auto"/>
          <w:highlight w:val="none"/>
        </w:rPr>
        <w:t>2.6.6环境风险评价工作等级及评价范围</w:t>
      </w:r>
      <w:bookmarkEnd w:id="125"/>
      <w:bookmarkEnd w:id="126"/>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bookmarkStart w:id="127" w:name="_Toc243119327"/>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评价工作等级</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根据《建设项目环境风险评价技术导则》</w:t>
      </w:r>
      <w:r>
        <w:rPr>
          <w:rFonts w:hint="default" w:ascii="Times New Roman" w:hAnsi="Times New Roman" w:eastAsia="宋体" w:cs="Times New Roman"/>
          <w:color w:val="auto"/>
          <w:sz w:val="24"/>
          <w:szCs w:val="24"/>
          <w:highlight w:val="none"/>
          <w:lang w:eastAsia="zh-CN"/>
        </w:rPr>
        <w:t>（HJ169—2018）</w:t>
      </w:r>
      <w:r>
        <w:rPr>
          <w:rFonts w:hint="default" w:ascii="Times New Roman" w:hAnsi="Times New Roman" w:eastAsia="宋体" w:cs="Times New Roman"/>
          <w:color w:val="auto"/>
          <w:sz w:val="24"/>
          <w:szCs w:val="24"/>
          <w:highlight w:val="none"/>
        </w:rPr>
        <w:t>附录B和《危险化学品重大危险源辨识》（GB18218-2018）判断，本项目</w:t>
      </w:r>
      <w:r>
        <w:rPr>
          <w:rFonts w:hint="default" w:ascii="Times New Roman" w:hAnsi="Times New Roman" w:eastAsia="宋体" w:cs="Times New Roman"/>
          <w:color w:val="auto"/>
          <w:sz w:val="24"/>
          <w:szCs w:val="24"/>
          <w:highlight w:val="none"/>
          <w:lang w:eastAsia="zh-CN"/>
        </w:rPr>
        <w:t>不</w:t>
      </w:r>
      <w:r>
        <w:rPr>
          <w:rFonts w:hint="default" w:ascii="Times New Roman" w:hAnsi="Times New Roman" w:eastAsia="宋体" w:cs="Times New Roman"/>
          <w:color w:val="auto"/>
          <w:sz w:val="24"/>
          <w:szCs w:val="24"/>
          <w:highlight w:val="none"/>
        </w:rPr>
        <w:t>涉及有毒有害和易燃易爆危险物质生产、使用、储存（包括使用管线输运）的危险物质</w: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1）危险物质数量与临界量比值（Q）</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按照《建设项目环境风险评价技术导则》（HJ169-2018）附录C计算危险物质数量与临界量比值（Q）。</w:t>
      </w:r>
    </w:p>
    <w:p>
      <w:pPr>
        <w:shd w:val="clear"/>
        <w:spacing w:line="360" w:lineRule="auto"/>
        <w:ind w:firstLine="480" w:firstLineChars="20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Q=q</w:t>
      </w:r>
      <w:r>
        <w:rPr>
          <w:rFonts w:hint="default" w:ascii="Times New Roman" w:hAnsi="Times New Roman" w:eastAsia="宋体" w:cs="Times New Roman"/>
          <w:b w:val="0"/>
          <w:bCs w:val="0"/>
          <w:color w:val="auto"/>
          <w:sz w:val="24"/>
          <w:szCs w:val="24"/>
          <w:highlight w:val="none"/>
          <w:vertAlign w:val="subscript"/>
        </w:rPr>
        <w:t xml:space="preserve"> 1</w:t>
      </w:r>
      <w:r>
        <w:rPr>
          <w:rFonts w:hint="default" w:ascii="Times New Roman" w:hAnsi="Times New Roman" w:eastAsia="宋体" w:cs="Times New Roman"/>
          <w:b w:val="0"/>
          <w:bCs w:val="0"/>
          <w:color w:val="auto"/>
          <w:sz w:val="24"/>
          <w:szCs w:val="24"/>
          <w:highlight w:val="none"/>
        </w:rPr>
        <w:t xml:space="preserve"> /Q </w:t>
      </w:r>
      <w:r>
        <w:rPr>
          <w:rFonts w:hint="default" w:ascii="Times New Roman" w:hAnsi="Times New Roman" w:eastAsia="宋体" w:cs="Times New Roman"/>
          <w:b w:val="0"/>
          <w:bCs w:val="0"/>
          <w:color w:val="auto"/>
          <w:sz w:val="24"/>
          <w:szCs w:val="24"/>
          <w:highlight w:val="none"/>
          <w:vertAlign w:val="subscript"/>
        </w:rPr>
        <w:t>1</w:t>
      </w:r>
      <w:r>
        <w:rPr>
          <w:rFonts w:hint="default" w:ascii="Times New Roman" w:hAnsi="Times New Roman" w:eastAsia="宋体" w:cs="Times New Roman"/>
          <w:b w:val="0"/>
          <w:bCs w:val="0"/>
          <w:color w:val="auto"/>
          <w:sz w:val="24"/>
          <w:szCs w:val="24"/>
          <w:highlight w:val="none"/>
        </w:rPr>
        <w:t xml:space="preserve"> +q </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rPr>
        <w:t xml:space="preserve"> /Q</w:t>
      </w:r>
      <w:r>
        <w:rPr>
          <w:rFonts w:hint="default" w:ascii="Times New Roman" w:hAnsi="Times New Roman" w:eastAsia="宋体" w:cs="Times New Roman"/>
          <w:b w:val="0"/>
          <w:bCs w:val="0"/>
          <w:color w:val="auto"/>
          <w:sz w:val="24"/>
          <w:szCs w:val="24"/>
          <w:highlight w:val="none"/>
          <w:vertAlign w:val="subscript"/>
        </w:rPr>
        <w:t xml:space="preserve"> 2</w:t>
      </w:r>
      <w:r>
        <w:rPr>
          <w:rFonts w:hint="default" w:ascii="Times New Roman" w:hAnsi="Times New Roman" w:eastAsia="宋体" w:cs="Times New Roman"/>
          <w:b w:val="0"/>
          <w:bCs w:val="0"/>
          <w:color w:val="auto"/>
          <w:sz w:val="24"/>
          <w:szCs w:val="24"/>
          <w:highlight w:val="none"/>
        </w:rPr>
        <w:t xml:space="preserve"> ……＋q</w:t>
      </w:r>
      <w:r>
        <w:rPr>
          <w:rFonts w:hint="default" w:ascii="Times New Roman" w:hAnsi="Times New Roman" w:eastAsia="宋体" w:cs="Times New Roman"/>
          <w:b w:val="0"/>
          <w:bCs w:val="0"/>
          <w:color w:val="auto"/>
          <w:sz w:val="24"/>
          <w:szCs w:val="24"/>
          <w:highlight w:val="none"/>
          <w:vertAlign w:val="subscript"/>
        </w:rPr>
        <w:t xml:space="preserve"> n</w:t>
      </w:r>
      <w:r>
        <w:rPr>
          <w:rFonts w:hint="default" w:ascii="Times New Roman" w:hAnsi="Times New Roman" w:eastAsia="宋体" w:cs="Times New Roman"/>
          <w:b w:val="0"/>
          <w:bCs w:val="0"/>
          <w:color w:val="auto"/>
          <w:sz w:val="24"/>
          <w:szCs w:val="24"/>
          <w:highlight w:val="none"/>
        </w:rPr>
        <w:t xml:space="preserve"> /Q</w:t>
      </w:r>
      <w:r>
        <w:rPr>
          <w:rFonts w:hint="default" w:ascii="Times New Roman" w:hAnsi="Times New Roman" w:eastAsia="宋体" w:cs="Times New Roman"/>
          <w:b w:val="0"/>
          <w:bCs w:val="0"/>
          <w:color w:val="auto"/>
          <w:sz w:val="24"/>
          <w:szCs w:val="24"/>
          <w:highlight w:val="none"/>
          <w:vertAlign w:val="subscript"/>
        </w:rPr>
        <w:t xml:space="preserve"> n</w:t>
      </w:r>
    </w:p>
    <w:p>
      <w:pPr>
        <w:shd w:val="clear"/>
        <w:spacing w:line="360" w:lineRule="auto"/>
        <w:ind w:firstLine="480"/>
        <w:rPr>
          <w:rFonts w:hint="default" w:ascii="Times New Roman" w:hAnsi="Times New Roman" w:eastAsia="宋体" w:cs="Times New Roman"/>
          <w:b w:val="0"/>
          <w:bCs w:val="0"/>
          <w:color w:val="auto"/>
          <w:sz w:val="24"/>
          <w:szCs w:val="24"/>
          <w:highlight w:val="none"/>
          <w:lang w:val="en-US"/>
        </w:rPr>
      </w:pPr>
      <w:r>
        <w:rPr>
          <w:rFonts w:hint="default" w:ascii="Times New Roman" w:hAnsi="Times New Roman" w:eastAsia="宋体" w:cs="Times New Roman"/>
          <w:b w:val="0"/>
          <w:bCs w:val="0"/>
          <w:color w:val="auto"/>
          <w:sz w:val="24"/>
          <w:szCs w:val="24"/>
          <w:highlight w:val="none"/>
          <w:lang w:val="en-US"/>
        </w:rPr>
        <w:t>式中：q</w:t>
      </w:r>
      <w:r>
        <w:rPr>
          <w:rFonts w:hint="default" w:ascii="Times New Roman" w:hAnsi="Times New Roman" w:eastAsia="宋体" w:cs="Times New Roman"/>
          <w:b w:val="0"/>
          <w:bCs w:val="0"/>
          <w:color w:val="auto"/>
          <w:sz w:val="24"/>
          <w:szCs w:val="24"/>
          <w:highlight w:val="none"/>
          <w:vertAlign w:val="subscript"/>
          <w:lang w:val="en-US"/>
        </w:rPr>
        <w:t xml:space="preserve"> 1 </w:t>
      </w:r>
      <w:r>
        <w:rPr>
          <w:rFonts w:hint="default" w:ascii="Times New Roman" w:hAnsi="Times New Roman" w:eastAsia="宋体" w:cs="Times New Roman"/>
          <w:b w:val="0"/>
          <w:bCs w:val="0"/>
          <w:color w:val="auto"/>
          <w:sz w:val="24"/>
          <w:szCs w:val="24"/>
          <w:highlight w:val="none"/>
          <w:lang w:val="en-US"/>
        </w:rPr>
        <w:t>，q</w:t>
      </w:r>
      <w:r>
        <w:rPr>
          <w:rFonts w:hint="default" w:ascii="Times New Roman" w:hAnsi="Times New Roman" w:eastAsia="宋体" w:cs="Times New Roman"/>
          <w:b w:val="0"/>
          <w:bCs w:val="0"/>
          <w:color w:val="auto"/>
          <w:sz w:val="24"/>
          <w:szCs w:val="24"/>
          <w:highlight w:val="none"/>
          <w:vertAlign w:val="subscript"/>
          <w:lang w:val="en-US"/>
        </w:rPr>
        <w:t xml:space="preserve"> 2</w:t>
      </w:r>
      <w:r>
        <w:rPr>
          <w:rFonts w:hint="default" w:ascii="Times New Roman" w:hAnsi="Times New Roman" w:eastAsia="宋体" w:cs="Times New Roman"/>
          <w:b w:val="0"/>
          <w:bCs w:val="0"/>
          <w:color w:val="auto"/>
          <w:sz w:val="24"/>
          <w:szCs w:val="24"/>
          <w:highlight w:val="none"/>
          <w:lang w:val="en-US"/>
        </w:rPr>
        <w:t xml:space="preserve"> …，q</w:t>
      </w:r>
      <w:r>
        <w:rPr>
          <w:rFonts w:hint="default" w:ascii="Times New Roman" w:hAnsi="Times New Roman" w:eastAsia="宋体" w:cs="Times New Roman"/>
          <w:b w:val="0"/>
          <w:bCs w:val="0"/>
          <w:color w:val="auto"/>
          <w:sz w:val="24"/>
          <w:szCs w:val="24"/>
          <w:highlight w:val="none"/>
          <w:vertAlign w:val="subscript"/>
          <w:lang w:val="en-US"/>
        </w:rPr>
        <w:t xml:space="preserve"> n</w:t>
      </w:r>
      <w:r>
        <w:rPr>
          <w:rFonts w:hint="default" w:ascii="Times New Roman" w:hAnsi="Times New Roman" w:eastAsia="宋体" w:cs="Times New Roman"/>
          <w:b w:val="0"/>
          <w:bCs w:val="0"/>
          <w:color w:val="auto"/>
          <w:sz w:val="24"/>
          <w:szCs w:val="24"/>
          <w:highlight w:val="none"/>
          <w:lang w:val="en-US"/>
        </w:rPr>
        <w:t xml:space="preserve"> 为每种危险物质最大存在量，t；</w:t>
      </w:r>
    </w:p>
    <w:p>
      <w:pPr>
        <w:shd w:val="clear"/>
        <w:spacing w:line="360" w:lineRule="auto"/>
        <w:ind w:firstLine="480"/>
        <w:rPr>
          <w:rFonts w:hint="default" w:ascii="Times New Roman" w:hAnsi="Times New Roman" w:eastAsia="宋体" w:cs="Times New Roman"/>
          <w:b w:val="0"/>
          <w:bCs w:val="0"/>
          <w:color w:val="auto"/>
          <w:sz w:val="24"/>
          <w:szCs w:val="24"/>
          <w:highlight w:val="none"/>
          <w:lang w:val="en-US"/>
        </w:rPr>
      </w:pPr>
      <w:r>
        <w:rPr>
          <w:rFonts w:hint="default" w:ascii="Times New Roman" w:hAnsi="Times New Roman" w:eastAsia="宋体" w:cs="Times New Roman"/>
          <w:b w:val="0"/>
          <w:bCs w:val="0"/>
          <w:color w:val="auto"/>
          <w:sz w:val="24"/>
          <w:szCs w:val="24"/>
          <w:highlight w:val="none"/>
          <w:lang w:val="en-US"/>
        </w:rPr>
        <w:t>Q</w:t>
      </w:r>
      <w:r>
        <w:rPr>
          <w:rFonts w:hint="default" w:ascii="Times New Roman" w:hAnsi="Times New Roman" w:eastAsia="宋体" w:cs="Times New Roman"/>
          <w:b w:val="0"/>
          <w:bCs w:val="0"/>
          <w:color w:val="auto"/>
          <w:sz w:val="24"/>
          <w:szCs w:val="24"/>
          <w:highlight w:val="none"/>
          <w:vertAlign w:val="subscript"/>
          <w:lang w:val="en-US"/>
        </w:rPr>
        <w:t xml:space="preserve"> 1</w:t>
      </w:r>
      <w:r>
        <w:rPr>
          <w:rFonts w:hint="default" w:ascii="Times New Roman" w:hAnsi="Times New Roman" w:eastAsia="宋体" w:cs="Times New Roman"/>
          <w:b w:val="0"/>
          <w:bCs w:val="0"/>
          <w:color w:val="auto"/>
          <w:sz w:val="24"/>
          <w:szCs w:val="24"/>
          <w:highlight w:val="none"/>
          <w:lang w:val="en-US"/>
        </w:rPr>
        <w:t xml:space="preserve"> </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rPr>
        <w:t>Q</w:t>
      </w:r>
      <w:r>
        <w:rPr>
          <w:rFonts w:hint="default" w:ascii="Times New Roman" w:hAnsi="Times New Roman" w:eastAsia="宋体" w:cs="Times New Roman"/>
          <w:b w:val="0"/>
          <w:bCs w:val="0"/>
          <w:color w:val="auto"/>
          <w:sz w:val="24"/>
          <w:szCs w:val="24"/>
          <w:highlight w:val="none"/>
          <w:vertAlign w:val="subscript"/>
          <w:lang w:val="en-US"/>
        </w:rPr>
        <w:t xml:space="preserve"> 2 </w:t>
      </w:r>
      <w:r>
        <w:rPr>
          <w:rFonts w:hint="default" w:ascii="Times New Roman" w:hAnsi="Times New Roman" w:eastAsia="宋体" w:cs="Times New Roman"/>
          <w:b w:val="0"/>
          <w:bCs w:val="0"/>
          <w:color w:val="auto"/>
          <w:sz w:val="24"/>
          <w:szCs w:val="24"/>
          <w:highlight w:val="none"/>
          <w:lang w:val="en-US"/>
        </w:rPr>
        <w:t>…Q</w:t>
      </w:r>
      <w:r>
        <w:rPr>
          <w:rFonts w:hint="default" w:ascii="Times New Roman" w:hAnsi="Times New Roman" w:eastAsia="宋体" w:cs="Times New Roman"/>
          <w:b w:val="0"/>
          <w:bCs w:val="0"/>
          <w:color w:val="auto"/>
          <w:sz w:val="24"/>
          <w:szCs w:val="24"/>
          <w:highlight w:val="none"/>
          <w:vertAlign w:val="subscript"/>
          <w:lang w:val="en-US"/>
        </w:rPr>
        <w:t xml:space="preserve"> n </w:t>
      </w:r>
      <w:r>
        <w:rPr>
          <w:rFonts w:hint="default" w:ascii="Times New Roman" w:hAnsi="Times New Roman" w:eastAsia="宋体" w:cs="Times New Roman"/>
          <w:b w:val="0"/>
          <w:bCs w:val="0"/>
          <w:color w:val="auto"/>
          <w:sz w:val="24"/>
          <w:szCs w:val="24"/>
          <w:highlight w:val="none"/>
          <w:lang w:val="en-US"/>
        </w:rPr>
        <w:t>为与各危险物质的临界量，t。</w:t>
      </w:r>
    </w:p>
    <w:p>
      <w:pPr>
        <w:shd w:val="clear"/>
        <w:spacing w:line="360" w:lineRule="auto"/>
        <w:ind w:firstLine="480"/>
        <w:rPr>
          <w:rFonts w:hint="default" w:ascii="Times New Roman" w:hAnsi="Times New Roman" w:eastAsia="宋体" w:cs="Times New Roman"/>
          <w:b w:val="0"/>
          <w:bCs w:val="0"/>
          <w:color w:val="auto"/>
          <w:sz w:val="24"/>
          <w:szCs w:val="24"/>
          <w:highlight w:val="none"/>
          <w:lang w:val="en-US"/>
        </w:rPr>
      </w:pPr>
      <w:r>
        <w:rPr>
          <w:rFonts w:hint="default" w:ascii="Times New Roman" w:hAnsi="Times New Roman" w:eastAsia="宋体" w:cs="Times New Roman"/>
          <w:b w:val="0"/>
          <w:bCs w:val="0"/>
          <w:color w:val="auto"/>
          <w:sz w:val="24"/>
          <w:szCs w:val="24"/>
          <w:highlight w:val="none"/>
          <w:lang w:val="en-US"/>
        </w:rPr>
        <w:t>当Q＜1时，该项目环境风险潜势为</w:t>
      </w:r>
      <w:r>
        <w:rPr>
          <w:rFonts w:hint="default" w:ascii="Times New Roman" w:hAnsi="Times New Roman" w:eastAsia="宋体" w:cs="Times New Roman"/>
          <w:b w:val="0"/>
          <w:bCs w:val="0"/>
          <w:color w:val="auto"/>
          <w:sz w:val="24"/>
          <w:szCs w:val="24"/>
          <w:highlight w:val="none"/>
          <w:lang w:val="en-US" w:eastAsia="zh-CN"/>
        </w:rPr>
        <w:t>Ⅰ</w:t>
      </w:r>
      <w:r>
        <w:rPr>
          <w:rFonts w:hint="default" w:ascii="Times New Roman" w:hAnsi="Times New Roman" w:eastAsia="宋体" w:cs="Times New Roman"/>
          <w:b w:val="0"/>
          <w:bCs w:val="0"/>
          <w:color w:val="auto"/>
          <w:sz w:val="24"/>
          <w:szCs w:val="24"/>
          <w:highlight w:val="none"/>
          <w:lang w:val="en-US"/>
        </w:rPr>
        <w:t>。</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本项目</w:t>
      </w:r>
      <w:r>
        <w:rPr>
          <w:rFonts w:hint="default" w:ascii="Times New Roman" w:hAnsi="Times New Roman" w:eastAsia="宋体" w:cs="Times New Roman"/>
          <w:b w:val="0"/>
          <w:bCs w:val="0"/>
          <w:color w:val="auto"/>
          <w:sz w:val="24"/>
          <w:szCs w:val="24"/>
          <w:highlight w:val="none"/>
        </w:rPr>
        <w:t>Q值</w:t>
      </w:r>
      <w:r>
        <w:rPr>
          <w:rFonts w:hint="default"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rPr>
        <w:t>＜1，风险潜势为Ⅰ。</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bookmarkStart w:id="128" w:name="_Toc327383062"/>
      <w:bookmarkStart w:id="129" w:name="_Toc464475335"/>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）环境风险评价工作等级判断</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环境风险评价工作等级划分见表2.6-1</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w:t>
      </w:r>
    </w:p>
    <w:p>
      <w:pPr>
        <w:shd w:val="clear"/>
        <w:spacing w:line="440" w:lineRule="exact"/>
        <w:jc w:val="center"/>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表2.6-1</w:t>
      </w:r>
      <w:r>
        <w:rPr>
          <w:rFonts w:hint="default" w:ascii="Times New Roman" w:hAnsi="Times New Roman" w:eastAsia="宋体" w:cs="Times New Roman"/>
          <w:b/>
          <w:bCs/>
          <w:color w:val="auto"/>
          <w:sz w:val="24"/>
          <w:szCs w:val="32"/>
          <w:highlight w:val="none"/>
          <w:lang w:val="en-US" w:eastAsia="zh-CN"/>
        </w:rPr>
        <w:t>4</w:t>
      </w:r>
      <w:r>
        <w:rPr>
          <w:rFonts w:hint="default" w:ascii="Times New Roman" w:hAnsi="Times New Roman" w:eastAsia="宋体" w:cs="Times New Roman"/>
          <w:b/>
          <w:bCs/>
          <w:color w:val="auto"/>
          <w:sz w:val="24"/>
          <w:szCs w:val="32"/>
          <w:highlight w:val="none"/>
        </w:rPr>
        <w:t xml:space="preserve">    评价工作等级划分</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651"/>
        <w:gridCol w:w="1652"/>
        <w:gridCol w:w="1651"/>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环境风险潜势</w:t>
            </w:r>
          </w:p>
        </w:tc>
        <w:tc>
          <w:tcPr>
            <w:tcW w:w="1651"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 4 \* ROMAN \* MERGEFORMAT </w:instrText>
            </w:r>
            <w:r>
              <w:rPr>
                <w:rFonts w:hint="default" w:ascii="Times New Roman" w:hAnsi="Times New Roman" w:eastAsia="宋体" w:cs="Times New Roman"/>
                <w:color w:val="auto"/>
                <w:szCs w:val="21"/>
                <w:highlight w:val="none"/>
              </w:rPr>
              <w:fldChar w:fldCharType="separate"/>
            </w:r>
            <w:r>
              <w:rPr>
                <w:rFonts w:hint="default" w:ascii="Times New Roman" w:hAnsi="Times New Roman" w:eastAsia="宋体" w:cs="Times New Roman"/>
                <w:color w:val="auto"/>
                <w:szCs w:val="21"/>
                <w:highlight w:val="none"/>
                <w:lang w:eastAsia="zh-CN"/>
              </w:rPr>
              <w:t>Ⅳ</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 4 \* ROMAN \* MERGEFORMAT </w:instrText>
            </w:r>
            <w:r>
              <w:rPr>
                <w:rFonts w:hint="default" w:ascii="Times New Roman" w:hAnsi="Times New Roman" w:eastAsia="宋体" w:cs="Times New Roman"/>
                <w:color w:val="auto"/>
                <w:szCs w:val="21"/>
                <w:highlight w:val="none"/>
              </w:rPr>
              <w:fldChar w:fldCharType="separate"/>
            </w:r>
            <w:r>
              <w:rPr>
                <w:rFonts w:hint="default" w:ascii="Times New Roman" w:hAnsi="Times New Roman" w:eastAsia="宋体" w:cs="Times New Roman"/>
                <w:color w:val="auto"/>
                <w:szCs w:val="21"/>
                <w:highlight w:val="none"/>
                <w:lang w:eastAsia="zh-CN"/>
              </w:rPr>
              <w:t>Ⅳ</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szCs w:val="21"/>
                <w:highlight w:val="none"/>
                <w:vertAlign w:val="superscript"/>
              </w:rPr>
              <w:t>+</w:t>
            </w:r>
          </w:p>
        </w:tc>
        <w:tc>
          <w:tcPr>
            <w:tcW w:w="165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 3 \* ROMAN \* MERGEFORMAT </w:instrText>
            </w:r>
            <w:r>
              <w:rPr>
                <w:rFonts w:hint="default" w:ascii="Times New Roman" w:hAnsi="Times New Roman" w:eastAsia="宋体" w:cs="Times New Roman"/>
                <w:color w:val="auto"/>
                <w:szCs w:val="21"/>
                <w:highlight w:val="none"/>
              </w:rPr>
              <w:fldChar w:fldCharType="separate"/>
            </w:r>
            <w:r>
              <w:rPr>
                <w:rFonts w:hint="default" w:ascii="Times New Roman" w:hAnsi="Times New Roman" w:eastAsia="宋体" w:cs="Times New Roman"/>
                <w:color w:val="auto"/>
                <w:szCs w:val="21"/>
                <w:highlight w:val="none"/>
                <w:lang w:eastAsia="zh-CN"/>
              </w:rPr>
              <w:t>Ⅲ</w:t>
            </w:r>
            <w:r>
              <w:rPr>
                <w:rFonts w:hint="default" w:ascii="Times New Roman" w:hAnsi="Times New Roman" w:eastAsia="宋体" w:cs="Times New Roman"/>
                <w:color w:val="auto"/>
                <w:szCs w:val="21"/>
                <w:highlight w:val="none"/>
              </w:rPr>
              <w:fldChar w:fldCharType="end"/>
            </w:r>
          </w:p>
        </w:tc>
        <w:tc>
          <w:tcPr>
            <w:tcW w:w="1651"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 2 \* ROMAN \* MERGEFORMAT </w:instrText>
            </w:r>
            <w:r>
              <w:rPr>
                <w:rFonts w:hint="default" w:ascii="Times New Roman" w:hAnsi="Times New Roman" w:eastAsia="宋体" w:cs="Times New Roman"/>
                <w:color w:val="auto"/>
                <w:szCs w:val="21"/>
                <w:highlight w:val="none"/>
              </w:rPr>
              <w:fldChar w:fldCharType="separate"/>
            </w:r>
            <w:r>
              <w:rPr>
                <w:rFonts w:hint="default" w:ascii="Times New Roman" w:hAnsi="Times New Roman" w:eastAsia="宋体" w:cs="Times New Roman"/>
                <w:color w:val="auto"/>
                <w:szCs w:val="21"/>
                <w:highlight w:val="none"/>
                <w:lang w:eastAsia="zh-CN"/>
              </w:rPr>
              <w:t>Ⅱ</w:t>
            </w:r>
            <w:r>
              <w:rPr>
                <w:rFonts w:hint="default" w:ascii="Times New Roman" w:hAnsi="Times New Roman" w:eastAsia="宋体" w:cs="Times New Roman"/>
                <w:color w:val="auto"/>
                <w:szCs w:val="21"/>
                <w:highlight w:val="none"/>
              </w:rPr>
              <w:fldChar w:fldCharType="end"/>
            </w:r>
          </w:p>
        </w:tc>
        <w:tc>
          <w:tcPr>
            <w:tcW w:w="1654" w:type="dxa"/>
            <w:vAlign w:val="center"/>
          </w:tcPr>
          <w:p>
            <w:pPr>
              <w:shd w:val="clea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 w:val="21"/>
                <w:szCs w:val="24"/>
                <w:highlight w:val="none"/>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评价工作等级</w:t>
            </w:r>
          </w:p>
        </w:tc>
        <w:tc>
          <w:tcPr>
            <w:tcW w:w="1651"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w:t>
            </w:r>
          </w:p>
        </w:tc>
        <w:tc>
          <w:tcPr>
            <w:tcW w:w="165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p>
        </w:tc>
        <w:tc>
          <w:tcPr>
            <w:tcW w:w="1651"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p>
        </w:tc>
        <w:tc>
          <w:tcPr>
            <w:tcW w:w="1654"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简单分析</w:t>
            </w:r>
          </w:p>
        </w:tc>
      </w:tr>
    </w:tbl>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32"/>
          <w:highlight w:val="none"/>
        </w:rPr>
        <w:t>综上，本项目风险评价等级为简单分析，在描述危险物质、环境影响途径、环境危害后果、风险防范措施等方面给出</w:t>
      </w:r>
      <w:r>
        <w:rPr>
          <w:rFonts w:hint="default" w:ascii="Times New Roman" w:hAnsi="Times New Roman" w:eastAsia="宋体" w:cs="Times New Roman"/>
          <w:color w:val="auto"/>
          <w:sz w:val="24"/>
          <w:szCs w:val="32"/>
          <w:highlight w:val="none"/>
          <w:lang w:eastAsia="zh-CN"/>
        </w:rPr>
        <w:t>定性</w:t>
      </w:r>
      <w:r>
        <w:rPr>
          <w:rFonts w:hint="default" w:ascii="Times New Roman" w:hAnsi="Times New Roman" w:eastAsia="宋体" w:cs="Times New Roman"/>
          <w:color w:val="auto"/>
          <w:sz w:val="24"/>
          <w:szCs w:val="32"/>
          <w:highlight w:val="none"/>
        </w:rPr>
        <w:t>的说明</w:t>
      </w:r>
      <w:r>
        <w:rPr>
          <w:rFonts w:hint="default" w:ascii="Times New Roman" w:hAnsi="Times New Roman" w:eastAsia="宋体" w:cs="Times New Roman"/>
          <w:color w:val="auto"/>
          <w:sz w:val="24"/>
          <w:szCs w:val="32"/>
          <w:highlight w:val="none"/>
          <w:lang w:val="en-US" w:eastAsia="zh-CN"/>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评价范围</w:t>
      </w:r>
    </w:p>
    <w:p>
      <w:pPr>
        <w:shd w:val="clea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大气环境风险评价范围</w:t>
      </w:r>
    </w:p>
    <w:p>
      <w:pPr>
        <w:shd w:val="clea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本项目风险评价等级定为简单分析，无需设置大气环境风险评价范围。</w:t>
      </w:r>
    </w:p>
    <w:p>
      <w:pPr>
        <w:shd w:val="clea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地表水环境风险评价范围</w:t>
      </w:r>
    </w:p>
    <w:p>
      <w:pPr>
        <w:shd w:val="clea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根据</w:t>
      </w:r>
      <w:r>
        <w:rPr>
          <w:rFonts w:hint="default" w:ascii="Times New Roman" w:hAnsi="Times New Roman" w:eastAsia="宋体" w:cs="Times New Roman"/>
          <w:color w:val="auto"/>
          <w:sz w:val="24"/>
          <w:szCs w:val="24"/>
          <w:highlight w:val="none"/>
        </w:rPr>
        <w:t>《建设项目环境风险评价技术导则》</w:t>
      </w:r>
      <w:r>
        <w:rPr>
          <w:rFonts w:hint="default" w:ascii="Times New Roman" w:hAnsi="Times New Roman" w:eastAsia="宋体" w:cs="Times New Roman"/>
          <w:color w:val="auto"/>
          <w:sz w:val="24"/>
          <w:szCs w:val="24"/>
          <w:highlight w:val="none"/>
          <w:lang w:eastAsia="zh-CN"/>
        </w:rPr>
        <w:t>（HJ169—2018）中“</w:t>
      </w:r>
      <w:r>
        <w:rPr>
          <w:rFonts w:hint="default" w:ascii="Times New Roman" w:hAnsi="Times New Roman" w:eastAsia="宋体" w:cs="Times New Roman"/>
          <w:color w:val="auto"/>
          <w:sz w:val="24"/>
          <w:szCs w:val="24"/>
          <w:highlight w:val="none"/>
          <w:lang w:val="en-US" w:eastAsia="zh-CN"/>
        </w:rPr>
        <w:t>4.5评价范围</w:t>
      </w:r>
      <w:r>
        <w:rPr>
          <w:rFonts w:hint="default" w:ascii="Times New Roman" w:hAnsi="Times New Roman" w:eastAsia="宋体" w:cs="Times New Roman"/>
          <w:color w:val="auto"/>
          <w:sz w:val="24"/>
          <w:szCs w:val="24"/>
          <w:highlight w:val="none"/>
          <w:lang w:eastAsia="zh-CN"/>
        </w:rPr>
        <w:t>”中规定，地表水环境风险评价范围参照《环境影响评价技术导则 地表水环境》（HJ2.3-2018）确定，</w:t>
      </w:r>
      <w:r>
        <w:rPr>
          <w:rFonts w:hint="default" w:ascii="Times New Roman" w:hAnsi="Times New Roman" w:eastAsia="宋体" w:cs="Times New Roman"/>
          <w:b w:val="0"/>
          <w:bCs w:val="0"/>
          <w:color w:val="auto"/>
          <w:sz w:val="24"/>
          <w:highlight w:val="none"/>
        </w:rPr>
        <w:t>本项目地表水评价等级为三级B，不需设置地表水评价范围，因此，本项目无需设置地表水环境风险评价范围。</w:t>
      </w:r>
    </w:p>
    <w:p>
      <w:pPr>
        <w:shd w:val="clea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地下水环境风险评价范围</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sz w:val="24"/>
          <w:highlight w:val="none"/>
          <w:lang w:eastAsia="zh-CN"/>
        </w:rPr>
        <w:t>根据</w:t>
      </w:r>
      <w:r>
        <w:rPr>
          <w:rFonts w:hint="default" w:ascii="Times New Roman" w:hAnsi="Times New Roman" w:eastAsia="宋体" w:cs="Times New Roman"/>
          <w:color w:val="auto"/>
          <w:sz w:val="24"/>
          <w:szCs w:val="24"/>
          <w:highlight w:val="none"/>
        </w:rPr>
        <w:t>《建设项目环境风险评价技术导则》</w:t>
      </w:r>
      <w:r>
        <w:rPr>
          <w:rFonts w:hint="default" w:ascii="Times New Roman" w:hAnsi="Times New Roman" w:eastAsia="宋体" w:cs="Times New Roman"/>
          <w:color w:val="auto"/>
          <w:sz w:val="24"/>
          <w:szCs w:val="24"/>
          <w:highlight w:val="none"/>
          <w:lang w:eastAsia="zh-CN"/>
        </w:rPr>
        <w:t>（HJ169—2018）中“</w:t>
      </w:r>
      <w:r>
        <w:rPr>
          <w:rFonts w:hint="default" w:ascii="Times New Roman" w:hAnsi="Times New Roman" w:eastAsia="宋体" w:cs="Times New Roman"/>
          <w:color w:val="auto"/>
          <w:sz w:val="24"/>
          <w:szCs w:val="24"/>
          <w:highlight w:val="none"/>
          <w:lang w:val="en-US" w:eastAsia="zh-CN"/>
        </w:rPr>
        <w:t>4.5评价范围</w:t>
      </w:r>
      <w:r>
        <w:rPr>
          <w:rFonts w:hint="default" w:ascii="Times New Roman" w:hAnsi="Times New Roman" w:eastAsia="宋体" w:cs="Times New Roman"/>
          <w:color w:val="auto"/>
          <w:sz w:val="24"/>
          <w:szCs w:val="24"/>
          <w:highlight w:val="none"/>
          <w:lang w:eastAsia="zh-CN"/>
        </w:rPr>
        <w:t>”中规定，地下水环境风险评价范围参照</w:t>
      </w:r>
      <w:r>
        <w:rPr>
          <w:rFonts w:hint="default" w:ascii="Times New Roman" w:hAnsi="Times New Roman" w:eastAsia="宋体" w:cs="Times New Roman"/>
          <w:b w:val="0"/>
          <w:bCs w:val="0"/>
          <w:color w:val="auto"/>
          <w:sz w:val="24"/>
          <w:highlight w:val="none"/>
        </w:rPr>
        <w:t>《环境影响评价技术</w:t>
      </w:r>
      <w:r>
        <w:rPr>
          <w:rFonts w:hint="default" w:ascii="Times New Roman" w:hAnsi="Times New Roman" w:eastAsia="宋体" w:cs="Times New Roman"/>
          <w:color w:val="auto"/>
          <w:sz w:val="24"/>
          <w:highlight w:val="none"/>
        </w:rPr>
        <w:t>导则</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地下水环境》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HJ610-2016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确定，</w:t>
      </w:r>
      <w:r>
        <w:rPr>
          <w:rFonts w:hint="default" w:ascii="Times New Roman" w:hAnsi="Times New Roman" w:eastAsia="宋体" w:cs="Times New Roman"/>
          <w:color w:val="auto"/>
          <w:sz w:val="24"/>
          <w:highlight w:val="none"/>
        </w:rPr>
        <w:t>本项目地下水环境影响评价范围为以本项目场址为中心，周围</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区域内的地下水环境作为地下水保护目标。</w:t>
      </w:r>
    </w:p>
    <w:p>
      <w:pPr>
        <w:pStyle w:val="5"/>
        <w:shd w:val="clear"/>
        <w:spacing w:before="60" w:after="60"/>
        <w:rPr>
          <w:rFonts w:hint="default" w:ascii="Times New Roman" w:hAnsi="Times New Roman" w:eastAsia="宋体" w:cs="Times New Roman"/>
          <w:color w:val="auto"/>
          <w:highlight w:val="none"/>
        </w:rPr>
      </w:pPr>
      <w:bookmarkStart w:id="130" w:name="_Toc12141"/>
      <w:r>
        <w:rPr>
          <w:rFonts w:hint="default" w:ascii="Times New Roman" w:hAnsi="Times New Roman" w:eastAsia="宋体" w:cs="Times New Roman"/>
          <w:color w:val="auto"/>
          <w:highlight w:val="none"/>
        </w:rPr>
        <w:t>2.7相关规划符合性及环境功能区划</w:t>
      </w:r>
      <w:bookmarkEnd w:id="130"/>
    </w:p>
    <w:p>
      <w:pPr>
        <w:pStyle w:val="6"/>
        <w:keepLines w:val="0"/>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2.7.1相关规划</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与“三线一单”符合性分析</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一、生态保护红线：</w:t>
      </w:r>
    </w:p>
    <w:p>
      <w:pPr>
        <w:keepNext w:val="0"/>
        <w:keepLines w:val="0"/>
        <w:pageBreakBefore w:val="0"/>
        <w:widowControl w:val="0"/>
        <w:kinsoku/>
        <w:wordWrap/>
        <w:topLinePunct/>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根据巴彦淖尔市人民政府于2021年10月14日出具的《关于印发&lt;巴彦淖尔市“三线一单”生态环境分区管控方案&gt;的通知》（巴政发[2021]9号）</w:t>
      </w:r>
      <w:r>
        <w:rPr>
          <w:rFonts w:hint="default" w:ascii="Times New Roman" w:hAnsi="Times New Roman" w:eastAsia="宋体" w:cs="Times New Roman"/>
          <w:color w:val="auto"/>
          <w:sz w:val="24"/>
          <w:szCs w:val="24"/>
          <w:highlight w:val="none"/>
          <w:lang w:eastAsia="zh-CN"/>
        </w:rPr>
        <w:t>生态环境</w:t>
      </w:r>
      <w:r>
        <w:rPr>
          <w:rFonts w:hint="default" w:ascii="Times New Roman" w:hAnsi="Times New Roman" w:eastAsia="宋体" w:cs="Times New Roman"/>
          <w:color w:val="auto"/>
          <w:sz w:val="24"/>
          <w:szCs w:val="24"/>
          <w:highlight w:val="none"/>
        </w:rPr>
        <w:t>分区管控体系：全市共划定环境管控单元249个，包括优先保护单元、重点管控单元、一般管控单元三类，实施分类管控。</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内蒙古自治区乌拉特前旗额尔登布拉格苏木旧乡政府院内，根据乌拉特前旗自然资源局于2020年10月15日出具的《关于核查内蒙古华伟泽农业有限公司高新滴灌带（管）、PE管材管件、地膜、再生资源回收利用建设项目是否位于生态红线的复函》可知，本项目不在乌拉特前旗生态保护红线范围内</w:t>
      </w:r>
      <w:r>
        <w:rPr>
          <w:rFonts w:hint="default" w:ascii="Times New Roman" w:hAnsi="Times New Roman" w:eastAsia="宋体" w:cs="Times New Roman"/>
          <w:color w:val="auto"/>
          <w:sz w:val="24"/>
          <w:szCs w:val="24"/>
          <w:highlight w:val="none"/>
        </w:rPr>
        <w:t>。</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二、环境质量底线：</w:t>
      </w:r>
    </w:p>
    <w:p>
      <w:pPr>
        <w:pageBreakBefore w:val="0"/>
        <w:widowControl w:val="0"/>
        <w:kinsoku/>
        <w:wordWrap/>
        <w:topLinePunct/>
        <w:autoSpaceDN/>
        <w:bidi w:val="0"/>
        <w:spacing w:line="480" w:lineRule="exact"/>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kern w:val="0"/>
          <w:sz w:val="24"/>
          <w:szCs w:val="24"/>
          <w:highlight w:val="none"/>
          <w:lang w:eastAsia="zh-CN"/>
        </w:rPr>
        <w:t>《巴彦淖尔市环境质量状况公报</w:t>
      </w:r>
      <w:r>
        <w:rPr>
          <w:rFonts w:hint="default" w:ascii="Times New Roman" w:hAnsi="Times New Roman" w:eastAsia="宋体" w:cs="Times New Roman"/>
          <w:color w:val="auto"/>
          <w:kern w:val="0"/>
          <w:sz w:val="24"/>
          <w:szCs w:val="24"/>
          <w:highlight w:val="none"/>
          <w:lang w:val="en-US" w:eastAsia="zh-CN"/>
        </w:rPr>
        <w:t>2020年</w:t>
      </w:r>
      <w:r>
        <w:rPr>
          <w:rFonts w:hint="default" w:ascii="Times New Roman" w:hAnsi="Times New Roman" w:eastAsia="宋体" w:cs="Times New Roman"/>
          <w:color w:val="auto"/>
          <w:kern w:val="0"/>
          <w:sz w:val="24"/>
          <w:szCs w:val="24"/>
          <w:highlight w:val="none"/>
          <w:lang w:eastAsia="zh-CN"/>
        </w:rPr>
        <w:t>》巴彦淖尔市乌拉特前旗</w:t>
      </w:r>
      <w:r>
        <w:rPr>
          <w:rFonts w:hint="default" w:ascii="Times New Roman" w:hAnsi="Times New Roman" w:eastAsia="宋体" w:cs="Times New Roman"/>
          <w:color w:val="auto"/>
          <w:kern w:val="0"/>
          <w:sz w:val="24"/>
          <w:szCs w:val="24"/>
          <w:highlight w:val="none"/>
          <w:lang w:val="en-US" w:eastAsia="zh-CN"/>
        </w:rPr>
        <w:t>2020年大气环境中6项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default" w:ascii="Times New Roman" w:hAnsi="Times New Roman" w:eastAsia="宋体" w:cs="Times New Roman"/>
          <w:color w:val="auto"/>
          <w:kern w:val="0"/>
          <w:sz w:val="24"/>
          <w:szCs w:val="24"/>
          <w:highlight w:val="none"/>
          <w:lang w:eastAsia="zh-CN"/>
        </w:rPr>
        <w:t>；根据</w:t>
      </w:r>
      <w:r>
        <w:rPr>
          <w:rFonts w:hint="default" w:ascii="Times New Roman" w:hAnsi="Times New Roman" w:eastAsia="宋体" w:cs="Times New Roman"/>
          <w:color w:val="auto"/>
          <w:sz w:val="24"/>
          <w:highlight w:val="none"/>
        </w:rPr>
        <w:t>特征因子</w:t>
      </w:r>
      <w:r>
        <w:rPr>
          <w:rFonts w:hint="default" w:ascii="Times New Roman" w:hAnsi="Times New Roman" w:eastAsia="宋体" w:cs="Times New Roman"/>
          <w:color w:val="auto"/>
          <w:kern w:val="0"/>
          <w:sz w:val="24"/>
          <w:szCs w:val="24"/>
          <w:highlight w:val="none"/>
          <w:lang w:eastAsia="zh-CN"/>
        </w:rPr>
        <w:t>监测结果可知，</w:t>
      </w:r>
      <w:r>
        <w:rPr>
          <w:rFonts w:hint="default" w:ascii="Times New Roman" w:hAnsi="Times New Roman" w:eastAsia="宋体" w:cs="Times New Roman"/>
          <w:color w:val="auto"/>
          <w:kern w:val="0"/>
          <w:sz w:val="24"/>
          <w:szCs w:val="24"/>
          <w:highlight w:val="none"/>
          <w:lang w:val="en-US" w:eastAsia="zh-CN"/>
        </w:rPr>
        <w:t>TSP</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vertAlign w:val="baseline"/>
          <w:lang w:eastAsia="zh-CN"/>
        </w:rPr>
        <w:t>；</w:t>
      </w:r>
      <w:r>
        <w:rPr>
          <w:rFonts w:hint="default" w:ascii="Times New Roman" w:hAnsi="Times New Roman" w:eastAsia="宋体" w:cs="Times New Roman"/>
          <w:color w:val="auto"/>
          <w:kern w:val="0"/>
          <w:sz w:val="24"/>
          <w:highlight w:val="none"/>
        </w:rPr>
        <w:t>非甲烷总烃</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满足</w:t>
      </w:r>
      <w:r>
        <w:rPr>
          <w:rFonts w:hint="default" w:ascii="Times New Roman" w:hAnsi="Times New Roman" w:eastAsia="宋体" w:cs="Times New Roman"/>
          <w:color w:val="auto"/>
          <w:kern w:val="0"/>
          <w:sz w:val="24"/>
          <w:highlight w:val="none"/>
        </w:rPr>
        <w:t>河北省地方标准《环境空气质量</w:t>
      </w:r>
      <w:r>
        <w:rPr>
          <w:rFonts w:hint="default" w:ascii="Times New Roman" w:hAnsi="Times New Roman"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rPr>
        <w:t>非甲烷总烃限值》（</w:t>
      </w:r>
      <w:r>
        <w:rPr>
          <w:rFonts w:hint="default" w:ascii="Times New Roman" w:hAnsi="Times New Roman" w:eastAsia="宋体" w:cs="Times New Roman"/>
          <w:color w:val="auto"/>
          <w:kern w:val="0"/>
          <w:sz w:val="24"/>
          <w:highlight w:val="none"/>
          <w:lang w:eastAsia="zh-CN"/>
        </w:rPr>
        <w:t>DB13/1577</w:t>
      </w:r>
      <w:r>
        <w:rPr>
          <w:rFonts w:hint="default" w:ascii="Times New Roman" w:hAnsi="Times New Roman" w:eastAsia="宋体" w:cs="Times New Roman"/>
          <w:color w:val="auto"/>
          <w:kern w:val="0"/>
          <w:sz w:val="24"/>
          <w:highlight w:val="none"/>
        </w:rPr>
        <w:t>-2012）标准要求；</w:t>
      </w:r>
      <w:r>
        <w:rPr>
          <w:rFonts w:hint="default" w:ascii="Times New Roman" w:hAnsi="Times New Roman" w:eastAsia="宋体" w:cs="Times New Roman"/>
          <w:color w:val="auto"/>
          <w:kern w:val="0"/>
          <w:sz w:val="24"/>
          <w:szCs w:val="24"/>
          <w:highlight w:val="none"/>
          <w:lang w:eastAsia="zh-CN"/>
        </w:rPr>
        <w:t>根据</w:t>
      </w:r>
      <w:r>
        <w:rPr>
          <w:rFonts w:hint="default" w:ascii="Times New Roman" w:hAnsi="Times New Roman" w:eastAsia="宋体" w:cs="Times New Roman"/>
          <w:color w:val="auto"/>
          <w:sz w:val="24"/>
          <w:highlight w:val="none"/>
          <w:lang w:eastAsia="zh-CN"/>
        </w:rPr>
        <w:t>土壤环境</w:t>
      </w:r>
      <w:r>
        <w:rPr>
          <w:rFonts w:hint="default" w:ascii="Times New Roman" w:hAnsi="Times New Roman" w:eastAsia="宋体" w:cs="Times New Roman"/>
          <w:color w:val="auto"/>
          <w:kern w:val="0"/>
          <w:sz w:val="24"/>
          <w:szCs w:val="24"/>
          <w:highlight w:val="none"/>
          <w:lang w:eastAsia="zh-CN"/>
        </w:rPr>
        <w:t>监测结果可知，</w:t>
      </w:r>
      <w:r>
        <w:rPr>
          <w:rFonts w:hint="default" w:ascii="Times New Roman" w:hAnsi="Times New Roman" w:eastAsia="宋体" w:cs="Times New Roman"/>
          <w:color w:val="auto"/>
          <w:sz w:val="24"/>
          <w:highlight w:val="none"/>
        </w:rPr>
        <w:t>各</w:t>
      </w:r>
      <w:r>
        <w:rPr>
          <w:rFonts w:hint="default" w:ascii="Times New Roman" w:hAnsi="Times New Roman" w:eastAsia="宋体" w:cs="Times New Roman"/>
          <w:color w:val="auto"/>
          <w:sz w:val="24"/>
          <w:highlight w:val="none"/>
          <w:lang w:eastAsia="zh-CN"/>
        </w:rPr>
        <w:t>监测</w:t>
      </w:r>
      <w:r>
        <w:rPr>
          <w:rFonts w:hint="default" w:ascii="Times New Roman" w:hAnsi="Times New Roman" w:eastAsia="宋体" w:cs="Times New Roman"/>
          <w:color w:val="auto"/>
          <w:sz w:val="24"/>
          <w:highlight w:val="none"/>
        </w:rPr>
        <w:t>因子均满足《土壤环境质量</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建设用地土壤污染风险管控标准》（GB36600-2018）中第二类用地的筛选值</w:t>
      </w:r>
      <w:r>
        <w:rPr>
          <w:rFonts w:hint="default" w:ascii="Times New Roman" w:hAnsi="Times New Roman" w:eastAsia="宋体" w:cs="Times New Roman"/>
          <w:color w:val="auto"/>
          <w:sz w:val="24"/>
          <w:highlight w:val="none"/>
          <w:lang w:eastAsia="zh-CN"/>
        </w:rPr>
        <w:t>；项目厂区四周及敏感点噪声监测值</w:t>
      </w:r>
      <w:r>
        <w:rPr>
          <w:rFonts w:hint="default" w:ascii="Times New Roman" w:hAnsi="Times New Roman" w:eastAsia="宋体" w:cs="Times New Roman"/>
          <w:color w:val="auto"/>
          <w:sz w:val="24"/>
          <w:highlight w:val="none"/>
        </w:rPr>
        <w:t>均满足《声环境质量标准》（GB3096-2008）</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类标准要求</w:t>
      </w:r>
      <w:r>
        <w:rPr>
          <w:rFonts w:hint="default" w:ascii="Times New Roman" w:hAnsi="Times New Roman" w:eastAsia="宋体" w:cs="Times New Roman"/>
          <w:color w:val="auto"/>
          <w:sz w:val="24"/>
          <w:szCs w:val="24"/>
          <w:highlight w:val="none"/>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项目建成后，</w:t>
      </w:r>
      <w:r>
        <w:rPr>
          <w:rFonts w:hint="default" w:ascii="Times New Roman" w:hAnsi="Times New Roman" w:eastAsia="宋体" w:cs="Times New Roman"/>
          <w:color w:val="auto"/>
          <w:sz w:val="24"/>
          <w:highlight w:val="none"/>
          <w:lang w:eastAsia="zh-CN"/>
        </w:rPr>
        <w:t>生产过程中产生的</w:t>
      </w:r>
      <w:r>
        <w:rPr>
          <w:rFonts w:hint="default" w:ascii="Times New Roman" w:hAnsi="Times New Roman" w:eastAsia="宋体" w:cs="Times New Roman"/>
          <w:color w:val="auto"/>
          <w:sz w:val="24"/>
          <w:highlight w:val="none"/>
        </w:rPr>
        <w:t>废气</w:t>
      </w:r>
      <w:r>
        <w:rPr>
          <w:rFonts w:hint="default" w:ascii="Times New Roman" w:hAnsi="Times New Roman" w:eastAsia="宋体" w:cs="Times New Roman"/>
          <w:color w:val="auto"/>
          <w:sz w:val="24"/>
          <w:highlight w:val="none"/>
          <w:lang w:eastAsia="zh-CN"/>
        </w:rPr>
        <w:t>经处理后均可</w:t>
      </w:r>
      <w:r>
        <w:rPr>
          <w:rFonts w:hint="default" w:ascii="Times New Roman" w:hAnsi="Times New Roman" w:eastAsia="宋体" w:cs="Times New Roman"/>
          <w:color w:val="auto"/>
          <w:sz w:val="24"/>
          <w:highlight w:val="none"/>
        </w:rPr>
        <w:t>达标排放</w:t>
      </w:r>
      <w:r>
        <w:rPr>
          <w:rFonts w:hint="default" w:ascii="Times New Roman" w:hAnsi="Times New Roman" w:eastAsia="宋体" w:cs="Times New Roman"/>
          <w:color w:val="auto"/>
          <w:sz w:val="24"/>
          <w:highlight w:val="none"/>
          <w:lang w:eastAsia="zh-CN"/>
        </w:rPr>
        <w:t>；根据大气预测，</w:t>
      </w:r>
      <w:r>
        <w:rPr>
          <w:rFonts w:hint="default" w:ascii="Times New Roman" w:hAnsi="Times New Roman" w:eastAsia="宋体" w:cs="Times New Roman"/>
          <w:color w:val="auto"/>
          <w:sz w:val="24"/>
          <w:szCs w:val="24"/>
          <w:lang w:eastAsia="zh-CN"/>
        </w:rPr>
        <w:t>本项目生产期</w:t>
      </w:r>
      <w:r>
        <w:rPr>
          <w:rFonts w:hint="default" w:ascii="Times New Roman" w:hAnsi="Times New Roman" w:eastAsia="宋体" w:cs="Times New Roman"/>
          <w:color w:val="auto"/>
          <w:sz w:val="24"/>
          <w:szCs w:val="24"/>
          <w:lang w:val="en-US" w:eastAsia="zh-CN"/>
        </w:rPr>
        <w:t>排放的颗粒物</w:t>
      </w:r>
      <w:r>
        <w:rPr>
          <w:rFonts w:hint="default" w:ascii="Times New Roman" w:hAnsi="Times New Roman" w:eastAsia="宋体" w:cs="Times New Roman"/>
          <w:color w:val="auto"/>
          <w:sz w:val="24"/>
          <w:szCs w:val="24"/>
          <w:lang w:eastAsia="zh-CN"/>
        </w:rPr>
        <w:t>对</w:t>
      </w:r>
      <w:r>
        <w:rPr>
          <w:rFonts w:hint="default" w:ascii="Times New Roman" w:hAnsi="Times New Roman" w:eastAsia="宋体" w:cs="Times New Roman"/>
          <w:bCs/>
          <w:color w:val="auto"/>
          <w:sz w:val="24"/>
          <w:szCs w:val="24"/>
          <w:lang w:eastAsia="zh-CN"/>
        </w:rPr>
        <w:t>东侧</w:t>
      </w:r>
      <w:r>
        <w:rPr>
          <w:rFonts w:hint="default" w:ascii="Times New Roman" w:hAnsi="Times New Roman" w:eastAsia="宋体" w:cs="Times New Roman"/>
          <w:bCs/>
          <w:color w:val="auto"/>
          <w:sz w:val="24"/>
          <w:szCs w:val="24"/>
          <w:lang w:val="en-US" w:eastAsia="zh-CN"/>
        </w:rPr>
        <w:t>175m处的居民、南侧75m处的居民、北侧125m处的居民等</w:t>
      </w:r>
      <w:r>
        <w:rPr>
          <w:rFonts w:hint="default" w:ascii="Times New Roman" w:hAnsi="Times New Roman" w:eastAsia="宋体" w:cs="Times New Roman"/>
          <w:color w:val="auto"/>
          <w:sz w:val="24"/>
          <w:szCs w:val="24"/>
          <w:lang w:eastAsia="zh-CN"/>
        </w:rPr>
        <w:t>周围敏感点的预测值均满足《环境空气质量标准》（GB3095-2012）及修改单表1中二级标准；排放的非甲烷总烃对</w:t>
      </w:r>
      <w:r>
        <w:rPr>
          <w:rFonts w:hint="default" w:ascii="Times New Roman" w:hAnsi="Times New Roman" w:eastAsia="宋体" w:cs="Times New Roman"/>
          <w:bCs/>
          <w:color w:val="auto"/>
          <w:sz w:val="24"/>
          <w:szCs w:val="24"/>
          <w:lang w:eastAsia="zh-CN"/>
        </w:rPr>
        <w:t>东侧</w:t>
      </w:r>
      <w:r>
        <w:rPr>
          <w:rFonts w:hint="default" w:ascii="Times New Roman" w:hAnsi="Times New Roman" w:eastAsia="宋体" w:cs="Times New Roman"/>
          <w:bCs/>
          <w:color w:val="auto"/>
          <w:sz w:val="24"/>
          <w:szCs w:val="24"/>
          <w:lang w:val="en-US" w:eastAsia="zh-CN"/>
        </w:rPr>
        <w:t>175m处的居民、南侧75m处的居民、北侧125m处的居民等</w:t>
      </w:r>
      <w:r>
        <w:rPr>
          <w:rFonts w:hint="default" w:ascii="Times New Roman" w:hAnsi="Times New Roman" w:eastAsia="宋体" w:cs="Times New Roman"/>
          <w:color w:val="auto"/>
          <w:sz w:val="24"/>
          <w:szCs w:val="24"/>
          <w:lang w:eastAsia="zh-CN"/>
        </w:rPr>
        <w:t>周围敏感点的预测值均满足《环境空气质量 非甲烷总烃限值》（DB13/1577-2012）中二级标准，</w:t>
      </w:r>
      <w:r>
        <w:rPr>
          <w:rFonts w:hint="default" w:ascii="Times New Roman" w:hAnsi="Times New Roman" w:eastAsia="宋体" w:cs="Times New Roman"/>
          <w:color w:val="auto"/>
          <w:sz w:val="24"/>
          <w:highlight w:val="none"/>
          <w:lang w:eastAsia="zh-CN"/>
        </w:rPr>
        <w:t>因此，本项目的实施</w:t>
      </w:r>
      <w:r>
        <w:rPr>
          <w:rFonts w:hint="default" w:ascii="Times New Roman" w:hAnsi="Times New Roman" w:eastAsia="宋体" w:cs="Times New Roman"/>
          <w:color w:val="auto"/>
          <w:sz w:val="24"/>
          <w:highlight w:val="none"/>
        </w:rPr>
        <w:t>不会造成所在区域大气环境质量恶化；本项目生产废水</w:t>
      </w:r>
      <w:r>
        <w:rPr>
          <w:rFonts w:hint="default" w:ascii="Times New Roman" w:hAnsi="Times New Roman" w:eastAsia="宋体" w:cs="Times New Roman"/>
          <w:color w:val="auto"/>
          <w:sz w:val="24"/>
          <w:highlight w:val="none"/>
          <w:lang w:eastAsia="zh-CN"/>
        </w:rPr>
        <w:t>循环使用，</w:t>
      </w:r>
      <w:r>
        <w:rPr>
          <w:rFonts w:hint="default" w:ascii="Times New Roman" w:hAnsi="Times New Roman" w:eastAsia="宋体" w:cs="Times New Roman"/>
          <w:color w:val="auto"/>
          <w:sz w:val="24"/>
          <w:highlight w:val="none"/>
        </w:rPr>
        <w:t>不外排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生活污水</w:t>
      </w:r>
      <w:r>
        <w:rPr>
          <w:rFonts w:hint="default" w:ascii="Times New Roman" w:hAnsi="Times New Roman" w:eastAsia="宋体" w:cs="Times New Roman"/>
          <w:color w:val="auto"/>
          <w:sz w:val="24"/>
          <w:highlight w:val="none"/>
          <w:lang w:eastAsia="zh-CN"/>
        </w:rPr>
        <w:t>排入防渗化粪池内</w:t>
      </w:r>
      <w:r>
        <w:rPr>
          <w:rFonts w:hint="default" w:ascii="Times New Roman" w:hAnsi="Times New Roman" w:eastAsia="宋体" w:cs="Times New Roman"/>
          <w:color w:val="auto"/>
          <w:sz w:val="24"/>
          <w:highlight w:val="none"/>
          <w:lang w:val="en-US" w:eastAsia="zh-CN"/>
        </w:rPr>
        <w:t>，定期清掏</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防渗化粪池</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三级沉淀池、冷却水池</w:t>
      </w:r>
      <w:r>
        <w:rPr>
          <w:rFonts w:hint="default" w:ascii="Times New Roman" w:hAnsi="Times New Roman" w:eastAsia="宋体" w:cs="Times New Roman"/>
          <w:color w:val="auto"/>
          <w:sz w:val="24"/>
          <w:highlight w:val="none"/>
        </w:rPr>
        <w:t>等均采取完善的防渗措施，不会造成所在区域地下水环境质量恶化；设备噪声均采取基础减震、柔性连接、墙体隔声</w:t>
      </w:r>
      <w:r>
        <w:rPr>
          <w:rFonts w:hint="default" w:ascii="Times New Roman" w:hAnsi="Times New Roman" w:eastAsia="宋体" w:cs="Times New Roman"/>
          <w:color w:val="auto"/>
          <w:sz w:val="24"/>
          <w:highlight w:val="none"/>
          <w:lang w:eastAsia="zh-CN"/>
        </w:rPr>
        <w:t>等</w:t>
      </w:r>
      <w:r>
        <w:rPr>
          <w:rFonts w:hint="default" w:ascii="Times New Roman" w:hAnsi="Times New Roman" w:eastAsia="宋体" w:cs="Times New Roman"/>
          <w:color w:val="auto"/>
          <w:sz w:val="24"/>
          <w:highlight w:val="none"/>
        </w:rPr>
        <w:t>措施，</w:t>
      </w:r>
      <w:r>
        <w:rPr>
          <w:rFonts w:hint="default" w:ascii="Times New Roman" w:hAnsi="Times New Roman" w:eastAsia="宋体" w:cs="Times New Roman"/>
          <w:color w:val="auto"/>
          <w:sz w:val="24"/>
          <w:highlight w:val="none"/>
          <w:lang w:eastAsia="zh-CN"/>
        </w:rPr>
        <w:t>根据预测，厂界噪声满足《工业企业厂界环境噪声排放标准》（GB12348-2008）2类标准限值，敏感点声环境质量满足《声环境质量标准》（GB3096-2008）2类声环境功能区标准，因此，本项目的实施</w:t>
      </w:r>
      <w:r>
        <w:rPr>
          <w:rFonts w:hint="default" w:ascii="Times New Roman" w:hAnsi="Times New Roman" w:eastAsia="宋体" w:cs="Times New Roman"/>
          <w:color w:val="auto"/>
          <w:sz w:val="24"/>
          <w:highlight w:val="none"/>
        </w:rPr>
        <w:t>不会造成所在区域声环境质量恶化</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综上所述，本项目建设不会使项目所在区域环境质量恶化，满足环境质量底线要求</w:t>
      </w:r>
      <w:r>
        <w:rPr>
          <w:rFonts w:hint="default" w:ascii="Times New Roman" w:hAnsi="Times New Roman" w:eastAsia="宋体" w:cs="Times New Roman"/>
          <w:color w:val="auto"/>
          <w:sz w:val="24"/>
          <w:highlight w:val="none"/>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三、资源利用上线：</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本项目的建设运行不会突破水资源利用上线、土地资源利用上线、能源资源上线以及岸线利用上线要求</w:t>
      </w:r>
      <w:r>
        <w:rPr>
          <w:rFonts w:hint="default" w:ascii="Times New Roman" w:hAnsi="Times New Roman" w:eastAsia="宋体" w:cs="Times New Roman"/>
          <w:color w:val="auto"/>
          <w:sz w:val="24"/>
          <w:highlight w:val="none"/>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四、</w:t>
      </w:r>
      <w:r>
        <w:rPr>
          <w:rFonts w:hint="default" w:ascii="Times New Roman" w:hAnsi="Times New Roman" w:eastAsia="宋体" w:cs="Times New Roman"/>
          <w:color w:val="auto"/>
          <w:sz w:val="24"/>
          <w:highlight w:val="none"/>
          <w:lang w:eastAsia="zh-CN"/>
        </w:rPr>
        <w:t>生态环境准入清单</w:t>
      </w:r>
      <w:r>
        <w:rPr>
          <w:rFonts w:hint="default" w:ascii="Times New Roman" w:hAnsi="Times New Roman" w:eastAsia="宋体" w:cs="Times New Roman"/>
          <w:color w:val="auto"/>
          <w:sz w:val="24"/>
          <w:highlight w:val="none"/>
        </w:rPr>
        <w:t>：</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巴彦淖尔市生态环境局2021年11月29日发布的《巴彦淖尔市生态环境准入清单》（巴环函[2021]61号），本项目位于乌拉特前旗一般生态空间-水土保持控制单元，环境管控单元编码ZH15082310030，属于优先保护单元，从空间布局约束、污染物排放管控、环境风险防控、资源利用效率要求等方面分析，本项目</w:t>
      </w:r>
      <w:r>
        <w:rPr>
          <w:rFonts w:hint="default" w:ascii="Times New Roman" w:hAnsi="Times New Roman" w:eastAsia="宋体" w:cs="Times New Roman"/>
          <w:color w:val="auto"/>
          <w:sz w:val="24"/>
          <w:szCs w:val="24"/>
          <w:highlight w:val="none"/>
          <w:lang w:eastAsia="zh-CN"/>
        </w:rPr>
        <w:t>配套设置</w:t>
      </w:r>
      <w:r>
        <w:rPr>
          <w:rFonts w:hint="default" w:ascii="Times New Roman" w:hAnsi="Times New Roman" w:eastAsia="宋体" w:cs="Times New Roman"/>
          <w:color w:val="auto"/>
          <w:sz w:val="24"/>
          <w:szCs w:val="24"/>
          <w:highlight w:val="none"/>
        </w:rPr>
        <w:t>环保措施，环境影响及环境风险可控；在生产工艺技术、设备水平、清洁化生产均达到国内先进水平。</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因此，本项目符合三线一单管控要求</w: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Cs/>
          <w:color w:val="auto"/>
          <w:kern w:val="0"/>
          <w:sz w:val="24"/>
          <w:highlight w:val="none"/>
          <w:lang w:eastAsia="zh-CN"/>
        </w:rPr>
        <w:t>乌拉特前旗总体规划符合性分析</w:t>
      </w:r>
    </w:p>
    <w:p>
      <w:pPr>
        <w:shd w:val="clear"/>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根据《乌拉特前旗土地利用总体规划（2009-2020年）》</w:t>
      </w:r>
      <w:r>
        <w:rPr>
          <w:rFonts w:hint="default" w:ascii="Times New Roman" w:hAnsi="Times New Roman" w:eastAsia="宋体" w:cs="Times New Roman"/>
          <w:bCs/>
          <w:color w:val="auto"/>
          <w:kern w:val="0"/>
          <w:sz w:val="24"/>
          <w:highlight w:val="none"/>
          <w:lang w:val="en-US" w:eastAsia="zh-CN"/>
        </w:rPr>
        <w:t>--</w:t>
      </w:r>
      <w:r>
        <w:rPr>
          <w:rFonts w:hint="default" w:ascii="Times New Roman" w:hAnsi="Times New Roman" w:eastAsia="宋体" w:cs="Times New Roman"/>
          <w:bCs/>
          <w:color w:val="auto"/>
          <w:kern w:val="0"/>
          <w:sz w:val="24"/>
          <w:highlight w:val="none"/>
          <w:lang w:eastAsia="zh-CN"/>
        </w:rPr>
        <w:t>旗域产业发展定位，“以西部大开发为背景，以沿黄河沿交通干线产业带发展为契机，瞄准产业未来发展方向，不断优化产业结构，逐步完善以农牧业为特色，构建以重化工业、矿山冶金业、生态旅游服务业为主，以农畜产品加工业、现代商贸物流业为辅的新型产业发展体系”。</w:t>
      </w:r>
    </w:p>
    <w:p>
      <w:pPr>
        <w:shd w:val="clear"/>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本项目回收当地农田内的废旧棚膜及滴灌带，熔融再生制得再生塑料颗粒，重新加热塑化生产滴灌带、地膜、PE管材管件，外售给当地农民，属于农业辅助产业，因此，本项目符合乌拉特前旗产业发展规划。</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kern w:val="0"/>
          <w:sz w:val="24"/>
          <w:highlight w:val="none"/>
          <w:lang w:eastAsia="zh-CN"/>
        </w:rPr>
        <w:t>本项目位于乌拉特前旗额尔登布拉格苏木旧乡政府院内，拟建厂区用地性质为建设用地，不占用耕地和基本农田等，因此，本项目符合乌拉特前旗土地利用总体规划。</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与《废塑料综合利用行业规范条件》符合性分析</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2.7-</w:t>
      </w:r>
      <w:r>
        <w:rPr>
          <w:rFonts w:hint="default"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rPr>
        <w:t xml:space="preserve"> 与《废塑料综合利用行业规范条件》符合性分析</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03"/>
        <w:gridCol w:w="3432"/>
        <w:gridCol w:w="2633"/>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序号</w:t>
            </w:r>
          </w:p>
        </w:tc>
        <w:tc>
          <w:tcPr>
            <w:tcW w:w="70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要求</w:t>
            </w: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内容</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本项目情况</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1</w:t>
            </w:r>
          </w:p>
        </w:tc>
        <w:tc>
          <w:tcPr>
            <w:tcW w:w="703"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企业的设立和布局</w:t>
            </w: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废塑料综合利用企业所涉及的热塑性废塑料原料，不包括受到危险化学品、农药等污染的废弃塑料包装物、废弃一次性医疗用塑料制品等塑料类危险废物，以及氟塑料等特种工程塑料。</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本项目废旧塑料原料均来自乌拉特前旗地区农业过程中废弃的棚膜及滴灌带。不回收和再生利用属于医疗废</w:t>
            </w:r>
            <w:r>
              <w:rPr>
                <w:rFonts w:hint="default" w:ascii="Times New Roman" w:hAnsi="Times New Roman" w:eastAsia="宋体" w:cs="Times New Roman"/>
                <w:color w:val="auto"/>
                <w:kern w:val="0"/>
                <w:sz w:val="21"/>
                <w:szCs w:val="21"/>
                <w:highlight w:val="none"/>
              </w:rPr>
              <w:t>物</w:t>
            </w:r>
            <w:r>
              <w:rPr>
                <w:rFonts w:hint="default" w:ascii="Times New Roman" w:hAnsi="Times New Roman" w:eastAsia="宋体" w:cs="Times New Roman"/>
                <w:color w:val="auto"/>
                <w:kern w:val="0"/>
                <w:sz w:val="21"/>
                <w:szCs w:val="21"/>
                <w:highlight w:val="none"/>
                <w:lang w:eastAsia="zh-TW"/>
              </w:rPr>
              <w:t>和危险废物的废塑料，不回</w:t>
            </w:r>
            <w:r>
              <w:rPr>
                <w:rFonts w:hint="default" w:ascii="Times New Roman" w:hAnsi="Times New Roman" w:eastAsia="宋体" w:cs="Times New Roman"/>
                <w:color w:val="auto"/>
                <w:kern w:val="0"/>
                <w:sz w:val="21"/>
                <w:szCs w:val="21"/>
                <w:highlight w:val="none"/>
              </w:rPr>
              <w:t>收</w:t>
            </w:r>
            <w:r>
              <w:rPr>
                <w:rFonts w:hint="default" w:ascii="Times New Roman" w:hAnsi="Times New Roman" w:eastAsia="宋体" w:cs="Times New Roman"/>
                <w:color w:val="auto"/>
                <w:kern w:val="0"/>
                <w:sz w:val="21"/>
                <w:szCs w:val="21"/>
                <w:highlight w:val="none"/>
                <w:lang w:eastAsia="zh-TW"/>
              </w:rPr>
              <w:t>PP、PVC、特种塑料等。</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03"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在国家法律、法规、规章和规划确定或县级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w:t>
            </w:r>
            <w:r>
              <w:rPr>
                <w:rFonts w:hint="default" w:ascii="Times New Roman" w:hAnsi="Times New Roman" w:eastAsia="宋体" w:cs="Times New Roman"/>
                <w:color w:val="auto"/>
                <w:kern w:val="0"/>
                <w:sz w:val="21"/>
                <w:szCs w:val="21"/>
                <w:highlight w:val="none"/>
              </w:rPr>
              <w:t>位于</w:t>
            </w:r>
            <w:r>
              <w:rPr>
                <w:rFonts w:hint="default" w:ascii="Times New Roman" w:hAnsi="Times New Roman" w:eastAsia="宋体" w:cs="Times New Roman"/>
                <w:color w:val="auto"/>
                <w:kern w:val="0"/>
                <w:sz w:val="21"/>
                <w:szCs w:val="21"/>
                <w:highlight w:val="none"/>
                <w:lang w:val="en-US" w:eastAsia="zh-CN"/>
              </w:rPr>
              <w:t>乌拉特前旗额尔登布拉格苏木旧乡政府院内</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选址不属于国家法律、法规、规章和规划确定或县级以上人民政府规定的自然保护区、风景名胜区、饮用水源保护区、基本农田保护区和其他需要特别保护的区域内。</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2</w:t>
            </w:r>
          </w:p>
        </w:tc>
        <w:tc>
          <w:tcPr>
            <w:tcW w:w="70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生产经营规模</w:t>
            </w: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塑料再生造粒类企业</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新建企业年废塑料处理能力不低于5000吨</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已建企业年废塑料处理能力不低于3000吨。</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本项目为新建项目，</w:t>
            </w:r>
            <w:r>
              <w:rPr>
                <w:rFonts w:hint="default" w:ascii="Times New Roman" w:hAnsi="Times New Roman" w:eastAsia="宋体" w:cs="Times New Roman"/>
                <w:color w:val="auto"/>
                <w:kern w:val="0"/>
                <w:sz w:val="21"/>
                <w:szCs w:val="21"/>
                <w:highlight w:val="none"/>
              </w:rPr>
              <w:t>项目建成后</w:t>
            </w:r>
            <w:r>
              <w:rPr>
                <w:rFonts w:hint="default" w:ascii="Times New Roman" w:hAnsi="Times New Roman" w:eastAsia="宋体" w:cs="Times New Roman"/>
                <w:color w:val="auto"/>
                <w:kern w:val="0"/>
                <w:sz w:val="21"/>
                <w:szCs w:val="21"/>
                <w:highlight w:val="none"/>
                <w:lang w:eastAsia="zh-TW"/>
              </w:rPr>
              <w:t>年处理废塑料</w:t>
            </w:r>
            <w:r>
              <w:rPr>
                <w:rFonts w:hint="default" w:ascii="Times New Roman" w:hAnsi="Times New Roman" w:eastAsia="宋体" w:cs="Times New Roman"/>
                <w:color w:val="auto"/>
                <w:kern w:val="0"/>
                <w:sz w:val="21"/>
                <w:szCs w:val="21"/>
                <w:highlight w:val="none"/>
                <w:lang w:val="en-US" w:eastAsia="zh-CN"/>
              </w:rPr>
              <w:t>9</w:t>
            </w:r>
            <w:r>
              <w:rPr>
                <w:rFonts w:hint="default" w:ascii="Times New Roman" w:hAnsi="Times New Roman" w:eastAsia="宋体" w:cs="Times New Roman"/>
                <w:color w:val="auto"/>
                <w:kern w:val="0"/>
                <w:sz w:val="21"/>
                <w:szCs w:val="21"/>
                <w:highlight w:val="none"/>
                <w:lang w:eastAsia="zh-CN"/>
              </w:rPr>
              <w:t>000</w:t>
            </w:r>
            <w:r>
              <w:rPr>
                <w:rFonts w:hint="default" w:ascii="Times New Roman" w:hAnsi="Times New Roman" w:eastAsia="宋体" w:cs="Times New Roman"/>
                <w:color w:val="auto"/>
                <w:kern w:val="0"/>
                <w:sz w:val="21"/>
                <w:szCs w:val="21"/>
                <w:highlight w:val="none"/>
                <w:lang w:eastAsia="zh-TW"/>
              </w:rPr>
              <w:t>吨。</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3</w:t>
            </w:r>
          </w:p>
        </w:tc>
        <w:tc>
          <w:tcPr>
            <w:tcW w:w="703"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资源综合利用及能耗</w:t>
            </w: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企业应对收集的废塑料进行充分利用，提高资源回收利用效率，不得倾倒、焚烧与填埋。</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本项目将收集的废塑料制成PE颗粒、滴灌带</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地膜、PE管材管件</w:t>
            </w:r>
            <w:r>
              <w:rPr>
                <w:rFonts w:hint="default" w:ascii="Times New Roman" w:hAnsi="Times New Roman" w:eastAsia="宋体" w:cs="Times New Roman"/>
                <w:color w:val="auto"/>
                <w:kern w:val="0"/>
                <w:sz w:val="21"/>
                <w:szCs w:val="21"/>
                <w:highlight w:val="none"/>
                <w:lang w:eastAsia="zh-TW"/>
              </w:rPr>
              <w:t>，不倾倒、焚烧与填埋废塑料，生产过程产生的固废按国家相应要求处置。</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03"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塑料再生加工相关生产环节的综合电耗低于500千瓦时/吨废塑料。</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项目年耗电量约</w:t>
            </w:r>
            <w:r>
              <w:rPr>
                <w:rFonts w:hint="default" w:ascii="Times New Roman" w:hAnsi="Times New Roman" w:eastAsia="宋体" w:cs="Times New Roman"/>
                <w:color w:val="auto"/>
                <w:kern w:val="0"/>
                <w:sz w:val="21"/>
                <w:szCs w:val="21"/>
                <w:highlight w:val="none"/>
                <w:lang w:val="en-US" w:eastAsia="zh-CN"/>
              </w:rPr>
              <w:t>248.4</w:t>
            </w:r>
            <w:r>
              <w:rPr>
                <w:rFonts w:hint="default" w:ascii="Times New Roman" w:hAnsi="Times New Roman" w:eastAsia="宋体" w:cs="Times New Roman"/>
                <w:color w:val="auto"/>
                <w:kern w:val="0"/>
                <w:sz w:val="21"/>
                <w:szCs w:val="21"/>
                <w:highlight w:val="none"/>
                <w:lang w:eastAsia="zh-TW"/>
              </w:rPr>
              <w:t>万KWh，即2</w:t>
            </w:r>
            <w:r>
              <w:rPr>
                <w:rFonts w:hint="default" w:ascii="Times New Roman" w:hAnsi="Times New Roman" w:eastAsia="宋体" w:cs="Times New Roman"/>
                <w:color w:val="auto"/>
                <w:kern w:val="0"/>
                <w:sz w:val="21"/>
                <w:szCs w:val="21"/>
                <w:highlight w:val="none"/>
                <w:lang w:val="en-US" w:eastAsia="zh-CN"/>
              </w:rPr>
              <w:t>76</w:t>
            </w:r>
            <w:r>
              <w:rPr>
                <w:rFonts w:hint="default" w:ascii="Times New Roman" w:hAnsi="Times New Roman" w:eastAsia="宋体" w:cs="Times New Roman"/>
                <w:color w:val="auto"/>
                <w:kern w:val="0"/>
                <w:sz w:val="21"/>
                <w:szCs w:val="21"/>
                <w:highlight w:val="none"/>
                <w:lang w:eastAsia="zh-TW"/>
              </w:rPr>
              <w:t>千瓦时/吨废塑料。</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03"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塑料再生造粒类企业的综合新水消耗低于0.2吨/吨废塑料。</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项目造粒生产车间单位产品水耗为0.115t/t。</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4</w:t>
            </w:r>
          </w:p>
        </w:tc>
        <w:tc>
          <w:tcPr>
            <w:tcW w:w="70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工艺与设备</w:t>
            </w: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塑料再生造粒类企业。应具有与加工利用能力相适应的预处理设备和造粒设备。其中，造粒设备应具有强制排气系统，通过集气装置实现废气的集中处理</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过滤装置的废弃过滤网应按照环境保护有关规定处理，禁止露天焚烧。</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本项目设置2条再生塑料颗粒生产线，挤塑、切粒、吹塑废气</w:t>
            </w:r>
            <w:r>
              <w:rPr>
                <w:rFonts w:hint="default" w:ascii="Times New Roman" w:hAnsi="Times New Roman" w:eastAsia="宋体" w:cs="Times New Roman"/>
                <w:color w:val="auto"/>
                <w:kern w:val="0"/>
                <w:sz w:val="21"/>
                <w:szCs w:val="21"/>
                <w:highlight w:val="none"/>
                <w:lang w:eastAsia="zh-CN"/>
              </w:rPr>
              <w:t>经</w:t>
            </w:r>
            <w:r>
              <w:rPr>
                <w:rFonts w:hint="default" w:ascii="Times New Roman" w:hAnsi="Times New Roman" w:eastAsia="宋体" w:cs="Times New Roman"/>
                <w:color w:val="auto"/>
                <w:kern w:val="0"/>
                <w:sz w:val="21"/>
                <w:szCs w:val="21"/>
                <w:highlight w:val="none"/>
                <w:lang w:eastAsia="zh-TW"/>
              </w:rPr>
              <w:t>集气罩+耐高温过滤棉</w:t>
            </w:r>
            <w:r>
              <w:rPr>
                <w:rFonts w:hint="eastAsia" w:cs="Times New Roman"/>
                <w:color w:val="auto"/>
                <w:kern w:val="0"/>
                <w:sz w:val="21"/>
                <w:szCs w:val="21"/>
                <w:highlight w:val="none"/>
                <w:lang w:val="en-US" w:eastAsia="zh-CN"/>
              </w:rPr>
              <w:t>+UV光氧催化</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eastAsia="zh-TW"/>
              </w:rPr>
              <w:t>活性炭吸附装置集中处理。</w:t>
            </w:r>
          </w:p>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项目</w:t>
            </w:r>
            <w:r>
              <w:rPr>
                <w:rFonts w:hint="default" w:ascii="Times New Roman" w:hAnsi="Times New Roman" w:eastAsia="宋体" w:cs="Times New Roman"/>
                <w:color w:val="auto"/>
                <w:kern w:val="0"/>
                <w:sz w:val="21"/>
                <w:szCs w:val="21"/>
                <w:highlight w:val="none"/>
              </w:rPr>
              <w:t>废滤网</w:t>
            </w:r>
            <w:r>
              <w:rPr>
                <w:rFonts w:hint="default" w:ascii="Times New Roman" w:hAnsi="Times New Roman" w:eastAsia="宋体" w:cs="Times New Roman"/>
                <w:color w:val="auto"/>
                <w:kern w:val="0"/>
                <w:sz w:val="21"/>
                <w:szCs w:val="21"/>
                <w:highlight w:val="none"/>
                <w:lang w:eastAsia="zh-TW"/>
              </w:rPr>
              <w:t>属于</w:t>
            </w:r>
            <w:r>
              <w:rPr>
                <w:rFonts w:hint="default" w:ascii="Times New Roman" w:hAnsi="Times New Roman" w:eastAsia="宋体" w:cs="Times New Roman"/>
                <w:color w:val="auto"/>
                <w:kern w:val="0"/>
                <w:sz w:val="21"/>
                <w:szCs w:val="21"/>
                <w:highlight w:val="none"/>
              </w:rPr>
              <w:t>一般固废</w:t>
            </w:r>
            <w:r>
              <w:rPr>
                <w:rFonts w:hint="default" w:ascii="Times New Roman" w:hAnsi="Times New Roman" w:eastAsia="宋体" w:cs="Times New Roman"/>
                <w:color w:val="auto"/>
                <w:kern w:val="0"/>
                <w:sz w:val="21"/>
                <w:szCs w:val="21"/>
                <w:highlight w:val="none"/>
                <w:lang w:eastAsia="zh-TW"/>
              </w:rPr>
              <w:t>，</w:t>
            </w:r>
            <w:r>
              <w:rPr>
                <w:rFonts w:hint="default" w:ascii="Times New Roman" w:hAnsi="Times New Roman" w:eastAsia="宋体" w:cs="Times New Roman"/>
                <w:color w:val="auto"/>
                <w:kern w:val="0"/>
                <w:sz w:val="21"/>
                <w:szCs w:val="21"/>
                <w:highlight w:val="none"/>
              </w:rPr>
              <w:t>产生后由</w:t>
            </w:r>
            <w:r>
              <w:rPr>
                <w:rFonts w:hint="default" w:ascii="Times New Roman" w:hAnsi="Times New Roman" w:eastAsia="宋体" w:cs="Times New Roman"/>
                <w:color w:val="auto"/>
                <w:kern w:val="0"/>
                <w:sz w:val="21"/>
                <w:szCs w:val="21"/>
                <w:highlight w:val="none"/>
                <w:lang w:eastAsia="zh-TW"/>
              </w:rPr>
              <w:t>厂家回收。</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5</w:t>
            </w:r>
          </w:p>
        </w:tc>
        <w:tc>
          <w:tcPr>
            <w:tcW w:w="703"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环境保护</w:t>
            </w: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本项目正在按照当地环保要求办理相关环保手续，同时要求项目必须建设配套的环境保护设施，编制环境风险应急预案，并</w:t>
            </w:r>
            <w:r>
              <w:rPr>
                <w:rFonts w:hint="default" w:ascii="Times New Roman" w:hAnsi="Times New Roman" w:eastAsia="宋体" w:cs="Times New Roman"/>
                <w:color w:val="auto"/>
                <w:kern w:val="0"/>
                <w:sz w:val="21"/>
                <w:szCs w:val="21"/>
                <w:highlight w:val="none"/>
              </w:rPr>
              <w:t>自行组织</w:t>
            </w:r>
            <w:r>
              <w:rPr>
                <w:rFonts w:hint="default" w:ascii="Times New Roman" w:hAnsi="Times New Roman" w:eastAsia="宋体" w:cs="Times New Roman"/>
                <w:color w:val="auto"/>
                <w:kern w:val="0"/>
                <w:sz w:val="21"/>
                <w:szCs w:val="21"/>
                <w:highlight w:val="none"/>
                <w:lang w:eastAsia="zh-TW"/>
              </w:rPr>
              <w:t>项目竣工环境保护验收。</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03"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企业加工存储场地应建有围墙，在园区内的企业可为单独厂房，地面全部硬化且无明显破损现象。</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本项目加工存储场地均在相应的</w:t>
            </w:r>
            <w:r>
              <w:rPr>
                <w:rFonts w:hint="default" w:ascii="Times New Roman" w:hAnsi="Times New Roman" w:eastAsia="宋体" w:cs="Times New Roman"/>
                <w:color w:val="auto"/>
                <w:kern w:val="0"/>
                <w:sz w:val="21"/>
                <w:szCs w:val="21"/>
                <w:highlight w:val="none"/>
                <w:lang w:eastAsia="zh-CN"/>
              </w:rPr>
              <w:t>封闭</w:t>
            </w:r>
            <w:r>
              <w:rPr>
                <w:rFonts w:hint="default" w:ascii="Times New Roman" w:hAnsi="Times New Roman" w:eastAsia="宋体" w:cs="Times New Roman"/>
                <w:color w:val="auto"/>
                <w:kern w:val="0"/>
                <w:sz w:val="21"/>
                <w:szCs w:val="21"/>
                <w:highlight w:val="none"/>
                <w:lang w:eastAsia="zh-TW"/>
              </w:rPr>
              <w:t>厂房内完成，厂房均为</w:t>
            </w:r>
            <w:r>
              <w:rPr>
                <w:rFonts w:hint="default" w:ascii="Times New Roman" w:hAnsi="Times New Roman" w:eastAsia="宋体" w:cs="Times New Roman"/>
                <w:color w:val="auto"/>
                <w:kern w:val="0"/>
                <w:sz w:val="21"/>
                <w:szCs w:val="21"/>
                <w:highlight w:val="none"/>
              </w:rPr>
              <w:t>彩钢棚</w:t>
            </w:r>
            <w:r>
              <w:rPr>
                <w:rFonts w:hint="default" w:ascii="Times New Roman" w:hAnsi="Times New Roman" w:eastAsia="宋体" w:cs="Times New Roman"/>
                <w:color w:val="auto"/>
                <w:kern w:val="0"/>
                <w:sz w:val="21"/>
                <w:szCs w:val="21"/>
                <w:highlight w:val="none"/>
                <w:lang w:eastAsia="zh-TW"/>
              </w:rPr>
              <w:t>封闭厂房</w:t>
            </w:r>
            <w:r>
              <w:rPr>
                <w:rFonts w:hint="default" w:ascii="Times New Roman" w:hAnsi="Times New Roman" w:eastAsia="宋体" w:cs="Times New Roman"/>
                <w:color w:val="auto"/>
                <w:kern w:val="0"/>
                <w:sz w:val="21"/>
                <w:szCs w:val="21"/>
                <w:highlight w:val="none"/>
                <w:lang w:eastAsia="zh-CN"/>
              </w:rPr>
              <w:t>，地面采取用混凝土硬化</w:t>
            </w:r>
            <w:r>
              <w:rPr>
                <w:rFonts w:hint="default" w:ascii="Times New Roman" w:hAnsi="Times New Roman" w:eastAsia="宋体" w:cs="Times New Roman"/>
                <w:color w:val="auto"/>
                <w:kern w:val="0"/>
                <w:sz w:val="21"/>
                <w:szCs w:val="21"/>
                <w:highlight w:val="none"/>
                <w:lang w:eastAsia="zh-TW"/>
              </w:rPr>
              <w:t>。</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03"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w:t>
            </w:r>
            <w:r>
              <w:rPr>
                <w:rFonts w:hint="default" w:ascii="Times New Roman" w:hAnsi="Times New Roman" w:eastAsia="宋体" w:cs="Times New Roman"/>
                <w:color w:val="auto"/>
                <w:kern w:val="0"/>
                <w:sz w:val="21"/>
                <w:szCs w:val="21"/>
                <w:highlight w:val="none"/>
                <w:lang w:eastAsia="zh-CN"/>
              </w:rPr>
              <w:t>设置</w:t>
            </w:r>
            <w:r>
              <w:rPr>
                <w:rFonts w:hint="default" w:ascii="Times New Roman" w:hAnsi="Times New Roman" w:eastAsia="宋体" w:cs="Times New Roman"/>
                <w:color w:val="auto"/>
                <w:kern w:val="0"/>
                <w:sz w:val="21"/>
                <w:szCs w:val="21"/>
                <w:highlight w:val="none"/>
                <w:lang w:eastAsia="zh-TW"/>
              </w:rPr>
              <w:t>原材料库，对废塑料分类存放；配备</w:t>
            </w:r>
            <w:r>
              <w:rPr>
                <w:rFonts w:hint="default" w:ascii="Times New Roman" w:hAnsi="Times New Roman" w:eastAsia="宋体" w:cs="Times New Roman"/>
                <w:color w:val="auto"/>
                <w:kern w:val="0"/>
                <w:sz w:val="21"/>
                <w:szCs w:val="21"/>
                <w:highlight w:val="none"/>
              </w:rPr>
              <w:t>原材料库及成品</w:t>
            </w:r>
            <w:r>
              <w:rPr>
                <w:rFonts w:hint="default" w:ascii="Times New Roman" w:hAnsi="Times New Roman" w:eastAsia="宋体" w:cs="Times New Roman"/>
                <w:color w:val="auto"/>
                <w:kern w:val="0"/>
                <w:sz w:val="21"/>
                <w:szCs w:val="21"/>
                <w:highlight w:val="none"/>
                <w:lang w:eastAsia="zh-CN"/>
              </w:rPr>
              <w:t>库</w:t>
            </w:r>
            <w:r>
              <w:rPr>
                <w:rFonts w:hint="default" w:ascii="Times New Roman" w:hAnsi="Times New Roman" w:eastAsia="宋体" w:cs="Times New Roman"/>
                <w:color w:val="auto"/>
                <w:kern w:val="0"/>
                <w:sz w:val="21"/>
                <w:szCs w:val="21"/>
                <w:highlight w:val="none"/>
                <w:lang w:eastAsia="zh-TW"/>
              </w:rPr>
              <w:t>，存放产品及不能利用废塑料及不可利用废物。原材料库为</w:t>
            </w:r>
            <w:r>
              <w:rPr>
                <w:rFonts w:hint="default" w:ascii="Times New Roman" w:hAnsi="Times New Roman" w:eastAsia="宋体" w:cs="Times New Roman"/>
                <w:color w:val="auto"/>
                <w:kern w:val="0"/>
                <w:sz w:val="21"/>
                <w:szCs w:val="21"/>
                <w:highlight w:val="none"/>
              </w:rPr>
              <w:t>彩钢棚</w:t>
            </w:r>
            <w:r>
              <w:rPr>
                <w:rFonts w:hint="default" w:ascii="Times New Roman" w:hAnsi="Times New Roman" w:eastAsia="宋体" w:cs="Times New Roman"/>
                <w:color w:val="auto"/>
                <w:kern w:val="0"/>
                <w:sz w:val="21"/>
                <w:szCs w:val="21"/>
                <w:highlight w:val="none"/>
                <w:lang w:eastAsia="zh-TW"/>
              </w:rPr>
              <w:t>封闭厂房，</w:t>
            </w:r>
            <w:r>
              <w:rPr>
                <w:rFonts w:hint="default" w:ascii="Times New Roman" w:hAnsi="Times New Roman" w:eastAsia="宋体" w:cs="Times New Roman"/>
                <w:color w:val="auto"/>
                <w:kern w:val="0"/>
                <w:sz w:val="21"/>
                <w:szCs w:val="21"/>
                <w:highlight w:val="none"/>
                <w:lang w:eastAsia="zh-CN"/>
              </w:rPr>
              <w:t>地面采取用混凝土硬化，</w:t>
            </w:r>
            <w:r>
              <w:rPr>
                <w:rFonts w:hint="default" w:ascii="Times New Roman" w:hAnsi="Times New Roman" w:eastAsia="宋体" w:cs="Times New Roman"/>
                <w:color w:val="auto"/>
                <w:kern w:val="0"/>
                <w:sz w:val="21"/>
                <w:szCs w:val="21"/>
                <w:highlight w:val="none"/>
                <w:lang w:eastAsia="zh-TW"/>
              </w:rPr>
              <w:t>具有防雨、防风、防渗等功能，无露天堆放现象。项目厂区污水“雨污分流”，雨水经雨水明渠</w:t>
            </w:r>
            <w:r>
              <w:rPr>
                <w:rFonts w:hint="default" w:ascii="Times New Roman" w:hAnsi="Times New Roman" w:eastAsia="宋体" w:cs="Times New Roman"/>
                <w:color w:val="auto"/>
                <w:kern w:val="0"/>
                <w:sz w:val="21"/>
                <w:szCs w:val="21"/>
                <w:highlight w:val="none"/>
              </w:rPr>
              <w:t>外排</w:t>
            </w:r>
            <w:r>
              <w:rPr>
                <w:rFonts w:hint="default" w:ascii="Times New Roman" w:hAnsi="Times New Roman" w:eastAsia="宋体" w:cs="Times New Roman"/>
                <w:color w:val="auto"/>
                <w:kern w:val="0"/>
                <w:sz w:val="21"/>
                <w:szCs w:val="21"/>
                <w:highlight w:val="none"/>
                <w:lang w:eastAsia="zh-TW"/>
              </w:rPr>
              <w:t>。</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03"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企业对收集的废塑料中的金属、橡胶、纤维、渣土、油脂、添加物等夹杂物，应采取相应的处理措施。如企业不具备处理条件，应委托其他具有处理能力的企业处理，不得擅自丢弃、倾倒、焚烧与填埋。</w:t>
            </w:r>
          </w:p>
        </w:tc>
        <w:tc>
          <w:tcPr>
            <w:tcW w:w="2633" w:type="dxa"/>
            <w:shd w:val="clear" w:color="auto" w:fill="auto"/>
            <w:vAlign w:val="center"/>
          </w:tcPr>
          <w:p>
            <w:pPr>
              <w:widowControl/>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eastAsia="zh-TW"/>
              </w:rPr>
              <w:t>企业对收集的废塑料中的金属、橡胶、</w:t>
            </w:r>
            <w:r>
              <w:rPr>
                <w:rFonts w:hint="default" w:ascii="Times New Roman" w:hAnsi="Times New Roman" w:eastAsia="宋体" w:cs="Times New Roman"/>
                <w:color w:val="auto"/>
                <w:kern w:val="0"/>
                <w:sz w:val="21"/>
                <w:szCs w:val="21"/>
                <w:highlight w:val="none"/>
                <w:lang w:eastAsia="zh-CN"/>
              </w:rPr>
              <w:t>泥土</w:t>
            </w:r>
            <w:r>
              <w:rPr>
                <w:rFonts w:hint="default" w:ascii="Times New Roman" w:hAnsi="Times New Roman" w:eastAsia="宋体" w:cs="Times New Roman"/>
                <w:color w:val="auto"/>
                <w:kern w:val="0"/>
                <w:sz w:val="21"/>
                <w:szCs w:val="21"/>
                <w:highlight w:val="none"/>
                <w:lang w:eastAsia="zh-TW"/>
              </w:rPr>
              <w:t>、</w:t>
            </w:r>
            <w:r>
              <w:rPr>
                <w:rFonts w:hint="default" w:ascii="Times New Roman" w:hAnsi="Times New Roman" w:eastAsia="宋体" w:cs="Times New Roman"/>
                <w:color w:val="auto"/>
                <w:kern w:val="0"/>
                <w:sz w:val="21"/>
                <w:szCs w:val="21"/>
                <w:highlight w:val="none"/>
                <w:lang w:eastAsia="zh-CN"/>
              </w:rPr>
              <w:t>杂草、石头</w:t>
            </w:r>
            <w:r>
              <w:rPr>
                <w:rFonts w:hint="default" w:ascii="Times New Roman" w:hAnsi="Times New Roman" w:eastAsia="宋体" w:cs="Times New Roman"/>
                <w:color w:val="auto"/>
                <w:kern w:val="0"/>
                <w:sz w:val="21"/>
                <w:szCs w:val="21"/>
                <w:highlight w:val="none"/>
                <w:lang w:eastAsia="zh-TW"/>
              </w:rPr>
              <w:t>等夹杂物，交由当地环卫部门清运，统一处置。</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03"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企业应具有与加工利用能力相适应的废水处理设施，中水回用率必须符合环评文件的有关要求。废水处理后需要外排的废水，必须经处理后达标排放。企业应采用高效节能环保的</w:t>
            </w:r>
            <w:r>
              <w:rPr>
                <w:rFonts w:hint="default" w:ascii="Times New Roman" w:hAnsi="Times New Roman" w:eastAsia="宋体" w:cs="Times New Roman"/>
                <w:color w:val="auto"/>
                <w:kern w:val="0"/>
                <w:sz w:val="21"/>
                <w:szCs w:val="21"/>
                <w:highlight w:val="none"/>
                <w:lang w:eastAsia="zh-CN"/>
              </w:rPr>
              <w:t>沉渣</w:t>
            </w:r>
            <w:r>
              <w:rPr>
                <w:rFonts w:hint="default" w:ascii="Times New Roman" w:hAnsi="Times New Roman" w:eastAsia="宋体" w:cs="Times New Roman"/>
                <w:color w:val="auto"/>
                <w:kern w:val="0"/>
                <w:sz w:val="21"/>
                <w:szCs w:val="21"/>
                <w:highlight w:val="none"/>
                <w:lang w:eastAsia="zh-TW"/>
              </w:rPr>
              <w:t>处理工艺或交由具有处理资格的废物处理机构，实现</w:t>
            </w:r>
            <w:r>
              <w:rPr>
                <w:rFonts w:hint="default" w:ascii="Times New Roman" w:hAnsi="Times New Roman" w:eastAsia="宋体" w:cs="Times New Roman"/>
                <w:color w:val="auto"/>
                <w:kern w:val="0"/>
                <w:sz w:val="21"/>
                <w:szCs w:val="21"/>
                <w:highlight w:val="none"/>
                <w:lang w:eastAsia="zh-CN"/>
              </w:rPr>
              <w:t>沉渣</w:t>
            </w:r>
            <w:r>
              <w:rPr>
                <w:rFonts w:hint="default" w:ascii="Times New Roman" w:hAnsi="Times New Roman" w:eastAsia="宋体" w:cs="Times New Roman"/>
                <w:color w:val="auto"/>
                <w:kern w:val="0"/>
                <w:sz w:val="21"/>
                <w:szCs w:val="21"/>
                <w:highlight w:val="none"/>
                <w:lang w:eastAsia="zh-TW"/>
              </w:rPr>
              <w:t>无害化处理。</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本项目废水采用</w:t>
            </w:r>
            <w:r>
              <w:rPr>
                <w:rFonts w:hint="default" w:ascii="Times New Roman" w:hAnsi="Times New Roman" w:eastAsia="宋体" w:cs="Times New Roman"/>
                <w:color w:val="auto"/>
                <w:kern w:val="0"/>
                <w:sz w:val="21"/>
                <w:szCs w:val="21"/>
                <w:highlight w:val="none"/>
                <w:lang w:eastAsia="zh-CN"/>
              </w:rPr>
              <w:t>沉淀</w:t>
            </w:r>
            <w:r>
              <w:rPr>
                <w:rFonts w:hint="default" w:ascii="Times New Roman" w:hAnsi="Times New Roman" w:eastAsia="宋体" w:cs="Times New Roman"/>
                <w:color w:val="auto"/>
                <w:kern w:val="0"/>
                <w:sz w:val="21"/>
                <w:szCs w:val="21"/>
                <w:highlight w:val="none"/>
                <w:lang w:eastAsia="zh-TW"/>
              </w:rPr>
              <w:t>工艺处理，无废水外</w:t>
            </w:r>
            <w:r>
              <w:rPr>
                <w:rFonts w:hint="default" w:ascii="Times New Roman" w:hAnsi="Times New Roman" w:eastAsia="宋体" w:cs="Times New Roman"/>
                <w:color w:val="auto"/>
                <w:kern w:val="0"/>
                <w:sz w:val="21"/>
                <w:szCs w:val="21"/>
                <w:highlight w:val="none"/>
              </w:rPr>
              <w:t>排，</w:t>
            </w:r>
            <w:r>
              <w:rPr>
                <w:rFonts w:hint="default" w:ascii="Times New Roman" w:hAnsi="Times New Roman" w:eastAsia="宋体" w:cs="Times New Roman"/>
                <w:color w:val="auto"/>
                <w:kern w:val="0"/>
                <w:sz w:val="21"/>
                <w:szCs w:val="21"/>
                <w:highlight w:val="none"/>
                <w:lang w:eastAsia="zh-CN"/>
              </w:rPr>
              <w:t>三级沉淀池</w:t>
            </w:r>
            <w:r>
              <w:rPr>
                <w:rFonts w:hint="default" w:ascii="Times New Roman" w:hAnsi="Times New Roman" w:eastAsia="宋体" w:cs="Times New Roman"/>
                <w:color w:val="auto"/>
                <w:kern w:val="0"/>
                <w:sz w:val="21"/>
                <w:szCs w:val="21"/>
                <w:highlight w:val="none"/>
                <w:lang w:eastAsia="zh-TW"/>
              </w:rPr>
              <w:t>产生的</w:t>
            </w:r>
            <w:r>
              <w:rPr>
                <w:rFonts w:hint="default" w:ascii="Times New Roman" w:hAnsi="Times New Roman" w:eastAsia="宋体" w:cs="Times New Roman"/>
                <w:color w:val="auto"/>
                <w:kern w:val="0"/>
                <w:sz w:val="21"/>
                <w:szCs w:val="21"/>
                <w:highlight w:val="none"/>
                <w:lang w:eastAsia="zh-CN"/>
              </w:rPr>
              <w:t>沉渣</w:t>
            </w:r>
            <w:r>
              <w:rPr>
                <w:rFonts w:hint="default" w:ascii="Times New Roman" w:hAnsi="Times New Roman" w:eastAsia="宋体" w:cs="Times New Roman"/>
                <w:color w:val="auto"/>
                <w:kern w:val="0"/>
                <w:sz w:val="21"/>
                <w:szCs w:val="21"/>
                <w:highlight w:val="none"/>
                <w:lang w:eastAsia="zh-TW"/>
              </w:rPr>
              <w:t>清挖后，</w:t>
            </w:r>
            <w:r>
              <w:rPr>
                <w:rFonts w:hint="default" w:ascii="Times New Roman" w:hAnsi="Times New Roman" w:eastAsia="宋体" w:cs="Times New Roman"/>
                <w:color w:val="auto"/>
                <w:kern w:val="0"/>
                <w:sz w:val="21"/>
                <w:szCs w:val="21"/>
                <w:highlight w:val="none"/>
                <w:lang w:eastAsia="zh-CN"/>
              </w:rPr>
              <w:t>交由当地环卫部门清运，统一处置</w:t>
            </w:r>
            <w:r>
              <w:rPr>
                <w:rFonts w:hint="default" w:ascii="Times New Roman" w:hAnsi="Times New Roman" w:eastAsia="宋体" w:cs="Times New Roman"/>
                <w:color w:val="auto"/>
                <w:kern w:val="0"/>
                <w:sz w:val="21"/>
                <w:szCs w:val="21"/>
                <w:highlight w:val="none"/>
                <w:lang w:eastAsia="zh-TW"/>
              </w:rPr>
              <w:t>。</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03"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再生加工过程中产生废气、粉尘的加工车间应设置废气、粉尘收集处理设施，通过净化处理，达标后排放。</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项目生产过程中产生的非甲烷总烃</w:t>
            </w:r>
            <w:r>
              <w:rPr>
                <w:rFonts w:hint="default" w:ascii="Times New Roman" w:hAnsi="Times New Roman" w:eastAsia="宋体" w:cs="Times New Roman"/>
                <w:color w:val="auto"/>
                <w:kern w:val="0"/>
                <w:sz w:val="21"/>
                <w:szCs w:val="21"/>
                <w:highlight w:val="none"/>
                <w:lang w:eastAsia="zh-CN"/>
              </w:rPr>
              <w:t>经</w:t>
            </w:r>
            <w:r>
              <w:rPr>
                <w:rFonts w:hint="default" w:ascii="Times New Roman" w:hAnsi="Times New Roman" w:eastAsia="宋体" w:cs="Times New Roman"/>
                <w:color w:val="auto"/>
                <w:kern w:val="0"/>
                <w:sz w:val="21"/>
                <w:szCs w:val="21"/>
                <w:highlight w:val="none"/>
                <w:lang w:eastAsia="zh-TW"/>
              </w:rPr>
              <w:t>集气罩+耐高温过滤棉</w:t>
            </w:r>
            <w:r>
              <w:rPr>
                <w:rFonts w:hint="eastAsia" w:cs="Times New Roman"/>
                <w:color w:val="auto"/>
                <w:kern w:val="0"/>
                <w:sz w:val="21"/>
                <w:szCs w:val="21"/>
                <w:highlight w:val="none"/>
                <w:lang w:val="en-US" w:eastAsia="zh-CN"/>
              </w:rPr>
              <w:t>+UV光氧催化</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eastAsia="zh-TW"/>
              </w:rPr>
              <w:t>活性炭吸附装置对废气集中处理后排放。</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03"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3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对于加工过程中噪音污染大的设备，必须采取降噪和隔音措施，企业噪声应达到《工业企业厂界环境噪声排放标准》。</w:t>
            </w:r>
          </w:p>
        </w:tc>
        <w:tc>
          <w:tcPr>
            <w:tcW w:w="263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项目生产设备采取减振、降噪、厂房隔声等措施处理后，经预测，厂界噪声可达到《工业企业厂界环境噪声排放标准》。</w:t>
            </w:r>
          </w:p>
        </w:tc>
        <w:tc>
          <w:tcPr>
            <w:tcW w:w="85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根据以上分析，本项目符合《废塑料综合利用行业规范条件》。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与《废塑料回收与再生利用污染控制技术规范（试行）》（HJ/T364-2007）的相符性分析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本项目与《废塑料回收与再生利用污染控制技术规范（试行）》（HJ/T364-2007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的相符性见表2.7-</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2.7-</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 xml:space="preserve"> 《废塑料回收与再生利用污染控制技术规范（试行）》符合性分析表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688"/>
        <w:gridCol w:w="3019"/>
        <w:gridCol w:w="3019"/>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序号</w:t>
            </w:r>
          </w:p>
        </w:tc>
        <w:tc>
          <w:tcPr>
            <w:tcW w:w="68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要求</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内容</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本项目情况</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1</w:t>
            </w:r>
          </w:p>
        </w:tc>
        <w:tc>
          <w:tcPr>
            <w:tcW w:w="68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回收要求</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废塑料的回收应按原料树脂种类进行分类回收，并严格区分废塑料来源和原用途。不得回收和再生利用属于医疗废物和危险废物的废塑料。</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本项目废旧塑料原料均来自乌拉特前旗地区农业过程中废弃的棚膜及滴灌带。不回收和再生利用属于医疗废</w:t>
            </w:r>
            <w:r>
              <w:rPr>
                <w:rFonts w:hint="default" w:ascii="Times New Roman" w:hAnsi="Times New Roman" w:eastAsia="宋体" w:cs="Times New Roman"/>
                <w:color w:val="auto"/>
                <w:kern w:val="0"/>
                <w:sz w:val="21"/>
                <w:szCs w:val="21"/>
                <w:highlight w:val="none"/>
              </w:rPr>
              <w:t>物</w:t>
            </w:r>
            <w:r>
              <w:rPr>
                <w:rFonts w:hint="default" w:ascii="Times New Roman" w:hAnsi="Times New Roman" w:eastAsia="宋体" w:cs="Times New Roman"/>
                <w:color w:val="auto"/>
                <w:kern w:val="0"/>
                <w:sz w:val="21"/>
                <w:szCs w:val="21"/>
                <w:highlight w:val="none"/>
                <w:lang w:eastAsia="zh-TW"/>
              </w:rPr>
              <w:t>和危险废物的废塑料，不回</w:t>
            </w:r>
            <w:r>
              <w:rPr>
                <w:rFonts w:hint="default" w:ascii="Times New Roman" w:hAnsi="Times New Roman" w:eastAsia="宋体" w:cs="Times New Roman"/>
                <w:color w:val="auto"/>
                <w:kern w:val="0"/>
                <w:sz w:val="21"/>
                <w:szCs w:val="21"/>
                <w:highlight w:val="none"/>
              </w:rPr>
              <w:t>收</w:t>
            </w:r>
            <w:r>
              <w:rPr>
                <w:rFonts w:hint="default" w:ascii="Times New Roman" w:hAnsi="Times New Roman" w:eastAsia="宋体" w:cs="Times New Roman"/>
                <w:color w:val="auto"/>
                <w:kern w:val="0"/>
                <w:sz w:val="21"/>
                <w:szCs w:val="21"/>
                <w:highlight w:val="none"/>
                <w:lang w:eastAsia="zh-TW"/>
              </w:rPr>
              <w:t>PP、PVC、特种塑料等。</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shd w:val="clear"/>
              <w:jc w:val="center"/>
              <w:rPr>
                <w:rFonts w:hint="default" w:ascii="Times New Roman" w:hAnsi="Times New Roman" w:eastAsia="宋体" w:cs="Times New Roman"/>
                <w:color w:val="auto"/>
                <w:kern w:val="0"/>
                <w:sz w:val="21"/>
                <w:szCs w:val="21"/>
                <w:highlight w:val="none"/>
              </w:rPr>
            </w:pPr>
          </w:p>
        </w:tc>
        <w:tc>
          <w:tcPr>
            <w:tcW w:w="688" w:type="dxa"/>
            <w:vMerge w:val="continue"/>
            <w:vAlign w:val="center"/>
          </w:tcPr>
          <w:p>
            <w:pPr>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含卤素废塑料的回收和再生利用应与其他废塑料分开进行。</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本项目所用废旧塑料成分为聚乙烯，不含卤素。</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shd w:val="clear"/>
              <w:jc w:val="center"/>
              <w:rPr>
                <w:rFonts w:hint="default" w:ascii="Times New Roman" w:hAnsi="Times New Roman" w:eastAsia="宋体" w:cs="Times New Roman"/>
                <w:color w:val="auto"/>
                <w:kern w:val="0"/>
                <w:sz w:val="21"/>
                <w:szCs w:val="21"/>
                <w:highlight w:val="none"/>
              </w:rPr>
            </w:pPr>
          </w:p>
        </w:tc>
        <w:tc>
          <w:tcPr>
            <w:tcW w:w="688" w:type="dxa"/>
            <w:vMerge w:val="continue"/>
            <w:vAlign w:val="center"/>
          </w:tcPr>
          <w:p>
            <w:pPr>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废塑料的回收过程中不得进行就地清洗，如需进行减容破碎处理，应使用干法破碎技术，并配备相应的防尘、防噪声设备。</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本项目回收的废旧塑料</w:t>
            </w:r>
            <w:r>
              <w:rPr>
                <w:rFonts w:hint="default" w:ascii="Times New Roman" w:hAnsi="Times New Roman" w:eastAsia="宋体" w:cs="Times New Roman"/>
                <w:color w:val="auto"/>
                <w:kern w:val="0"/>
                <w:sz w:val="21"/>
                <w:szCs w:val="21"/>
                <w:highlight w:val="none"/>
              </w:rPr>
              <w:t>运至厂区后进行破碎、清洗等。</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shd w:val="clear"/>
              <w:jc w:val="center"/>
              <w:rPr>
                <w:rFonts w:hint="default" w:ascii="Times New Roman" w:hAnsi="Times New Roman" w:eastAsia="宋体" w:cs="Times New Roman"/>
                <w:color w:val="auto"/>
                <w:kern w:val="0"/>
                <w:sz w:val="21"/>
                <w:szCs w:val="21"/>
                <w:highlight w:val="none"/>
              </w:rPr>
            </w:pPr>
          </w:p>
        </w:tc>
        <w:tc>
          <w:tcPr>
            <w:tcW w:w="688" w:type="dxa"/>
            <w:vMerge w:val="continue"/>
            <w:vAlign w:val="center"/>
          </w:tcPr>
          <w:p>
            <w:pPr>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废塑料的回收过程中应避免遗洒。</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本项目回收的废旧塑料，均由出售者运送至厂区，故本次评价内容不包括废旧塑料的回收运输过程。</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2</w:t>
            </w:r>
          </w:p>
        </w:tc>
        <w:tc>
          <w:tcPr>
            <w:tcW w:w="68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储存要求</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贮存场所必须为封闭或半封闭型设施，应有防雨、防晒、防渗、防尘、防扬散和防火措施。</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本项目原材料库为</w:t>
            </w:r>
            <w:r>
              <w:rPr>
                <w:rFonts w:hint="default" w:ascii="Times New Roman" w:hAnsi="Times New Roman" w:eastAsia="宋体" w:cs="Times New Roman"/>
                <w:color w:val="auto"/>
                <w:kern w:val="0"/>
                <w:sz w:val="21"/>
                <w:szCs w:val="21"/>
                <w:highlight w:val="none"/>
                <w:lang w:eastAsia="zh-CN"/>
              </w:rPr>
              <w:t>全</w:t>
            </w:r>
            <w:r>
              <w:rPr>
                <w:rFonts w:hint="default" w:ascii="Times New Roman" w:hAnsi="Times New Roman" w:eastAsia="宋体" w:cs="Times New Roman"/>
                <w:color w:val="auto"/>
                <w:kern w:val="0"/>
                <w:sz w:val="21"/>
                <w:szCs w:val="21"/>
                <w:highlight w:val="none"/>
                <w:lang w:eastAsia="zh-TW"/>
              </w:rPr>
              <w:t>封闭式</w:t>
            </w:r>
            <w:r>
              <w:rPr>
                <w:rFonts w:hint="default" w:ascii="Times New Roman" w:hAnsi="Times New Roman" w:eastAsia="宋体" w:cs="Times New Roman"/>
                <w:color w:val="auto"/>
                <w:kern w:val="0"/>
                <w:sz w:val="21"/>
                <w:szCs w:val="21"/>
                <w:highlight w:val="none"/>
              </w:rPr>
              <w:t>彩钢及砖混</w:t>
            </w:r>
            <w:r>
              <w:rPr>
                <w:rFonts w:hint="default" w:ascii="Times New Roman" w:hAnsi="Times New Roman" w:eastAsia="宋体" w:cs="Times New Roman"/>
                <w:color w:val="auto"/>
                <w:kern w:val="0"/>
                <w:sz w:val="21"/>
                <w:szCs w:val="21"/>
                <w:highlight w:val="none"/>
                <w:lang w:eastAsia="zh-TW"/>
              </w:rPr>
              <w:t>结构厂房，具有防雨、防晒、防渗、防尘、防扬散和防火措施。</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不同种类、不同来源的废塑料，应分开存放。</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本项目原料废旧棚膜、滴灌带均为PE塑料，不回收其他类型塑料。</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3</w:t>
            </w:r>
          </w:p>
        </w:tc>
        <w:tc>
          <w:tcPr>
            <w:tcW w:w="68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包装和运输要求</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废塑料运输前应进行包装，或用封闭的交通工具运输，不得裸露运输废塑料。</w:t>
            </w:r>
          </w:p>
        </w:tc>
        <w:tc>
          <w:tcPr>
            <w:tcW w:w="3019"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本次评价内容不包括废旧塑料的回收运输过程。</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废塑料包装物应防水、耐压、遮蔽性好，可多次重复使用；在装卸、运输过程中应确保包装完好，无废塑料遗洒。</w:t>
            </w:r>
          </w:p>
        </w:tc>
        <w:tc>
          <w:tcPr>
            <w:tcW w:w="3019"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不得超高、超宽、超载运输废塑料，宜采用密闭集装箱或带有压缩装置的箱式货车运输。</w:t>
            </w:r>
          </w:p>
        </w:tc>
        <w:tc>
          <w:tcPr>
            <w:tcW w:w="3019"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4</w:t>
            </w:r>
          </w:p>
        </w:tc>
        <w:tc>
          <w:tcPr>
            <w:tcW w:w="68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预处理工艺要求</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废塑料预处理工艺主要包括分选、清洗、破碎和干燥。</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本项目预处理工艺中包含分选、破碎、清洗和干燥。</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废塑料预处理工艺应当遵循先进、稳定、无二次污染的原则，应采用节水、节能、高效、低污染的技术和设备；宜采用机械化和自动化作业，减少手工操作。</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本项目采用电加热方式；分选采用机械和人工相结合，清洗采用机械化设备进行，在一定程度上减少手工操作。</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废塑料的分选宜采用浮选和光学分选等先进技术</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人工分选应采取措施确保操作人员的健康和安全。</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本项目分选采用人工</w:t>
            </w:r>
            <w:r>
              <w:rPr>
                <w:rFonts w:hint="default" w:ascii="Times New Roman" w:hAnsi="Times New Roman" w:eastAsia="宋体" w:cs="Times New Roman"/>
                <w:color w:val="auto"/>
                <w:kern w:val="0"/>
                <w:sz w:val="21"/>
                <w:szCs w:val="21"/>
                <w:highlight w:val="none"/>
              </w:rPr>
              <w:t>分选</w:t>
            </w:r>
            <w:r>
              <w:rPr>
                <w:rFonts w:hint="default" w:ascii="Times New Roman" w:hAnsi="Times New Roman" w:eastAsia="宋体" w:cs="Times New Roman"/>
                <w:color w:val="auto"/>
                <w:kern w:val="0"/>
                <w:sz w:val="21"/>
                <w:szCs w:val="21"/>
                <w:highlight w:val="none"/>
                <w:lang w:eastAsia="zh-TW"/>
              </w:rPr>
              <w:t>，</w:t>
            </w:r>
            <w:r>
              <w:rPr>
                <w:rFonts w:hint="default" w:ascii="Times New Roman" w:hAnsi="Times New Roman" w:eastAsia="宋体" w:cs="Times New Roman"/>
                <w:color w:val="auto"/>
                <w:kern w:val="0"/>
                <w:sz w:val="21"/>
                <w:szCs w:val="21"/>
                <w:highlight w:val="none"/>
              </w:rPr>
              <w:t>分选工人配备过滤口罩和防护手套</w:t>
            </w:r>
            <w:r>
              <w:rPr>
                <w:rFonts w:hint="default" w:ascii="Times New Roman" w:hAnsi="Times New Roman" w:eastAsia="宋体" w:cs="Times New Roman"/>
                <w:color w:val="auto"/>
                <w:kern w:val="0"/>
                <w:sz w:val="21"/>
                <w:szCs w:val="21"/>
                <w:highlight w:val="none"/>
                <w:lang w:eastAsia="zh-TW"/>
              </w:rPr>
              <w:t>。</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废塑料的清洗方法可分为物理清洗和化学清洗，应根据废塑料来源和污染情况选择清洗工艺</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宜采用节水的机械清洗技术</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化学清洗不得使用有毒有害的化学清洗剂，宜采用无磷清洗剂。</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本项目清洗工序不使用洗涤剂等化学清洗剂。</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废塑料的破碎宜采用干法破碎技术，并应配有防治粉尘和噪声污染的设备。</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本项目</w:t>
            </w:r>
            <w:r>
              <w:rPr>
                <w:rFonts w:hint="default" w:ascii="Times New Roman" w:hAnsi="Times New Roman" w:eastAsia="宋体" w:cs="Times New Roman"/>
                <w:color w:val="auto"/>
                <w:kern w:val="0"/>
                <w:sz w:val="21"/>
                <w:szCs w:val="21"/>
                <w:highlight w:val="none"/>
                <w:lang w:eastAsia="zh-TW"/>
              </w:rPr>
              <w:t>采用</w:t>
            </w:r>
            <w:r>
              <w:rPr>
                <w:rFonts w:hint="default" w:ascii="Times New Roman" w:hAnsi="Times New Roman" w:eastAsia="宋体" w:cs="Times New Roman"/>
                <w:color w:val="auto"/>
                <w:kern w:val="0"/>
                <w:sz w:val="21"/>
                <w:szCs w:val="21"/>
                <w:highlight w:val="none"/>
              </w:rPr>
              <w:t>湿法</w:t>
            </w:r>
            <w:r>
              <w:rPr>
                <w:rFonts w:hint="default" w:ascii="Times New Roman" w:hAnsi="Times New Roman" w:eastAsia="宋体" w:cs="Times New Roman"/>
                <w:color w:val="auto"/>
                <w:kern w:val="0"/>
                <w:sz w:val="21"/>
                <w:szCs w:val="21"/>
                <w:highlight w:val="none"/>
                <w:lang w:eastAsia="zh-TW"/>
              </w:rPr>
              <w:t>破碎后进行清洗。破碎设备位于生产车间内，采取柔性连接、基础减震等降噪措施。</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废塑料的干燥方法可分为人工干燥和自然干燥。人工干燥宜采用节能、高效的干燥技术，如冷凝干燥、真空干燥等</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自然干燥的场所应采取防风措施。</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本项目采用</w:t>
            </w:r>
            <w:r>
              <w:rPr>
                <w:rFonts w:hint="default" w:ascii="Times New Roman" w:hAnsi="Times New Roman" w:eastAsia="宋体" w:cs="Times New Roman"/>
                <w:color w:val="auto"/>
                <w:kern w:val="0"/>
                <w:sz w:val="21"/>
                <w:szCs w:val="21"/>
                <w:highlight w:val="none"/>
              </w:rPr>
              <w:t>甩干机对清洗</w:t>
            </w:r>
            <w:r>
              <w:rPr>
                <w:rFonts w:hint="default" w:ascii="Times New Roman" w:hAnsi="Times New Roman" w:eastAsia="宋体" w:cs="Times New Roman"/>
                <w:color w:val="auto"/>
                <w:kern w:val="0"/>
                <w:sz w:val="21"/>
                <w:szCs w:val="21"/>
                <w:highlight w:val="none"/>
                <w:lang w:eastAsia="zh-TW"/>
              </w:rPr>
              <w:t>后的塑料进行</w:t>
            </w:r>
            <w:r>
              <w:rPr>
                <w:rFonts w:hint="default" w:ascii="Times New Roman" w:hAnsi="Times New Roman" w:eastAsia="宋体" w:cs="Times New Roman"/>
                <w:color w:val="auto"/>
                <w:kern w:val="0"/>
                <w:sz w:val="21"/>
                <w:szCs w:val="21"/>
                <w:highlight w:val="none"/>
              </w:rPr>
              <w:t>干燥</w:t>
            </w:r>
            <w:r>
              <w:rPr>
                <w:rFonts w:hint="default" w:ascii="Times New Roman" w:hAnsi="Times New Roman" w:eastAsia="宋体" w:cs="Times New Roman"/>
                <w:color w:val="auto"/>
                <w:kern w:val="0"/>
                <w:sz w:val="21"/>
                <w:szCs w:val="21"/>
                <w:highlight w:val="none"/>
                <w:lang w:eastAsia="zh-TW"/>
              </w:rPr>
              <w:t>。</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restart"/>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68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环境保护要求</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废塑料的再生利用项目必须经过县级以上的地方人民政府环境保护行政主管部门的环保审批，严格执行环境影响评价和“三同时”制度，未获环保审批的企业或个人不得从事废塑料的处理和加工</w:t>
            </w:r>
            <w:r>
              <w:rPr>
                <w:rFonts w:hint="default" w:ascii="Times New Roman" w:hAnsi="Times New Roman" w:eastAsia="宋体" w:cs="Times New Roman"/>
                <w:color w:val="auto"/>
                <w:kern w:val="0"/>
                <w:sz w:val="21"/>
                <w:szCs w:val="21"/>
                <w:highlight w:val="none"/>
              </w:rPr>
              <w:t>。</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本项目正在按照当地环保要求办理相关环保手续，同时要求项目必须建设配套的环境保护设施</w:t>
            </w:r>
            <w:r>
              <w:rPr>
                <w:rFonts w:hint="default" w:ascii="Times New Roman" w:hAnsi="Times New Roman" w:eastAsia="宋体" w:cs="Times New Roman"/>
                <w:color w:val="auto"/>
                <w:kern w:val="0"/>
                <w:sz w:val="21"/>
                <w:szCs w:val="21"/>
                <w:highlight w:val="none"/>
              </w:rPr>
              <w:t>。</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新建塑料再生利用项目选址应符合环境保护要求，不得建在城市居民区、商业区及其他环境敏感区内</w:t>
            </w:r>
            <w:r>
              <w:rPr>
                <w:rFonts w:hint="default" w:ascii="Times New Roman" w:hAnsi="Times New Roman" w:eastAsia="宋体" w:cs="Times New Roman"/>
                <w:color w:val="auto"/>
                <w:kern w:val="0"/>
                <w:sz w:val="21"/>
                <w:szCs w:val="21"/>
                <w:highlight w:val="none"/>
              </w:rPr>
              <w:t>。</w:t>
            </w:r>
          </w:p>
        </w:tc>
        <w:tc>
          <w:tcPr>
            <w:tcW w:w="3019" w:type="dxa"/>
            <w:shd w:val="clear" w:color="auto" w:fill="auto"/>
            <w:vAlign w:val="center"/>
          </w:tcPr>
          <w:p>
            <w:pPr>
              <w:widowControl/>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本项目拟建于乌拉特前旗额尔登布拉格苏木旧乡政府院内，</w:t>
            </w:r>
            <w:r>
              <w:rPr>
                <w:rFonts w:hint="default" w:ascii="Times New Roman" w:hAnsi="Times New Roman" w:eastAsia="宋体" w:cs="Times New Roman"/>
                <w:color w:val="auto"/>
                <w:kern w:val="0"/>
                <w:sz w:val="21"/>
                <w:szCs w:val="21"/>
                <w:highlight w:val="none"/>
                <w:lang w:eastAsia="zh-CN"/>
              </w:rPr>
              <w:t>不属于</w:t>
            </w:r>
            <w:r>
              <w:rPr>
                <w:rFonts w:hint="default" w:ascii="Times New Roman" w:hAnsi="Times New Roman" w:eastAsia="宋体" w:cs="Times New Roman"/>
                <w:color w:val="auto"/>
                <w:kern w:val="0"/>
                <w:sz w:val="21"/>
                <w:szCs w:val="21"/>
                <w:highlight w:val="none"/>
                <w:lang w:eastAsia="zh-TW"/>
              </w:rPr>
              <w:t>城市居民区、商业区内</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厂区周边无饮用水源保护区、特殊和重要生态敏感区等环境敏感区，</w:t>
            </w:r>
            <w:r>
              <w:rPr>
                <w:rFonts w:hint="default" w:ascii="Times New Roman" w:hAnsi="Times New Roman" w:eastAsia="宋体" w:cs="Times New Roman"/>
                <w:color w:val="auto"/>
                <w:kern w:val="0"/>
                <w:sz w:val="21"/>
                <w:szCs w:val="21"/>
                <w:highlight w:val="none"/>
                <w:lang w:eastAsia="zh-CN"/>
              </w:rPr>
              <w:t>并且本项目符合</w:t>
            </w:r>
            <w:r>
              <w:rPr>
                <w:rFonts w:hint="default" w:ascii="Times New Roman" w:hAnsi="Times New Roman" w:eastAsia="宋体" w:cs="Times New Roman"/>
                <w:color w:val="auto"/>
                <w:kern w:val="0"/>
                <w:sz w:val="21"/>
                <w:szCs w:val="21"/>
                <w:highlight w:val="none"/>
                <w:lang w:eastAsia="zh-TW"/>
              </w:rPr>
              <w:t>乌拉特前旗总体规划</w:t>
            </w:r>
            <w:r>
              <w:rPr>
                <w:rFonts w:hint="default" w:ascii="Times New Roman" w:hAnsi="Times New Roman" w:eastAsia="宋体" w:cs="Times New Roman"/>
                <w:color w:val="auto"/>
                <w:kern w:val="0"/>
                <w:sz w:val="21"/>
                <w:szCs w:val="21"/>
                <w:highlight w:val="none"/>
                <w:lang w:eastAsia="zh-CN"/>
              </w:rPr>
              <w:t>，选址合理</w:t>
            </w:r>
            <w:r>
              <w:rPr>
                <w:rFonts w:hint="default" w:ascii="Times New Roman" w:hAnsi="Times New Roman" w:eastAsia="宋体" w:cs="Times New Roman"/>
                <w:color w:val="auto"/>
                <w:kern w:val="0"/>
                <w:sz w:val="21"/>
                <w:szCs w:val="21"/>
                <w:highlight w:val="none"/>
              </w:rPr>
              <w:t>。</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再生利用项目必须建有围墙并按功能划分厂区，包括管理区、原料区、生产区、产品贮存区、污染控制区。各功能区应有明显的界线和标志。</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本项目</w:t>
            </w:r>
            <w:r>
              <w:rPr>
                <w:rFonts w:hint="default" w:ascii="Times New Roman" w:hAnsi="Times New Roman" w:eastAsia="宋体" w:cs="Times New Roman"/>
                <w:color w:val="auto"/>
                <w:kern w:val="0"/>
                <w:sz w:val="21"/>
                <w:szCs w:val="21"/>
                <w:highlight w:val="none"/>
              </w:rPr>
              <w:t>建有办公生活区、生产车间、原材料库及危废暂存间。</w:t>
            </w:r>
            <w:r>
              <w:rPr>
                <w:rFonts w:hint="default" w:ascii="Times New Roman" w:hAnsi="Times New Roman" w:eastAsia="宋体" w:cs="Times New Roman"/>
                <w:color w:val="auto"/>
                <w:kern w:val="0"/>
                <w:sz w:val="21"/>
                <w:szCs w:val="21"/>
                <w:highlight w:val="none"/>
                <w:lang w:eastAsia="zh-TW"/>
              </w:rPr>
              <w:t>加工存储场地均在相应的厂房内完成，厂房均为</w:t>
            </w:r>
            <w:r>
              <w:rPr>
                <w:rFonts w:hint="default" w:ascii="Times New Roman" w:hAnsi="Times New Roman" w:eastAsia="宋体" w:cs="Times New Roman"/>
                <w:color w:val="auto"/>
                <w:kern w:val="0"/>
                <w:sz w:val="21"/>
                <w:szCs w:val="21"/>
                <w:highlight w:val="none"/>
              </w:rPr>
              <w:t>彩钢及</w:t>
            </w:r>
            <w:r>
              <w:rPr>
                <w:rFonts w:hint="default" w:ascii="Times New Roman" w:hAnsi="Times New Roman" w:eastAsia="宋体" w:cs="Times New Roman"/>
                <w:color w:val="auto"/>
                <w:kern w:val="0"/>
                <w:sz w:val="21"/>
                <w:szCs w:val="21"/>
                <w:highlight w:val="none"/>
                <w:lang w:eastAsia="zh-TW"/>
              </w:rPr>
              <w:t>砖混封闭厂房。</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所有功能区必须有封闭或半封闭设施，采取防风、防雨、防渗、防火等措施，并有足够的疏散通道。</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rPr>
              <w:t>本项目所有功能区均为彩钢及砖混结构的封闭设施，</w:t>
            </w:r>
            <w:r>
              <w:rPr>
                <w:rFonts w:hint="default" w:ascii="Times New Roman" w:hAnsi="Times New Roman" w:eastAsia="宋体" w:cs="Times New Roman"/>
                <w:color w:val="auto"/>
                <w:kern w:val="0"/>
                <w:sz w:val="21"/>
                <w:szCs w:val="21"/>
                <w:highlight w:val="none"/>
                <w:lang w:eastAsia="zh-TW"/>
              </w:rPr>
              <w:t>具有防雨、防风、防渗等功能，无露天堆放现象。</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6</w:t>
            </w:r>
          </w:p>
        </w:tc>
        <w:tc>
          <w:tcPr>
            <w:tcW w:w="68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污染控制要求</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废塑料预处理、再生利用等过程中产生的废水和厂区产生的生活废水，企业应有配套的废水收集设施。废水宜在厂区内处理并循环利用。</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w:t>
            </w:r>
            <w:r>
              <w:rPr>
                <w:rFonts w:hint="default" w:ascii="Times New Roman" w:hAnsi="Times New Roman" w:eastAsia="宋体" w:cs="Times New Roman"/>
                <w:color w:val="auto"/>
                <w:kern w:val="0"/>
                <w:sz w:val="21"/>
                <w:szCs w:val="21"/>
                <w:highlight w:val="none"/>
              </w:rPr>
              <w:t>湿法破碎废水、</w:t>
            </w:r>
            <w:r>
              <w:rPr>
                <w:rFonts w:hint="default" w:ascii="Times New Roman" w:hAnsi="Times New Roman" w:eastAsia="宋体" w:cs="Times New Roman"/>
                <w:color w:val="auto"/>
                <w:kern w:val="0"/>
                <w:sz w:val="21"/>
                <w:szCs w:val="21"/>
                <w:highlight w:val="none"/>
                <w:lang w:eastAsia="zh-TW"/>
              </w:rPr>
              <w:t>清洗废水、</w:t>
            </w:r>
            <w:r>
              <w:rPr>
                <w:rFonts w:hint="default" w:ascii="Times New Roman" w:hAnsi="Times New Roman" w:eastAsia="宋体" w:cs="Times New Roman"/>
                <w:color w:val="auto"/>
                <w:kern w:val="0"/>
                <w:sz w:val="21"/>
                <w:szCs w:val="21"/>
                <w:highlight w:val="none"/>
              </w:rPr>
              <w:t>甩干废水</w:t>
            </w:r>
            <w:r>
              <w:rPr>
                <w:rFonts w:hint="default" w:ascii="Times New Roman" w:hAnsi="Times New Roman" w:eastAsia="宋体" w:cs="Times New Roman"/>
                <w:color w:val="auto"/>
                <w:kern w:val="0"/>
                <w:sz w:val="21"/>
                <w:szCs w:val="21"/>
                <w:highlight w:val="none"/>
                <w:lang w:eastAsia="zh-TW"/>
              </w:rPr>
              <w:t>、厂区生活废水分别配套收集设施。生产废水在厂区内循环利用</w:t>
            </w:r>
            <w:r>
              <w:rPr>
                <w:rFonts w:hint="default" w:ascii="Times New Roman" w:hAnsi="Times New Roman" w:eastAsia="宋体" w:cs="Times New Roman"/>
                <w:color w:val="auto"/>
                <w:kern w:val="0"/>
                <w:sz w:val="21"/>
                <w:szCs w:val="21"/>
                <w:highlight w:val="none"/>
                <w:lang w:eastAsia="zh-CN"/>
              </w:rPr>
              <w:t>，不外排</w:t>
            </w:r>
            <w:r>
              <w:rPr>
                <w:rFonts w:hint="default" w:ascii="Times New Roman" w:hAnsi="Times New Roman" w:eastAsia="宋体" w:cs="Times New Roman"/>
                <w:color w:val="auto"/>
                <w:kern w:val="0"/>
                <w:sz w:val="21"/>
                <w:szCs w:val="21"/>
                <w:highlight w:val="none"/>
              </w:rPr>
              <w:t>；生活污水</w:t>
            </w:r>
            <w:r>
              <w:rPr>
                <w:rFonts w:hint="default" w:ascii="Times New Roman" w:hAnsi="Times New Roman" w:eastAsia="宋体" w:cs="Times New Roman"/>
                <w:color w:val="auto"/>
                <w:kern w:val="0"/>
                <w:sz w:val="21"/>
                <w:szCs w:val="21"/>
                <w:highlight w:val="none"/>
                <w:lang w:eastAsia="zh-CN"/>
              </w:rPr>
              <w:t>排入防渗化粪池内</w:t>
            </w:r>
            <w:r>
              <w:rPr>
                <w:rFonts w:hint="default" w:ascii="Times New Roman" w:hAnsi="Times New Roman" w:eastAsia="宋体" w:cs="Times New Roman"/>
                <w:color w:val="auto"/>
                <w:kern w:val="0"/>
                <w:sz w:val="21"/>
                <w:szCs w:val="21"/>
                <w:highlight w:val="none"/>
              </w:rPr>
              <w:t>，定期清掏</w:t>
            </w:r>
            <w:r>
              <w:rPr>
                <w:rFonts w:hint="default" w:ascii="Times New Roman" w:hAnsi="Times New Roman" w:eastAsia="宋体" w:cs="Times New Roman"/>
                <w:color w:val="auto"/>
                <w:kern w:val="0"/>
                <w:sz w:val="21"/>
                <w:szCs w:val="21"/>
                <w:highlight w:val="none"/>
                <w:lang w:eastAsia="zh-TW"/>
              </w:rPr>
              <w:t>。</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预处理、再生利用过程中产生的废气，企业应有集气装置收集，经净化处理的</w:t>
            </w:r>
            <w:bookmarkStart w:id="131" w:name="RANGE!H101"/>
            <w:r>
              <w:rPr>
                <w:rFonts w:hint="default" w:ascii="Times New Roman" w:hAnsi="Times New Roman" w:eastAsia="宋体" w:cs="Times New Roman"/>
                <w:color w:val="auto"/>
                <w:kern w:val="0"/>
                <w:sz w:val="21"/>
                <w:szCs w:val="21"/>
                <w:highlight w:val="none"/>
                <w:lang w:eastAsia="zh-TW"/>
              </w:rPr>
              <w:t>废气排放应按企业所在环境功能区类别，应执行GB16297和GB14554。</w:t>
            </w:r>
            <w:bookmarkEnd w:id="131"/>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本项目挤塑、切粒</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吹塑工序产生的废气使用集气罩收集，经</w:t>
            </w:r>
            <w:r>
              <w:rPr>
                <w:rFonts w:hint="default" w:ascii="Times New Roman" w:hAnsi="Times New Roman" w:eastAsia="宋体" w:cs="Times New Roman"/>
                <w:color w:val="auto"/>
                <w:kern w:val="0"/>
                <w:sz w:val="21"/>
                <w:szCs w:val="21"/>
                <w:highlight w:val="none"/>
              </w:rPr>
              <w:t>耐高温过滤棉</w:t>
            </w:r>
            <w:r>
              <w:rPr>
                <w:rFonts w:hint="eastAsia" w:cs="Times New Roman"/>
                <w:color w:val="auto"/>
                <w:kern w:val="0"/>
                <w:sz w:val="21"/>
                <w:szCs w:val="21"/>
                <w:highlight w:val="none"/>
                <w:lang w:val="en-US" w:eastAsia="zh-CN"/>
              </w:rPr>
              <w:t>+UV光氧催化</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eastAsia="zh-TW"/>
              </w:rPr>
              <w:t>活性炭吸附装置处理后排放。</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预处理和再生利用过程中应控制噪声污染，排放噪声应符合GB12348的要求。</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本项目采用低噪声设备、基础减震等措施后可以满足《工业企业厂界环境噪声排放标准》</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GB12348-2008</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中</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TW"/>
              </w:rPr>
              <w:t>类标准要求。</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88"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废塑料预处理、再生利用过程中产生的固体废物，包括分选出的不宜再生利用的废塑料，应按工业固体废物处置，并执行相关环境保护标准。</w:t>
            </w:r>
          </w:p>
        </w:tc>
        <w:tc>
          <w:tcPr>
            <w:tcW w:w="301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分拣废物交由当地环卫部门清运，统一处置</w:t>
            </w:r>
            <w:r>
              <w:rPr>
                <w:rFonts w:hint="default" w:ascii="Times New Roman" w:hAnsi="Times New Roman" w:eastAsia="宋体" w:cs="Times New Roman"/>
                <w:color w:val="auto"/>
                <w:kern w:val="0"/>
                <w:sz w:val="21"/>
                <w:szCs w:val="21"/>
                <w:highlight w:val="none"/>
                <w:lang w:eastAsia="zh-CN"/>
              </w:rPr>
              <w:t>；三级沉淀池沉渣</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交由当地环卫部门清运，统一处置</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混料工序收集的颗粒物回用于生产，不外排；</w:t>
            </w:r>
            <w:r>
              <w:rPr>
                <w:rFonts w:hint="default" w:ascii="Times New Roman" w:hAnsi="Times New Roman" w:eastAsia="宋体" w:cs="Times New Roman"/>
                <w:color w:val="auto"/>
                <w:kern w:val="0"/>
                <w:sz w:val="21"/>
                <w:szCs w:val="21"/>
                <w:highlight w:val="none"/>
              </w:rPr>
              <w:t>废滤网</w:t>
            </w:r>
            <w:r>
              <w:rPr>
                <w:rFonts w:hint="default" w:ascii="Times New Roman" w:hAnsi="Times New Roman" w:eastAsia="宋体" w:cs="Times New Roman"/>
                <w:color w:val="auto"/>
                <w:kern w:val="0"/>
                <w:sz w:val="21"/>
                <w:szCs w:val="21"/>
                <w:highlight w:val="none"/>
                <w:lang w:eastAsia="zh-TW"/>
              </w:rPr>
              <w:t>属于</w:t>
            </w:r>
            <w:r>
              <w:rPr>
                <w:rFonts w:hint="default" w:ascii="Times New Roman" w:hAnsi="Times New Roman" w:eastAsia="宋体" w:cs="Times New Roman"/>
                <w:color w:val="auto"/>
                <w:kern w:val="0"/>
                <w:sz w:val="21"/>
                <w:szCs w:val="21"/>
                <w:highlight w:val="none"/>
              </w:rPr>
              <w:t>一般固废</w:t>
            </w:r>
            <w:r>
              <w:rPr>
                <w:rFonts w:hint="default" w:ascii="Times New Roman" w:hAnsi="Times New Roman" w:eastAsia="宋体" w:cs="Times New Roman"/>
                <w:color w:val="auto"/>
                <w:kern w:val="0"/>
                <w:sz w:val="21"/>
                <w:szCs w:val="21"/>
                <w:highlight w:val="none"/>
                <w:lang w:eastAsia="zh-TW"/>
              </w:rPr>
              <w:t>，</w:t>
            </w:r>
            <w:r>
              <w:rPr>
                <w:rFonts w:hint="default" w:ascii="Times New Roman" w:hAnsi="Times New Roman" w:eastAsia="宋体" w:cs="Times New Roman"/>
                <w:color w:val="auto"/>
                <w:kern w:val="0"/>
                <w:sz w:val="21"/>
                <w:szCs w:val="21"/>
                <w:highlight w:val="none"/>
              </w:rPr>
              <w:t>产生后由</w:t>
            </w:r>
            <w:r>
              <w:rPr>
                <w:rFonts w:hint="default" w:ascii="Times New Roman" w:hAnsi="Times New Roman" w:eastAsia="宋体" w:cs="Times New Roman"/>
                <w:color w:val="auto"/>
                <w:kern w:val="0"/>
                <w:sz w:val="21"/>
                <w:szCs w:val="21"/>
                <w:highlight w:val="none"/>
                <w:lang w:eastAsia="zh-TW"/>
              </w:rPr>
              <w:t>厂家回收</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废</w:t>
            </w:r>
            <w:r>
              <w:rPr>
                <w:rFonts w:hint="default" w:ascii="Times New Roman" w:hAnsi="Times New Roman" w:eastAsia="宋体" w:cs="Times New Roman"/>
                <w:color w:val="auto"/>
                <w:kern w:val="0"/>
                <w:sz w:val="21"/>
                <w:szCs w:val="21"/>
                <w:highlight w:val="none"/>
              </w:rPr>
              <w:t>耐高温过滤棉</w:t>
            </w:r>
            <w:r>
              <w:rPr>
                <w:rFonts w:hint="default" w:ascii="Times New Roman" w:hAnsi="Times New Roman" w:eastAsia="宋体" w:cs="Times New Roman"/>
                <w:color w:val="auto"/>
                <w:kern w:val="0"/>
                <w:sz w:val="21"/>
                <w:szCs w:val="21"/>
                <w:highlight w:val="none"/>
                <w:lang w:eastAsia="zh-TW"/>
              </w:rPr>
              <w:t>属于危险废物，交由有资质的单位进行处置</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废</w:t>
            </w:r>
            <w:r>
              <w:rPr>
                <w:rFonts w:hint="eastAsia" w:cs="Times New Roman"/>
                <w:color w:val="auto"/>
                <w:kern w:val="0"/>
                <w:sz w:val="21"/>
                <w:szCs w:val="21"/>
                <w:highlight w:val="none"/>
                <w:lang w:eastAsia="zh-CN"/>
              </w:rPr>
              <w:t>灯管</w:t>
            </w:r>
            <w:r>
              <w:rPr>
                <w:rFonts w:hint="default" w:ascii="Times New Roman" w:hAnsi="Times New Roman" w:eastAsia="宋体" w:cs="Times New Roman"/>
                <w:color w:val="auto"/>
                <w:kern w:val="0"/>
                <w:sz w:val="21"/>
                <w:szCs w:val="21"/>
                <w:highlight w:val="none"/>
                <w:lang w:eastAsia="zh-TW"/>
              </w:rPr>
              <w:t>属于危险废物，交由有资质的单位进行处置；</w:t>
            </w:r>
            <w:r>
              <w:rPr>
                <w:rFonts w:hint="default" w:ascii="Times New Roman" w:hAnsi="Times New Roman" w:eastAsia="宋体" w:cs="Times New Roman"/>
                <w:color w:val="auto"/>
                <w:kern w:val="0"/>
                <w:sz w:val="21"/>
                <w:szCs w:val="21"/>
                <w:highlight w:val="none"/>
                <w:lang w:eastAsia="zh-TW"/>
              </w:rPr>
              <w:t>废活性炭属于危险废物，交由有资质的单位进行处置；</w:t>
            </w:r>
            <w:r>
              <w:rPr>
                <w:rFonts w:hint="default" w:ascii="Times New Roman" w:hAnsi="Times New Roman" w:eastAsia="宋体" w:cs="Times New Roman"/>
                <w:color w:val="auto"/>
                <w:kern w:val="0"/>
                <w:sz w:val="21"/>
                <w:szCs w:val="21"/>
                <w:highlight w:val="none"/>
              </w:rPr>
              <w:t>生活垃圾交由当地环卫部门清运，统一处置</w:t>
            </w:r>
            <w:r>
              <w:rPr>
                <w:rFonts w:hint="default" w:ascii="Times New Roman" w:hAnsi="Times New Roman" w:eastAsia="宋体" w:cs="Times New Roman"/>
                <w:color w:val="auto"/>
                <w:kern w:val="0"/>
                <w:sz w:val="21"/>
                <w:szCs w:val="21"/>
                <w:highlight w:val="none"/>
                <w:lang w:eastAsia="zh-TW"/>
              </w:rPr>
              <w:t>。</w:t>
            </w:r>
          </w:p>
        </w:tc>
        <w:tc>
          <w:tcPr>
            <w:tcW w:w="87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符合</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与《内蒙古自治区限制开发区域　限制类和禁止类产业指导目录（2016年本）》有关规定相符性的分析</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根据《内蒙古自治区主体功能区规划》，本项目所在的巴彦淖尔市乌拉特前旗属于内蒙古自治区限制开发区域中划定的国家级</w:t>
      </w:r>
      <w:r>
        <w:rPr>
          <w:rFonts w:hint="default" w:ascii="Times New Roman" w:hAnsi="Times New Roman" w:eastAsia="宋体" w:cs="Times New Roman"/>
          <w:color w:val="auto"/>
          <w:kern w:val="0"/>
          <w:sz w:val="24"/>
          <w:highlight w:val="none"/>
        </w:rPr>
        <w:t>农产品主产区，项目所属行业属于限制类中“42、废弃资源综合利用（原产地除外）”，但该条注释为“原产地除外”，本项目回收塑料均为当地产生的废滴灌带及棚膜等，因此属于原产地内废弃资源综合利用，因此本项目的建设符合</w:t>
      </w:r>
      <w:r>
        <w:rPr>
          <w:rFonts w:hint="default" w:ascii="Times New Roman" w:hAnsi="Times New Roman" w:eastAsia="宋体" w:cs="Times New Roman"/>
          <w:color w:val="auto"/>
          <w:sz w:val="24"/>
          <w:highlight w:val="none"/>
        </w:rPr>
        <w:t>《内蒙古自治区限制开发区域限制类和禁止类产业指导目录（2016年本）》相关规划要求</w:t>
      </w:r>
      <w:r>
        <w:rPr>
          <w:rFonts w:hint="default" w:ascii="Times New Roman" w:hAnsi="Times New Roman" w:eastAsia="宋体" w:cs="Times New Roman"/>
          <w:color w:val="auto"/>
          <w:sz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sectPr>
          <w:footerReference r:id="rId9" w:type="default"/>
          <w:pgSz w:w="11907" w:h="16840"/>
          <w:pgMar w:top="1440" w:right="1797" w:bottom="1440" w:left="1797" w:header="851" w:footer="992" w:gutter="0"/>
          <w:pgNumType w:fmt="decimal"/>
          <w:cols w:space="425" w:num="1"/>
          <w:docGrid w:type="linesAndChars" w:linePitch="312" w:charSpace="0"/>
        </w:sectPr>
      </w:pPr>
    </w:p>
    <w:p>
      <w:pPr>
        <w:pStyle w:val="23"/>
        <w:shd w:val="clear"/>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670528" behindDoc="0" locked="0" layoutInCell="1" allowOverlap="1">
                <wp:simplePos x="0" y="0"/>
                <wp:positionH relativeFrom="column">
                  <wp:posOffset>1529080</wp:posOffset>
                </wp:positionH>
                <wp:positionV relativeFrom="paragraph">
                  <wp:posOffset>4658360</wp:posOffset>
                </wp:positionV>
                <wp:extent cx="215900" cy="107950"/>
                <wp:effectExtent l="12700" t="0" r="19050" b="12700"/>
                <wp:wrapNone/>
                <wp:docPr id="14" name="矩形 14"/>
                <wp:cNvGraphicFramePr/>
                <a:graphic xmlns:a="http://schemas.openxmlformats.org/drawingml/2006/main">
                  <a:graphicData uri="http://schemas.microsoft.com/office/word/2010/wordprocessingShape">
                    <wps:wsp>
                      <wps:cNvSpPr/>
                      <wps:spPr>
                        <a:xfrm>
                          <a:off x="7140575" y="3282315"/>
                          <a:ext cx="215900" cy="1079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4pt;margin-top:366.8pt;height:8.5pt;width:17pt;z-index:251670528;v-text-anchor:middle;mso-width-relative:page;mso-height-relative:page;" filled="f" stroked="t" coordsize="21600,21600" o:gfxdata="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VmjKNgAAAALAQAADwAAAAAAAAABACAAAAAiAAAAZHJzL2Rvd25yZXYueG1s&#10;UEsBAhQAFAAAAAgAh07iQFE18BdqAgAAwQQAAA4AAAAAAAAAAQAgAAAAJwEAAGRycy9lMm9Eb2Mu&#10;eG1sUEsFBgAAAAAGAAYAWQEAAAMGAAAAAA==&#10;">
                <v:fill on="f" focussize="0,0"/>
                <v:stroke weight="2pt" color="#FFFF0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9504" behindDoc="0" locked="0" layoutInCell="1" allowOverlap="1">
                <wp:simplePos x="0" y="0"/>
                <wp:positionH relativeFrom="column">
                  <wp:posOffset>1377950</wp:posOffset>
                </wp:positionH>
                <wp:positionV relativeFrom="paragraph">
                  <wp:posOffset>4370070</wp:posOffset>
                </wp:positionV>
                <wp:extent cx="215900" cy="107950"/>
                <wp:effectExtent l="12700" t="0" r="19050" b="12700"/>
                <wp:wrapNone/>
                <wp:docPr id="13" name="矩形 13"/>
                <wp:cNvGraphicFramePr/>
                <a:graphic xmlns:a="http://schemas.openxmlformats.org/drawingml/2006/main">
                  <a:graphicData uri="http://schemas.microsoft.com/office/word/2010/wordprocessingShape">
                    <wps:wsp>
                      <wps:cNvSpPr/>
                      <wps:spPr>
                        <a:xfrm>
                          <a:off x="7251700" y="2940685"/>
                          <a:ext cx="21590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5pt;margin-top:344.1pt;height:8.5pt;width:17pt;z-index:251669504;v-text-anchor:middle;mso-width-relative:page;mso-height-relative:page;" filled="f" stroked="t" coordsize="21600,21600" o:gfxdata="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oxqS2gAAAAsBAAAPAAAAAAAAAAEAIAAAACIAAABkcnMvZG93bnJldi54&#10;bWxQSwECFAAUAAAACACHTuJAXlkE62oCAADBBAAADgAAAAAAAAABACAAAAApAQAAZHJzL2Uyb0Rv&#10;Yy54bWxQSwUGAAAAAAYABgBZAQAABQYAAAAA&#10;">
                <v:fill on="f" focussize="0,0"/>
                <v:stroke weight="2pt" color="#FF000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5344" behindDoc="0" locked="0" layoutInCell="1" allowOverlap="1">
                <wp:simplePos x="0" y="0"/>
                <wp:positionH relativeFrom="column">
                  <wp:posOffset>775335</wp:posOffset>
                </wp:positionH>
                <wp:positionV relativeFrom="paragraph">
                  <wp:posOffset>4071620</wp:posOffset>
                </wp:positionV>
                <wp:extent cx="215900" cy="107950"/>
                <wp:effectExtent l="12700" t="12700" r="19050" b="12700"/>
                <wp:wrapNone/>
                <wp:docPr id="97" name="矩形 97"/>
                <wp:cNvGraphicFramePr/>
                <a:graphic xmlns:a="http://schemas.openxmlformats.org/drawingml/2006/main">
                  <a:graphicData uri="http://schemas.microsoft.com/office/word/2010/wordprocessingShape">
                    <wps:wsp>
                      <wps:cNvSpPr/>
                      <wps:spPr>
                        <a:xfrm>
                          <a:off x="0" y="0"/>
                          <a:ext cx="215900" cy="107950"/>
                        </a:xfrm>
                        <a:prstGeom prst="rect">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05pt;margin-top:320.6pt;height:8.5pt;width:17pt;z-index:251705344;v-text-anchor:middle;mso-width-relative:page;mso-height-relative:page;" fillcolor="#00B0F0" filled="t" stroked="t" coordsize="21600,21600" o:gfxdata="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CFupPZAAAACwEAAA8AAAAAAAAAAQAgAAAAIgAAAGRycy9kb3ducmV2LnhtbFBL&#10;AQIUABQAAAAIAIdO4kDS1MWvZwIAAN4EAAAOAAAAAAAAAAEAIAAAACgBAABkcnMvZTJvRG9jLnht&#10;bFBLBQYAAAAABgAGAFkBAAABBgAAAAA=&#10;">
                <v:fill on="t" focussize="0,0"/>
                <v:stroke weight="2pt" color="#FF0000 [3204]" joinstyle="round"/>
                <v:imagedata o:title=""/>
                <o:lock v:ext="edit" aspectratio="f"/>
              </v:rect>
            </w:pict>
          </mc:Fallback>
        </mc:AlternateContent>
      </w:r>
      <w:r>
        <w:rPr>
          <w:rFonts w:hint="default" w:ascii="Times New Roman" w:hAnsi="Times New Roman" w:eastAsia="宋体" w:cs="Times New Roman"/>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-20320</wp:posOffset>
                </wp:positionH>
                <wp:positionV relativeFrom="paragraph">
                  <wp:posOffset>3582670</wp:posOffset>
                </wp:positionV>
                <wp:extent cx="1905635" cy="1362710"/>
                <wp:effectExtent l="12700" t="12700" r="24765" b="15240"/>
                <wp:wrapNone/>
                <wp:docPr id="10" name="矩形 10"/>
                <wp:cNvGraphicFramePr/>
                <a:graphic xmlns:a="http://schemas.openxmlformats.org/drawingml/2006/main">
                  <a:graphicData uri="http://schemas.microsoft.com/office/word/2010/wordprocessingShape">
                    <wps:wsp>
                      <wps:cNvSpPr/>
                      <wps:spPr>
                        <a:xfrm>
                          <a:off x="0" y="0"/>
                          <a:ext cx="1905635" cy="1362710"/>
                        </a:xfrm>
                        <a:prstGeom prst="rect">
                          <a:avLst/>
                        </a:prstGeom>
                        <a:solidFill>
                          <a:srgbClr val="BFBFBF"/>
                        </a:solidFill>
                        <a:ln w="25400" cap="flat" cmpd="sng">
                          <a:solidFill>
                            <a:srgbClr val="000000"/>
                          </a:solidFill>
                          <a:prstDash val="solid"/>
                          <a:round/>
                          <a:headEnd type="none" w="med" len="med"/>
                          <a:tailEnd type="none" w="med" len="med"/>
                        </a:ln>
                      </wps:spPr>
                      <wps:txb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厂区位置</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大气环境评价范围</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地下水环境评价范</w:t>
                            </w:r>
                            <w:r>
                              <w:rPr>
                                <w:rFonts w:hint="eastAsia"/>
                                <w:b/>
                                <w:bCs/>
                                <w:color w:val="000000" w:themeColor="text1"/>
                                <w:sz w:val="24"/>
                                <w:szCs w:val="32"/>
                                <w:lang w:eastAsia="zh-CN"/>
                                <w14:textFill>
                                  <w14:solidFill>
                                    <w14:schemeClr w14:val="tx1"/>
                                  </w14:solidFill>
                                </w14:textFill>
                              </w:rPr>
                              <w:t>围</w:t>
                            </w:r>
                          </w:p>
                        </w:txbxContent>
                      </wps:txbx>
                      <wps:bodyPr anchor="ctr" upright="1"/>
                    </wps:wsp>
                  </a:graphicData>
                </a:graphic>
              </wp:anchor>
            </w:drawing>
          </mc:Choice>
          <mc:Fallback>
            <w:pict>
              <v:rect id="_x0000_s1026" o:spid="_x0000_s1026" o:spt="1" style="position:absolute;left:0pt;margin-left:-1.6pt;margin-top:282.1pt;height:107.3pt;width:150.05pt;z-index:251668480;v-text-anchor:middle;mso-width-relative:page;mso-height-relative:page;" fillcolor="#BFBFBF" filled="t" stroked="t" coordsize="21600,21600" o:gfxdata="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7b37toAAAAKAQAADwAAAAAAAAAB&#10;ACAAAAAiAAAAZHJzL2Rvd25yZXYueG1sUEsBAhQAFAAAAAgAh07iQMtVROMOAgAAOgQAAA4AAAAA&#10;AAAAAQAgAAAAKQEAAGRycy9lMm9Eb2MueG1sUEsFBgAAAAAGAAYAWQEAAKkFAAAAAA==&#10;">
                <v:fill on="t" focussize="0,0"/>
                <v:stroke weight="2pt" color="#000000" joinstyle="round"/>
                <v:imagedata o:title=""/>
                <o:lock v:ext="edit" aspectratio="f"/>
                <v:textbo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厂区位置</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大气环境评价范围</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地下水环境评价范</w:t>
                      </w:r>
                      <w:r>
                        <w:rPr>
                          <w:rFonts w:hint="eastAsia"/>
                          <w:b/>
                          <w:bCs/>
                          <w:color w:val="000000" w:themeColor="text1"/>
                          <w:sz w:val="24"/>
                          <w:szCs w:val="32"/>
                          <w:lang w:eastAsia="zh-CN"/>
                          <w14:textFill>
                            <w14:solidFill>
                              <w14:schemeClr w14:val="tx1"/>
                            </w14:solidFill>
                          </w14:textFill>
                        </w:rPr>
                        <w:t>围</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3520440</wp:posOffset>
                </wp:positionH>
                <wp:positionV relativeFrom="paragraph">
                  <wp:posOffset>962660</wp:posOffset>
                </wp:positionV>
                <wp:extent cx="1757045" cy="2397760"/>
                <wp:effectExtent l="541655" t="299720" r="558800" b="312420"/>
                <wp:wrapNone/>
                <wp:docPr id="17" name="矩形 17"/>
                <wp:cNvGraphicFramePr/>
                <a:graphic xmlns:a="http://schemas.openxmlformats.org/drawingml/2006/main">
                  <a:graphicData uri="http://schemas.microsoft.com/office/word/2010/wordprocessingShape">
                    <wps:wsp>
                      <wps:cNvSpPr/>
                      <wps:spPr>
                        <a:xfrm rot="8700000">
                          <a:off x="0" y="0"/>
                          <a:ext cx="1757045" cy="239776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2pt;margin-top:75.8pt;height:188.8pt;width:138.35pt;rotation:9502720f;z-index:251667456;v-text-anchor:middle;mso-width-relative:page;mso-height-relative:page;" filled="f" stroked="t" coordsize="21600,21600" o:gfxdata="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ikketgAAAALAQAADwAAAAAAAAABACAAAAAiAAAAZHJzL2Rvd25yZXYueG1sUEsB&#10;AhQAFAAAAAgAh07iQKh5UqVnAgAAxQQAAA4AAAAAAAAAAQAgAAAAJwEAAGRycy9lMm9Eb2MueG1s&#10;UEsFBgAAAAAGAAYAWQEAAAAGAAAAAA==&#10;">
                <v:fill on="f" focussize="0,0"/>
                <v:stroke weight="2pt" color="#FFFF0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1949450</wp:posOffset>
                </wp:positionH>
                <wp:positionV relativeFrom="paragraph">
                  <wp:posOffset>492125</wp:posOffset>
                </wp:positionV>
                <wp:extent cx="5155565" cy="3930650"/>
                <wp:effectExtent l="12700" t="12700" r="13335" b="19050"/>
                <wp:wrapNone/>
                <wp:docPr id="9" name="矩形 9"/>
                <wp:cNvGraphicFramePr/>
                <a:graphic xmlns:a="http://schemas.openxmlformats.org/drawingml/2006/main">
                  <a:graphicData uri="http://schemas.microsoft.com/office/word/2010/wordprocessingShape">
                    <wps:wsp>
                      <wps:cNvSpPr/>
                      <wps:spPr>
                        <a:xfrm>
                          <a:off x="4021455" y="2425065"/>
                          <a:ext cx="5155565" cy="393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5pt;margin-top:38.75pt;height:309.5pt;width:405.95pt;z-index:251666432;v-text-anchor:middle;mso-width-relative:page;mso-height-relative:page;" filled="f" stroked="t" coordsize="21600,21600" o:gfxdata="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aPgSl2wAAAAsBAAAPAAAAAAAAAAEAIAAAACIAAABkcnMvZG93bnJl&#10;di54bWxQSwECFAAUAAAACACHTuJARR0wC2wCAADBBAAADgAAAAAAAAABACAAAAAqAQAAZHJzL2Uy&#10;b0RvYy54bWxQSwUGAAAAAAYABgBZAQAACAYAAAAA&#10;">
                <v:fill on="f" focussize="0,0"/>
                <v:stroke weight="2pt" color="#FF0000 [3204]" joinstyle="round"/>
                <v:imagedata o:title=""/>
                <o:lock v:ext="edit" aspectratio="f"/>
              </v:rect>
            </w:pict>
          </mc:Fallback>
        </mc:AlternateContent>
      </w:r>
      <w:r>
        <w:rPr>
          <w:rFonts w:hint="default" w:ascii="Times New Roman" w:hAnsi="Times New Roman" w:eastAsia="宋体" w:cs="Times New Roman"/>
          <w:color w:val="auto"/>
          <w:sz w:val="24"/>
        </w:rPr>
        <w:drawing>
          <wp:inline distT="0" distB="0" distL="114300" distR="114300">
            <wp:extent cx="6556375" cy="4932045"/>
            <wp:effectExtent l="0" t="0" r="15875" b="1905"/>
            <wp:docPr id="43" name="图片 43" descr="屏幕截图2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屏幕截图211111"/>
                    <pic:cNvPicPr>
                      <a:picLocks noChangeAspect="1"/>
                    </pic:cNvPicPr>
                  </pic:nvPicPr>
                  <pic:blipFill>
                    <a:blip r:embed="rId14"/>
                    <a:stretch>
                      <a:fillRect/>
                    </a:stretch>
                  </pic:blipFill>
                  <pic:spPr>
                    <a:xfrm>
                      <a:off x="0" y="0"/>
                      <a:ext cx="6556375" cy="4932045"/>
                    </a:xfrm>
                    <a:prstGeom prst="rect">
                      <a:avLst/>
                    </a:prstGeom>
                  </pic:spPr>
                </pic:pic>
              </a:graphicData>
            </a:graphic>
          </wp:inline>
        </w:drawing>
      </w:r>
      <w:r>
        <w:rPr>
          <w:rFonts w:hint="default" w:ascii="Times New Roman" w:hAnsi="Times New Roman" w:eastAsia="宋体" w:cs="Times New Roman"/>
          <w:color w:val="auto"/>
          <w:highlight w:val="none"/>
        </w:rPr>
        <w:drawing>
          <wp:anchor distT="0" distB="0" distL="114300" distR="114300" simplePos="0" relativeHeight="251770880" behindDoc="0" locked="0" layoutInCell="1" allowOverlap="1">
            <wp:simplePos x="0" y="0"/>
            <wp:positionH relativeFrom="column">
              <wp:posOffset>7214870</wp:posOffset>
            </wp:positionH>
            <wp:positionV relativeFrom="paragraph">
              <wp:posOffset>-9525</wp:posOffset>
            </wp:positionV>
            <wp:extent cx="1435100" cy="1574800"/>
            <wp:effectExtent l="0" t="0" r="12700" b="6350"/>
            <wp:wrapNone/>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5"/>
                    <a:srcRect l="3539" r="4555"/>
                    <a:stretch>
                      <a:fillRect/>
                    </a:stretch>
                  </pic:blipFill>
                  <pic:spPr>
                    <a:xfrm>
                      <a:off x="0" y="0"/>
                      <a:ext cx="1435100" cy="1574800"/>
                    </a:xfrm>
                    <a:prstGeom prst="rect">
                      <a:avLst/>
                    </a:prstGeom>
                    <a:noFill/>
                    <a:ln>
                      <a:noFill/>
                    </a:ln>
                  </pic:spPr>
                </pic:pic>
              </a:graphicData>
            </a:graphic>
          </wp:anchor>
        </w:drawing>
      </w:r>
      <w:r>
        <w:rPr>
          <w:rFonts w:hint="default" w:ascii="Times New Roman" w:hAnsi="Times New Roman" w:eastAsia="宋体" w:cs="Times New Roman"/>
          <w:color w:val="auto"/>
          <w:sz w:val="24"/>
        </w:rPr>
        <mc:AlternateContent>
          <mc:Choice Requires="wps">
            <w:drawing>
              <wp:anchor distT="0" distB="0" distL="114300" distR="114300" simplePos="0" relativeHeight="251691008" behindDoc="0" locked="0" layoutInCell="1" allowOverlap="1">
                <wp:simplePos x="0" y="0"/>
                <wp:positionH relativeFrom="column">
                  <wp:posOffset>3378200</wp:posOffset>
                </wp:positionH>
                <wp:positionV relativeFrom="paragraph">
                  <wp:posOffset>3145790</wp:posOffset>
                </wp:positionV>
                <wp:extent cx="311785" cy="415925"/>
                <wp:effectExtent l="0" t="0" r="12065" b="22225"/>
                <wp:wrapNone/>
                <wp:docPr id="7" name="直接箭头连接符 7"/>
                <wp:cNvGraphicFramePr/>
                <a:graphic xmlns:a="http://schemas.openxmlformats.org/drawingml/2006/main">
                  <a:graphicData uri="http://schemas.microsoft.com/office/word/2010/wordprocessingShape">
                    <wps:wsp>
                      <wps:cNvCnPr/>
                      <wps:spPr>
                        <a:xfrm flipH="1" flipV="1">
                          <a:off x="5372100" y="3636010"/>
                          <a:ext cx="311785" cy="41592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6pt;margin-top:247.7pt;height:32.75pt;width:24.55pt;z-index:251691008;mso-width-relative:page;mso-height-relative:page;" filled="f" stroked="t" coordsize="21600,21600" o:gfxdata="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11iwt0AAAAL&#10;AQAADwAAAAAAAAABACAAAAAiAAAAZHJzL2Rvd25yZXYueG1sUEsBAhQAFAAAAAgAh07iQFCWsQUX&#10;AgAA7AMAAA4AAAAAAAAAAQAgAAAALAEAAGRycy9lMm9Eb2MueG1sUEsFBgAAAAAGAAYAWQEAALUF&#10;AAAAAA==&#10;">
                <v:fill on="f" focussize="0,0"/>
                <v:stroke weight="1.5pt" color="#FFFF00 [3204]" joinstyle="round" endarrow="open"/>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2032" behindDoc="0" locked="0" layoutInCell="1" allowOverlap="1">
                <wp:simplePos x="0" y="0"/>
                <wp:positionH relativeFrom="column">
                  <wp:posOffset>3234690</wp:posOffset>
                </wp:positionH>
                <wp:positionV relativeFrom="paragraph">
                  <wp:posOffset>3414395</wp:posOffset>
                </wp:positionV>
                <wp:extent cx="1138555" cy="457835"/>
                <wp:effectExtent l="0" t="0" r="0" b="0"/>
                <wp:wrapNone/>
                <wp:docPr id="11" name="矩形 11"/>
                <wp:cNvGraphicFramePr/>
                <a:graphic xmlns:a="http://schemas.openxmlformats.org/drawingml/2006/main">
                  <a:graphicData uri="http://schemas.microsoft.com/office/word/2010/wordprocessingShape">
                    <wps:wsp>
                      <wps:cNvSpPr/>
                      <wps:spPr>
                        <a:xfrm>
                          <a:off x="2933065" y="2164715"/>
                          <a:ext cx="1138555" cy="457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地下水流向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7pt;margin-top:268.85pt;height:36.05pt;width:89.65pt;z-index:251692032;v-text-anchor:middle;mso-width-relative:page;mso-height-relative:page;" filled="f" stroked="f" coordsize="21600,21600" o:gfxdata="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fL+P92QAAAAsBAAAPAAAAAAAAAAEAIAAAACIAAABkcnMvZG93bnJldi54bWxQSwECFAAUAAAA&#10;CACHTuJAu7wsC18CAACkBAAADgAAAAAAAAABACAAAAAoAQAAZHJzL2Uyb0RvYy54bWxQSwUGAAAA&#10;AAYABgBZAQAA+QUAAAAA&#10;">
                <v:fill on="f" focussize="0,0"/>
                <v:stroke on="f" weight="2pt"/>
                <v:imagedata o:title=""/>
                <o:lock v:ext="edit" aspectratio="f"/>
                <v:textbox>
                  <w:txbxContent>
                    <w:p>
                      <w:pPr>
                        <w:jc w:val="center"/>
                        <w:rPr>
                          <w:rFonts w:hint="eastAsia" w:eastAsia="宋体"/>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地下水流向</w:t>
                      </w:r>
                    </w:p>
                  </w:txbxContent>
                </v:textbox>
              </v:rect>
            </w:pict>
          </mc:Fallback>
        </mc:AlternateContent>
      </w:r>
    </w:p>
    <w:p>
      <w:pPr>
        <w:shd w:val="clear"/>
        <w:jc w:val="center"/>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图2-6.1    大气环境和地下水环境评价范围图</w:t>
      </w:r>
    </w:p>
    <w:p>
      <w:pPr>
        <w:shd w:val="clear"/>
        <w:jc w:val="center"/>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color w:val="auto"/>
        </w:rPr>
        <w:drawing>
          <wp:anchor distT="0" distB="0" distL="114300" distR="114300" simplePos="0" relativeHeight="251697152" behindDoc="0" locked="0" layoutInCell="1" allowOverlap="1">
            <wp:simplePos x="0" y="0"/>
            <wp:positionH relativeFrom="column">
              <wp:posOffset>6916420</wp:posOffset>
            </wp:positionH>
            <wp:positionV relativeFrom="paragraph">
              <wp:posOffset>24130</wp:posOffset>
            </wp:positionV>
            <wp:extent cx="567055" cy="624840"/>
            <wp:effectExtent l="0" t="0" r="4445" b="3810"/>
            <wp:wrapNone/>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16"/>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1"/>
        </w:rPr>
        <mc:AlternateContent>
          <mc:Choice Requires="wps">
            <w:drawing>
              <wp:anchor distT="0" distB="0" distL="114300" distR="114300" simplePos="0" relativeHeight="251704320" behindDoc="0" locked="0" layoutInCell="1" allowOverlap="1">
                <wp:simplePos x="0" y="0"/>
                <wp:positionH relativeFrom="column">
                  <wp:posOffset>1518285</wp:posOffset>
                </wp:positionH>
                <wp:positionV relativeFrom="paragraph">
                  <wp:posOffset>4589780</wp:posOffset>
                </wp:positionV>
                <wp:extent cx="215900" cy="107950"/>
                <wp:effectExtent l="12700" t="12700" r="19050" b="12700"/>
                <wp:wrapNone/>
                <wp:docPr id="6" name="矩形 6"/>
                <wp:cNvGraphicFramePr/>
                <a:graphic xmlns:a="http://schemas.openxmlformats.org/drawingml/2006/main">
                  <a:graphicData uri="http://schemas.microsoft.com/office/word/2010/wordprocessingShape">
                    <wps:wsp>
                      <wps:cNvSpPr/>
                      <wps:spPr>
                        <a:xfrm>
                          <a:off x="0" y="0"/>
                          <a:ext cx="215900" cy="1079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361.4pt;height:8.5pt;width:17pt;z-index:251704320;v-text-anchor:middle;mso-width-relative:page;mso-height-relative:page;" filled="f" stroked="t" coordsize="21600,21600" o:gfxdata="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s&#10;6+KK2gAAAAsBAAAPAAAAAAAAAAEAIAAAACIAAABkcnMvZG93bnJldi54bWxQSwECFAAUAAAACACH&#10;TuJAtp0WOFsCAACzBAAADgAAAAAAAAABACAAAAApAQAAZHJzL2Uyb0RvYy54bWxQSwUGAAAAAAYA&#10;BgBZAQAA9gUAAAAA&#10;">
                <v:fill on="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3600" behindDoc="0" locked="0" layoutInCell="1" allowOverlap="1">
                <wp:simplePos x="0" y="0"/>
                <wp:positionH relativeFrom="column">
                  <wp:posOffset>1355725</wp:posOffset>
                </wp:positionH>
                <wp:positionV relativeFrom="paragraph">
                  <wp:posOffset>4274185</wp:posOffset>
                </wp:positionV>
                <wp:extent cx="215900" cy="107950"/>
                <wp:effectExtent l="12700" t="12700" r="19050" b="12700"/>
                <wp:wrapNone/>
                <wp:docPr id="26" name="矩形 26"/>
                <wp:cNvGraphicFramePr/>
                <a:graphic xmlns:a="http://schemas.openxmlformats.org/drawingml/2006/main">
                  <a:graphicData uri="http://schemas.microsoft.com/office/word/2010/wordprocessingShape">
                    <wps:wsp>
                      <wps:cNvSpPr/>
                      <wps:spPr>
                        <a:xfrm>
                          <a:off x="7299325" y="3585845"/>
                          <a:ext cx="215900" cy="1079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75pt;margin-top:336.55pt;height:8.5pt;width:17pt;z-index:251673600;v-text-anchor:middle;mso-width-relative:page;mso-height-relative:page;" filled="f" stroked="t" coordsize="21600,21600" o:gfxdata="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UpjSw2QAAAAsBAAAPAAAAAAAAAAEAIAAAACIAAABkcnMvZG93bnJldi54&#10;bWxQSwECFAAUAAAACACHTuJAtGB5+msCAADBBAAADgAAAAAAAAABACAAAAAoAQAAZHJzL2Uyb0Rv&#10;Yy54bWxQSwUGAAAAAAYABgBZAQAABQYAAAAA&#10;">
                <v:fill on="f" focussize="0,0"/>
                <v:stroke weight="2pt" color="#FFFF00 [3204]" joinstyle="round"/>
                <v:imagedata o:title=""/>
                <o:lock v:ext="edit" aspectratio="f"/>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2576" behindDoc="0" locked="0" layoutInCell="1" allowOverlap="1">
                <wp:simplePos x="0" y="0"/>
                <wp:positionH relativeFrom="column">
                  <wp:posOffset>906780</wp:posOffset>
                </wp:positionH>
                <wp:positionV relativeFrom="paragraph">
                  <wp:posOffset>3969385</wp:posOffset>
                </wp:positionV>
                <wp:extent cx="215900" cy="107950"/>
                <wp:effectExtent l="12700" t="0" r="19050" b="12700"/>
                <wp:wrapNone/>
                <wp:docPr id="25" name="矩形 25"/>
                <wp:cNvGraphicFramePr/>
                <a:graphic xmlns:a="http://schemas.openxmlformats.org/drawingml/2006/main">
                  <a:graphicData uri="http://schemas.microsoft.com/office/word/2010/wordprocessingShape">
                    <wps:wsp>
                      <wps:cNvSpPr/>
                      <wps:spPr>
                        <a:xfrm>
                          <a:off x="6926580" y="2863215"/>
                          <a:ext cx="215900" cy="107950"/>
                        </a:xfrm>
                        <a:prstGeom prst="rect">
                          <a:avLst/>
                        </a:prstGeom>
                        <a:solidFill>
                          <a:srgbClr val="7030A0">
                            <a:alpha val="6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4pt;margin-top:312.55pt;height:8.5pt;width:17pt;z-index:251672576;v-text-anchor:middle;mso-width-relative:page;mso-height-relative:page;" fillcolor="#7030A0" filled="t" stroked="t" coordsize="21600,21600" o:gfxdata="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PvDvNgAAAALAQAADwAAAAAAAAABACAA&#10;AAAiAAAAZHJzL2Rvd25yZXYueG1sUEsBAhQAFAAAAAgAh07iQIWBXwF/AgAACwUAAA4AAAAAAAAA&#10;AQAgAAAAJwEAAGRycy9lMm9Eb2MueG1sUEsFBgAAAAAGAAYAWQEAABgGAAAAAA==&#10;">
                <v:fill on="t" opacity="39321f" focussize="0,0"/>
                <v:stroke weight="2pt" color="#FF0000 [3204]" joinstyle="round"/>
                <v:imagedata o:title=""/>
                <o:lock v:ext="edit" aspectratio="f"/>
              </v:rect>
            </w:pict>
          </mc:Fallback>
        </mc:AlternateContent>
      </w:r>
      <w:r>
        <w:rPr>
          <w:rFonts w:hint="default" w:ascii="Times New Roman" w:hAnsi="Times New Roman" w:eastAsia="宋体" w:cs="Times New Roman"/>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115570</wp:posOffset>
                </wp:positionH>
                <wp:positionV relativeFrom="paragraph">
                  <wp:posOffset>3421380</wp:posOffset>
                </wp:positionV>
                <wp:extent cx="1669415" cy="1507490"/>
                <wp:effectExtent l="12700" t="12700" r="13335" b="22860"/>
                <wp:wrapNone/>
                <wp:docPr id="22" name="矩形 22"/>
                <wp:cNvGraphicFramePr/>
                <a:graphic xmlns:a="http://schemas.openxmlformats.org/drawingml/2006/main">
                  <a:graphicData uri="http://schemas.microsoft.com/office/word/2010/wordprocessingShape">
                    <wps:wsp>
                      <wps:cNvSpPr/>
                      <wps:spPr>
                        <a:xfrm>
                          <a:off x="0" y="0"/>
                          <a:ext cx="1669415" cy="1507490"/>
                        </a:xfrm>
                        <a:prstGeom prst="rect">
                          <a:avLst/>
                        </a:prstGeom>
                        <a:solidFill>
                          <a:srgbClr val="BFBFBF"/>
                        </a:solidFill>
                        <a:ln w="25400" cap="flat" cmpd="sng">
                          <a:solidFill>
                            <a:srgbClr val="000000"/>
                          </a:solidFill>
                          <a:prstDash val="solid"/>
                          <a:round/>
                          <a:headEnd type="none" w="med" len="med"/>
                          <a:tailEnd type="none" w="med" len="med"/>
                        </a:ln>
                      </wps:spPr>
                      <wps:txb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eastAsia="宋体"/>
                                <w:b/>
                                <w:bCs/>
                                <w:color w:val="000000" w:themeColor="text1"/>
                                <w:sz w:val="24"/>
                                <w:szCs w:val="32"/>
                                <w:lang w:eastAsia="zh-CN"/>
                                <w14:textFill>
                                  <w14:solidFill>
                                    <w14:schemeClr w14:val="tx1"/>
                                  </w14:solidFill>
                                </w14:textFill>
                              </w:rPr>
                              <w:t>厂区位置</w:t>
                            </w:r>
                          </w:p>
                          <w:p>
                            <w:pPr>
                              <w:spacing w:line="360" w:lineRule="auto"/>
                              <w:ind w:firstLine="0" w:firstLineChars="0"/>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声</w:t>
                            </w:r>
                            <w:r>
                              <w:rPr>
                                <w:rFonts w:hint="eastAsia"/>
                                <w:b/>
                                <w:bCs/>
                                <w:color w:val="000000" w:themeColor="text1"/>
                                <w:sz w:val="24"/>
                                <w:szCs w:val="32"/>
                                <w14:textFill>
                                  <w14:solidFill>
                                    <w14:schemeClr w14:val="tx1"/>
                                  </w14:solidFill>
                                </w14:textFill>
                              </w:rPr>
                              <w:t>环境评价范围</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土壤</w:t>
                            </w:r>
                            <w:r>
                              <w:rPr>
                                <w:rFonts w:hint="eastAsia"/>
                                <w:b/>
                                <w:bCs/>
                                <w:color w:val="000000" w:themeColor="text1"/>
                                <w:sz w:val="24"/>
                                <w:szCs w:val="32"/>
                                <w14:textFill>
                                  <w14:solidFill>
                                    <w14:schemeClr w14:val="tx1"/>
                                  </w14:solidFill>
                                </w14:textFill>
                              </w:rPr>
                              <w:t>环境评价范围</w:t>
                            </w:r>
                          </w:p>
                        </w:txbxContent>
                      </wps:txbx>
                      <wps:bodyPr anchor="ctr" upright="1"/>
                    </wps:wsp>
                  </a:graphicData>
                </a:graphic>
              </wp:anchor>
            </w:drawing>
          </mc:Choice>
          <mc:Fallback>
            <w:pict>
              <v:rect id="_x0000_s1026" o:spid="_x0000_s1026" o:spt="1" style="position:absolute;left:0pt;margin-left:9.1pt;margin-top:269.4pt;height:118.7pt;width:131.45pt;z-index:251671552;v-text-anchor:middle;mso-width-relative:page;mso-height-relative:page;" fillcolor="#BFBFBF" filled="t" stroked="t" coordsize="21600,21600" o:gfxdata="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x3t59gAAAAKAQAADwAAAAAAAAAB&#10;ACAAAAAiAAAAZHJzL2Rvd25yZXYueG1sUEsBAhQAFAAAAAgAh07iQH/eOHkQAgAAOgQAAA4AAAAA&#10;AAAAAQAgAAAAJwEAAGRycy9lMm9Eb2MueG1sUEsFBgAAAAAGAAYAWQEAAKkFAAAAAA==&#10;">
                <v:fill on="t" focussize="0,0"/>
                <v:stroke weight="2pt" color="#000000" joinstyle="round"/>
                <v:imagedata o:title=""/>
                <o:lock v:ext="edit" aspectratio="f"/>
                <v:textbo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eastAsia="宋体"/>
                          <w:b/>
                          <w:bCs/>
                          <w:color w:val="000000" w:themeColor="text1"/>
                          <w:sz w:val="24"/>
                          <w:szCs w:val="32"/>
                          <w:lang w:eastAsia="zh-CN"/>
                          <w14:textFill>
                            <w14:solidFill>
                              <w14:schemeClr w14:val="tx1"/>
                            </w14:solidFill>
                          </w14:textFill>
                        </w:rPr>
                        <w:t>厂区位置</w:t>
                      </w:r>
                    </w:p>
                    <w:p>
                      <w:pPr>
                        <w:spacing w:line="360" w:lineRule="auto"/>
                        <w:ind w:firstLine="0" w:firstLineChars="0"/>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声</w:t>
                      </w:r>
                      <w:r>
                        <w:rPr>
                          <w:rFonts w:hint="eastAsia"/>
                          <w:b/>
                          <w:bCs/>
                          <w:color w:val="000000" w:themeColor="text1"/>
                          <w:sz w:val="24"/>
                          <w:szCs w:val="32"/>
                          <w14:textFill>
                            <w14:solidFill>
                              <w14:schemeClr w14:val="tx1"/>
                            </w14:solidFill>
                          </w14:textFill>
                        </w:rPr>
                        <w:t>环境评价范围</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土壤</w:t>
                      </w:r>
                      <w:r>
                        <w:rPr>
                          <w:rFonts w:hint="eastAsia"/>
                          <w:b/>
                          <w:bCs/>
                          <w:color w:val="000000" w:themeColor="text1"/>
                          <w:sz w:val="24"/>
                          <w:szCs w:val="32"/>
                          <w14:textFill>
                            <w14:solidFill>
                              <w14:schemeClr w14:val="tx1"/>
                            </w14:solidFill>
                          </w14:textFill>
                        </w:rPr>
                        <w:t>环境评价范围</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06368" behindDoc="0" locked="0" layoutInCell="1" allowOverlap="1">
                <wp:simplePos x="0" y="0"/>
                <wp:positionH relativeFrom="column">
                  <wp:posOffset>3232150</wp:posOffset>
                </wp:positionH>
                <wp:positionV relativeFrom="paragraph">
                  <wp:posOffset>1556385</wp:posOffset>
                </wp:positionV>
                <wp:extent cx="1671955" cy="1844040"/>
                <wp:effectExtent l="12700" t="12700" r="29845" b="29210"/>
                <wp:wrapNone/>
                <wp:docPr id="21" name="任意多边形 21"/>
                <wp:cNvGraphicFramePr/>
                <a:graphic xmlns:a="http://schemas.openxmlformats.org/drawingml/2006/main">
                  <a:graphicData uri="http://schemas.microsoft.com/office/word/2010/wordprocessingShape">
                    <wps:wsp>
                      <wps:cNvSpPr/>
                      <wps:spPr>
                        <a:xfrm>
                          <a:off x="4288790" y="2775585"/>
                          <a:ext cx="1671955" cy="1844040"/>
                        </a:xfrm>
                        <a:custGeom>
                          <a:avLst/>
                          <a:gdLst>
                            <a:gd name="connisteX0" fmla="*/ 0 w 1780540"/>
                            <a:gd name="connsiteY0" fmla="*/ 241935 h 1883410"/>
                            <a:gd name="connisteX1" fmla="*/ 175895 w 1780540"/>
                            <a:gd name="connsiteY1" fmla="*/ 1355725 h 1883410"/>
                            <a:gd name="connisteX2" fmla="*/ 381000 w 1780540"/>
                            <a:gd name="connsiteY2" fmla="*/ 1326515 h 1883410"/>
                            <a:gd name="connisteX3" fmla="*/ 622935 w 1780540"/>
                            <a:gd name="connsiteY3" fmla="*/ 1883410 h 1883410"/>
                            <a:gd name="connisteX4" fmla="*/ 1597025 w 1780540"/>
                            <a:gd name="connsiteY4" fmla="*/ 1581785 h 1883410"/>
                            <a:gd name="connisteX5" fmla="*/ 1501775 w 1780540"/>
                            <a:gd name="connsiteY5" fmla="*/ 1200785 h 1883410"/>
                            <a:gd name="connisteX6" fmla="*/ 1780540 w 1780540"/>
                            <a:gd name="connsiteY6" fmla="*/ 1157605 h 1883410"/>
                            <a:gd name="connisteX7" fmla="*/ 1538605 w 1780540"/>
                            <a:gd name="connsiteY7" fmla="*/ 0 h 1883410"/>
                            <a:gd name="connisteX8" fmla="*/ 0 w 1780540"/>
                            <a:gd name="connsiteY8" fmla="*/ 241935 h 18834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780540" h="1883410">
                              <a:moveTo>
                                <a:pt x="0" y="241935"/>
                              </a:moveTo>
                              <a:lnTo>
                                <a:pt x="175895" y="1355725"/>
                              </a:lnTo>
                              <a:lnTo>
                                <a:pt x="381000" y="1326515"/>
                              </a:lnTo>
                              <a:lnTo>
                                <a:pt x="622935" y="1883410"/>
                              </a:lnTo>
                              <a:lnTo>
                                <a:pt x="1597025" y="1581785"/>
                              </a:lnTo>
                              <a:lnTo>
                                <a:pt x="1501775" y="1200785"/>
                              </a:lnTo>
                              <a:lnTo>
                                <a:pt x="1780540" y="1157605"/>
                              </a:lnTo>
                              <a:lnTo>
                                <a:pt x="1538605" y="0"/>
                              </a:lnTo>
                              <a:lnTo>
                                <a:pt x="0" y="241935"/>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54.5pt;margin-top:122.55pt;height:145.2pt;width:131.65pt;z-index:251706368;mso-width-relative:page;mso-height-relative:page;" filled="f" stroked="t" coordsize="1780540,1883410" o:gfxdata="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AQbQdW2wAAAAsBAAAPAAAAAAAAAAEAIAAAACIAAABkcnMvZG93bnJldi54bWxQSwECFAAU&#10;AAAACACHTuJAqG3VH7YDAAClCwAADgAAAAAAAAABACAAAAAqAQAAZHJzL2Uyb0RvYy54bWxQSwUG&#10;AAAAAAYABgBZAQAAUgcAAAAA&#10;" path="m0,241935l175895,1355725,381000,1326515,622935,1883410,1597025,1581785,1501775,1200785,1780540,1157605,1538605,0,0,241935xe">
                <v:path o:connectlocs="0,236877;165168,1327385;357764,1298786;584945,1844040;1499631,1548720;1410190,1175684;1671955,1133406;1444774,0;0,236877" o:connectangles="0,0,0,0,0,0,0,0,0"/>
                <v:fill on="f" focussize="0,0"/>
                <v:stroke weight="2pt" color="#00B050 [3204]"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07392" behindDoc="0" locked="0" layoutInCell="1" allowOverlap="1">
                <wp:simplePos x="0" y="0"/>
                <wp:positionH relativeFrom="column">
                  <wp:posOffset>1853565</wp:posOffset>
                </wp:positionH>
                <wp:positionV relativeFrom="paragraph">
                  <wp:posOffset>607695</wp:posOffset>
                </wp:positionV>
                <wp:extent cx="4629785" cy="4105275"/>
                <wp:effectExtent l="12700" t="12700" r="24765" b="15875"/>
                <wp:wrapNone/>
                <wp:docPr id="24" name="任意多边形 24"/>
                <wp:cNvGraphicFramePr/>
                <a:graphic xmlns:a="http://schemas.openxmlformats.org/drawingml/2006/main">
                  <a:graphicData uri="http://schemas.microsoft.com/office/word/2010/wordprocessingShape">
                    <wps:wsp>
                      <wps:cNvSpPr/>
                      <wps:spPr>
                        <a:xfrm>
                          <a:off x="2727960" y="1582420"/>
                          <a:ext cx="4629785" cy="4105275"/>
                        </a:xfrm>
                        <a:custGeom>
                          <a:avLst/>
                          <a:gdLst>
                            <a:gd name="connisteX0" fmla="*/ 4184015 w 4982210"/>
                            <a:gd name="connsiteY0" fmla="*/ 0 h 4439920"/>
                            <a:gd name="connisteX1" fmla="*/ 0 w 4982210"/>
                            <a:gd name="connsiteY1" fmla="*/ 577850 h 4439920"/>
                            <a:gd name="connisteX2" fmla="*/ 586105 w 4982210"/>
                            <a:gd name="connsiteY2" fmla="*/ 3838575 h 4439920"/>
                            <a:gd name="connisteX3" fmla="*/ 784225 w 4982210"/>
                            <a:gd name="connsiteY3" fmla="*/ 3795395 h 4439920"/>
                            <a:gd name="connisteX4" fmla="*/ 952500 w 4982210"/>
                            <a:gd name="connsiteY4" fmla="*/ 4439920 h 4439920"/>
                            <a:gd name="connisteX5" fmla="*/ 4667250 w 4982210"/>
                            <a:gd name="connsiteY5" fmla="*/ 3495040 h 4439920"/>
                            <a:gd name="connisteX6" fmla="*/ 4777105 w 4982210"/>
                            <a:gd name="connsiteY6" fmla="*/ 3479800 h 4439920"/>
                            <a:gd name="connisteX7" fmla="*/ 4630420 w 4982210"/>
                            <a:gd name="connsiteY7" fmla="*/ 3040380 h 4439920"/>
                            <a:gd name="connisteX8" fmla="*/ 4982210 w 4982210"/>
                            <a:gd name="connsiteY8" fmla="*/ 2930525 h 4439920"/>
                            <a:gd name="connisteX9" fmla="*/ 4184015 w 4982210"/>
                            <a:gd name="connsiteY9" fmla="*/ 0 h 44399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4982210" h="4439920">
                              <a:moveTo>
                                <a:pt x="4184015" y="0"/>
                              </a:moveTo>
                              <a:lnTo>
                                <a:pt x="0" y="577850"/>
                              </a:lnTo>
                              <a:lnTo>
                                <a:pt x="586105" y="3838575"/>
                              </a:lnTo>
                              <a:lnTo>
                                <a:pt x="784225" y="3795395"/>
                              </a:lnTo>
                              <a:lnTo>
                                <a:pt x="952500" y="4439920"/>
                              </a:lnTo>
                              <a:lnTo>
                                <a:pt x="4667250" y="3495040"/>
                              </a:lnTo>
                              <a:lnTo>
                                <a:pt x="4777105" y="3479800"/>
                              </a:lnTo>
                              <a:lnTo>
                                <a:pt x="4630420" y="3040380"/>
                              </a:lnTo>
                              <a:lnTo>
                                <a:pt x="4982210" y="2930525"/>
                              </a:lnTo>
                              <a:lnTo>
                                <a:pt x="4184015"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45.95pt;margin-top:47.85pt;height:323.25pt;width:364.55pt;z-index:251707392;mso-width-relative:page;mso-height-relative:page;" filled="f" stroked="t" coordsize="4982210,4439920" o:gfxdata="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" path="m4184015,0l0,577850,586105,3838575,784225,3795395,952500,4439920,4667250,3495040,4777105,3479800,4630420,3040380,4982210,2930525,4184015,0xe">
                <v:path o:connectlocs="3888051,0;0,534296;544645,3549254;728751,3509329;885123,4105275;4337104,3231612;4439188,3217521;4302879,2811220;4629785,2709645;3888051,0" o:connectangles="0,0,0,0,0,0,0,0,0,0"/>
                <v:fill on="f" focussize="0,0"/>
                <v:stroke weight="2pt" color="#FFFF00 [3204]" joinstyle="round"/>
                <v:imagedata o:title=""/>
                <o:lock v:ext="edit" aspectratio="f"/>
              </v:shape>
            </w:pict>
          </mc:Fallback>
        </mc:AlternateContent>
      </w:r>
      <w:r>
        <w:rPr>
          <w:rFonts w:hint="default" w:ascii="Times New Roman" w:hAnsi="Times New Roman" w:eastAsia="宋体" w:cs="Times New Roman"/>
          <w:b/>
          <w:bCs/>
          <w:color w:val="auto"/>
          <w:sz w:val="24"/>
          <w:szCs w:val="32"/>
          <w:lang w:val="en-US" w:eastAsia="zh-CN"/>
        </w:rPr>
        <w:drawing>
          <wp:inline distT="0" distB="0" distL="114300" distR="114300">
            <wp:extent cx="6186170" cy="4932045"/>
            <wp:effectExtent l="0" t="0" r="5080" b="1905"/>
            <wp:docPr id="44" name="图片 44" descr="屏幕截图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屏幕截图33333333"/>
                    <pic:cNvPicPr>
                      <a:picLocks noChangeAspect="1"/>
                    </pic:cNvPicPr>
                  </pic:nvPicPr>
                  <pic:blipFill>
                    <a:blip r:embed="rId17"/>
                    <a:stretch>
                      <a:fillRect/>
                    </a:stretch>
                  </pic:blipFill>
                  <pic:spPr>
                    <a:xfrm>
                      <a:off x="0" y="0"/>
                      <a:ext cx="6186170" cy="4932045"/>
                    </a:xfrm>
                    <a:prstGeom prst="rect">
                      <a:avLst/>
                    </a:prstGeom>
                  </pic:spPr>
                </pic:pic>
              </a:graphicData>
            </a:graphic>
          </wp:inline>
        </w:drawing>
      </w:r>
    </w:p>
    <w:p>
      <w:pPr>
        <w:shd w:val="clear"/>
        <w:jc w:val="center"/>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图2-6.2    声环境、土壤环境和生态环境评价范围图</w:t>
      </w:r>
    </w:p>
    <w:p>
      <w:pPr>
        <w:shd w:val="clear"/>
        <w:jc w:val="center"/>
        <w:rPr>
          <w:rFonts w:hint="default" w:ascii="Times New Roman" w:hAnsi="Times New Roman" w:eastAsia="宋体" w:cs="Times New Roman"/>
          <w:b/>
          <w:bCs/>
          <w:color w:val="auto"/>
          <w:sz w:val="24"/>
          <w:szCs w:val="32"/>
          <w:lang w:val="en-US" w:eastAsia="zh-CN"/>
        </w:rPr>
        <w:sectPr>
          <w:pgSz w:w="16840" w:h="11907" w:orient="landscape"/>
          <w:pgMar w:top="1797" w:right="1440" w:bottom="1797" w:left="1440" w:header="851" w:footer="992" w:gutter="0"/>
          <w:pgNumType w:fmt="decimal"/>
          <w:cols w:space="425" w:num="1"/>
          <w:docGrid w:type="linesAndChars" w:linePitch="312" w:charSpace="0"/>
        </w:sectPr>
      </w:pPr>
    </w:p>
    <w:p>
      <w:pPr>
        <w:pStyle w:val="6"/>
        <w:keepLines w:val="0"/>
        <w:shd w:val="clear"/>
        <w:tabs>
          <w:tab w:val="left" w:pos="6804"/>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2.7.2环境功能区划</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环境空气</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根据《环境空气质量功能区划分原则与技术方法》（HJ14-1996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和《环境空气质量标准》（GB3095-2012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，本项目属于《环境空气质量标准》（GB3095-2012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中二类区。</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地下水环境</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该项目所在区域，地下水是居民饮水及农牧业用水的供水来源，依据《地下水质量标准》（GB/T 14848-2017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中4.1地下水质量分类之规定：Ⅲ类水以人体健康基准值为依据，适用于集中式生活饮用水水源及工、农业用水。因此调查评价区内的地下水水质环境功能属Ⅲ类区。</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声环境</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w:t>
      </w:r>
      <w:r>
        <w:rPr>
          <w:rFonts w:hint="default" w:ascii="Times New Roman" w:hAnsi="Times New Roman" w:eastAsia="宋体" w:cs="Times New Roman"/>
          <w:bCs/>
          <w:color w:val="auto"/>
          <w:kern w:val="0"/>
          <w:sz w:val="24"/>
          <w:highlight w:val="none"/>
          <w:lang w:eastAsia="zh-CN"/>
        </w:rPr>
        <w:t>乌拉特前旗额尔登布拉格苏木旧乡政府院内</w:t>
      </w:r>
      <w:r>
        <w:rPr>
          <w:rFonts w:hint="default" w:ascii="Times New Roman" w:hAnsi="Times New Roman" w:eastAsia="宋体" w:cs="Times New Roman"/>
          <w:color w:val="auto"/>
          <w:sz w:val="24"/>
          <w:highlight w:val="none"/>
        </w:rPr>
        <w:t>，根据《声环境质量标准》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GB3096-2008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中的规定，本项目拟建地为</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类声环境功能区。</w:t>
      </w:r>
    </w:p>
    <w:p>
      <w:pPr>
        <w:pStyle w:val="5"/>
        <w:shd w:val="clear"/>
        <w:spacing w:before="60" w:after="60"/>
        <w:rPr>
          <w:rFonts w:hint="default" w:ascii="Times New Roman" w:hAnsi="Times New Roman" w:eastAsia="宋体" w:cs="Times New Roman"/>
          <w:color w:val="auto"/>
          <w:highlight w:val="none"/>
        </w:rPr>
      </w:pPr>
      <w:bookmarkStart w:id="132" w:name="_Toc9715"/>
      <w:r>
        <w:rPr>
          <w:rFonts w:hint="default" w:ascii="Times New Roman" w:hAnsi="Times New Roman" w:eastAsia="宋体" w:cs="Times New Roman"/>
          <w:color w:val="auto"/>
          <w:highlight w:val="none"/>
        </w:rPr>
        <w:t>2.8环境保护目标</w:t>
      </w:r>
      <w:bookmarkEnd w:id="128"/>
      <w:bookmarkEnd w:id="129"/>
      <w:bookmarkEnd w:id="132"/>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本项目位于</w:t>
      </w:r>
      <w:r>
        <w:rPr>
          <w:rFonts w:hint="default" w:ascii="Times New Roman" w:hAnsi="Times New Roman" w:eastAsia="宋体" w:cs="Times New Roman"/>
          <w:bCs/>
          <w:color w:val="auto"/>
          <w:kern w:val="0"/>
          <w:sz w:val="24"/>
          <w:szCs w:val="32"/>
          <w:highlight w:val="none"/>
          <w:lang w:eastAsia="zh-CN"/>
        </w:rPr>
        <w:t>乌拉特前旗额尔登布拉格苏木旧乡政府院内</w:t>
      </w:r>
      <w:r>
        <w:rPr>
          <w:rFonts w:hint="default" w:ascii="Times New Roman" w:hAnsi="Times New Roman" w:eastAsia="宋体" w:cs="Times New Roman"/>
          <w:color w:val="auto"/>
          <w:sz w:val="24"/>
          <w:szCs w:val="32"/>
          <w:highlight w:val="none"/>
        </w:rPr>
        <w:t>，通过现场调查，本项目评价范围内无自然保护区、风景名胜区等需特殊保护的区域</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项目与乌梁素海湿地水禽自然保护区位置关系图见图2.8-</w:t>
      </w:r>
      <w:r>
        <w:rPr>
          <w:rFonts w:hint="default" w:ascii="Times New Roman" w:hAnsi="Times New Roman" w:eastAsia="宋体" w:cs="Times New Roman"/>
          <w:color w:val="auto"/>
          <w:sz w:val="24"/>
          <w:szCs w:val="32"/>
          <w:highlight w:val="none"/>
          <w:lang w:val="en-US" w:eastAsia="zh-CN"/>
        </w:rPr>
        <w:t>3。</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eastAsia="zh-CN"/>
        </w:rPr>
        <w:t>本</w:t>
      </w:r>
      <w:r>
        <w:rPr>
          <w:rFonts w:hint="default" w:ascii="Times New Roman" w:hAnsi="Times New Roman" w:eastAsia="宋体" w:cs="Times New Roman"/>
          <w:color w:val="auto"/>
          <w:sz w:val="24"/>
          <w:szCs w:val="32"/>
          <w:highlight w:val="none"/>
        </w:rPr>
        <w:t>项目主要环境保护目标详见表2.8-1，环境保护目标分布见附图2.8-1</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图2.8-</w:t>
      </w:r>
      <w:r>
        <w:rPr>
          <w:rFonts w:hint="default"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表2.8-1  环境保护目标一览表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394"/>
        <w:gridCol w:w="953"/>
        <w:gridCol w:w="1531"/>
        <w:gridCol w:w="1531"/>
        <w:gridCol w:w="921"/>
        <w:gridCol w:w="921"/>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环境要素</w:t>
            </w:r>
          </w:p>
        </w:tc>
        <w:tc>
          <w:tcPr>
            <w:tcW w:w="1347" w:type="dxa"/>
            <w:gridSpan w:val="2"/>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保护目标名称</w:t>
            </w:r>
          </w:p>
        </w:tc>
        <w:tc>
          <w:tcPr>
            <w:tcW w:w="3062"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经纬度</w:t>
            </w:r>
          </w:p>
        </w:tc>
        <w:tc>
          <w:tcPr>
            <w:tcW w:w="92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位置及</w:t>
            </w:r>
            <w:r>
              <w:rPr>
                <w:rFonts w:hint="default" w:ascii="Times New Roman" w:hAnsi="Times New Roman" w:eastAsia="宋体" w:cs="Times New Roman"/>
                <w:color w:val="auto"/>
                <w:kern w:val="0"/>
                <w:sz w:val="21"/>
                <w:szCs w:val="21"/>
                <w:highlight w:val="none"/>
                <w:lang w:eastAsia="zh-CN"/>
              </w:rPr>
              <w:t>距离</w:t>
            </w:r>
          </w:p>
        </w:tc>
        <w:tc>
          <w:tcPr>
            <w:tcW w:w="92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户数及人数</w:t>
            </w:r>
          </w:p>
        </w:tc>
        <w:tc>
          <w:tcPr>
            <w:tcW w:w="135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功能目标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rPr>
            </w:pPr>
          </w:p>
        </w:tc>
        <w:tc>
          <w:tcPr>
            <w:tcW w:w="1347" w:type="dxa"/>
            <w:gridSpan w:val="2"/>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rPr>
            </w:pP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经度</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纬度</w:t>
            </w:r>
          </w:p>
        </w:tc>
        <w:tc>
          <w:tcPr>
            <w:tcW w:w="92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p>
        </w:tc>
        <w:tc>
          <w:tcPr>
            <w:tcW w:w="92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大气环境</w:t>
            </w:r>
          </w:p>
        </w:tc>
        <w:tc>
          <w:tcPr>
            <w:tcW w:w="1347"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东侧居民</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108°54′51.77′′</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40°51′25.28′′</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东侧175m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7户/16人</w:t>
            </w:r>
          </w:p>
        </w:tc>
        <w:tc>
          <w:tcPr>
            <w:tcW w:w="1355" w:type="dxa"/>
            <w:vMerge w:val="restart"/>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《环境空气质量标准》（GB3095-2012）2类区标准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南侧居民</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108°54′48.01′′</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40°51′21.06′′</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南侧75m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21户/62人</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北侧居民</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108°54′44.17′′</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40°51′31.64′</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南侧125m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3户/10人</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宝泉子</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108°53′46.06′′</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40°51′29.57′′</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西侧1380m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12户/35人</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额尔登布拉格苏木</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108°54′49.49′′</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40°51′23.50′′</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东侧、南侧90m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169户/563人</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敖日宝格嘎查</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108°54′49.49′′</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40°51′23.50′′</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东北侧2250m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18户/50人</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w:t>
            </w:r>
          </w:p>
        </w:tc>
        <w:tc>
          <w:tcPr>
            <w:tcW w:w="1347"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东侧居民</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108°54′51.77′′</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40°51′25.28′′</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东侧175m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7户/16人</w:t>
            </w:r>
          </w:p>
        </w:tc>
        <w:tc>
          <w:tcPr>
            <w:tcW w:w="135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《声环境质量标准》（GB3096-2008）2类区标准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南侧居民</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108°54′48.01′′</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40°51′21.06′′</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南侧75m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21户/62人</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北侧居民</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108°54′44.17′′</w:t>
            </w:r>
          </w:p>
        </w:tc>
        <w:tc>
          <w:tcPr>
            <w:tcW w:w="153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40°51′31.64′</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南侧125m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3户/10人</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restart"/>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地下水环境</w:t>
            </w:r>
          </w:p>
        </w:tc>
        <w:tc>
          <w:tcPr>
            <w:tcW w:w="1347" w:type="dxa"/>
            <w:gridSpan w:val="2"/>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原村民饮用井</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108°54′48.15′′ </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40°51′26.80′′</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东侧6m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《地下水质量标准》（GB/T 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茂盛超市水井</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108°54′56.91′′</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40°51′25.85′′ </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东侧200m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吕裴亮家水井</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108°54′51.04′′</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40°51′15.16′</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西南侧240m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来喜饭店</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108°54′57.30′′</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40°51′25.48′′</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东侧250m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依香顺饭店</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108°55′25.48′′</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40°51′34.93′′</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东侧970m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dxa"/>
            <w:gridSpan w:val="2"/>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村民抗旱水井</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108°54′47.41′′</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40°51′30.69′′    </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
              </w:rPr>
              <w:t>北</w:t>
            </w:r>
            <w:r>
              <w:rPr>
                <w:rFonts w:hint="default" w:ascii="Times New Roman" w:hAnsi="Times New Roman" w:eastAsia="宋体" w:cs="Times New Roman"/>
                <w:color w:val="auto"/>
                <w:sz w:val="21"/>
                <w:szCs w:val="21"/>
                <w:highlight w:val="none"/>
                <w:lang w:bidi="ar"/>
              </w:rPr>
              <w:t>侧</w:t>
            </w:r>
            <w:r>
              <w:rPr>
                <w:rFonts w:hint="default" w:ascii="Times New Roman" w:hAnsi="Times New Roman" w:eastAsia="宋体" w:cs="Times New Roman"/>
                <w:color w:val="auto"/>
                <w:kern w:val="2"/>
                <w:sz w:val="21"/>
                <w:szCs w:val="21"/>
                <w:highlight w:val="none"/>
                <w:lang w:val="en-US" w:eastAsia="zh-CN" w:bidi="ar-SA"/>
              </w:rPr>
              <w:t>110</w:t>
            </w:r>
            <w:r>
              <w:rPr>
                <w:rFonts w:hint="default" w:ascii="Times New Roman" w:hAnsi="Times New Roman" w:eastAsia="宋体" w:cs="Times New Roman"/>
                <w:color w:val="auto"/>
                <w:kern w:val="2"/>
                <w:sz w:val="21"/>
                <w:szCs w:val="21"/>
                <w:lang w:val="en-US" w:eastAsia="zh-CN" w:bidi="ar-SA"/>
              </w:rPr>
              <w:t>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土壤环境</w:t>
            </w:r>
          </w:p>
        </w:tc>
        <w:tc>
          <w:tcPr>
            <w:tcW w:w="6251" w:type="dxa"/>
            <w:gridSpan w:val="6"/>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厂区外0.05km范围内</w:t>
            </w:r>
            <w:r>
              <w:rPr>
                <w:rFonts w:hint="default" w:ascii="Times New Roman" w:hAnsi="Times New Roman" w:eastAsia="宋体" w:cs="Times New Roman"/>
                <w:color w:val="auto"/>
                <w:sz w:val="21"/>
                <w:szCs w:val="21"/>
                <w:highlight w:val="none"/>
                <w:lang w:eastAsia="zh-CN"/>
              </w:rPr>
              <w:t>林地</w:t>
            </w:r>
            <w:r>
              <w:rPr>
                <w:rFonts w:hint="default" w:ascii="Times New Roman" w:hAnsi="Times New Roman" w:eastAsia="宋体" w:cs="Times New Roman"/>
                <w:color w:val="auto"/>
                <w:lang w:eastAsia="zh-CN"/>
              </w:rPr>
              <w:t>、耕地</w:t>
            </w:r>
          </w:p>
        </w:tc>
        <w:tc>
          <w:tcPr>
            <w:tcW w:w="135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《土壤环境质量 农用地土壤污染风险管控标准（试行）》（GB 15618-2018）表1农用地土壤污染风险筛选值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环境风险</w:t>
            </w:r>
          </w:p>
        </w:tc>
        <w:tc>
          <w:tcPr>
            <w:tcW w:w="394"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地下水环境</w:t>
            </w:r>
          </w:p>
        </w:tc>
        <w:tc>
          <w:tcPr>
            <w:tcW w:w="953"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原村民饮用井</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108°54′48.15′′ </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40°51′26.80′′</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东侧6m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《地下水质量标准》（GB/T 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p>
        </w:tc>
        <w:tc>
          <w:tcPr>
            <w:tcW w:w="394"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p>
        </w:tc>
        <w:tc>
          <w:tcPr>
            <w:tcW w:w="953"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茂盛超市水井</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108°54′56.91′′</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40°51′25.85′′ </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东侧200m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p>
        </w:tc>
        <w:tc>
          <w:tcPr>
            <w:tcW w:w="394"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p>
        </w:tc>
        <w:tc>
          <w:tcPr>
            <w:tcW w:w="953"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吕裴亮家水井</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108°54′51.04′′</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40°51′15.16′</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西南侧240m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p>
        </w:tc>
        <w:tc>
          <w:tcPr>
            <w:tcW w:w="394"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p>
        </w:tc>
        <w:tc>
          <w:tcPr>
            <w:tcW w:w="953"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来喜饭店</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108°54′57.30′′</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40°51′25.48′′</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东侧250m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p>
        </w:tc>
        <w:tc>
          <w:tcPr>
            <w:tcW w:w="394"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p>
        </w:tc>
        <w:tc>
          <w:tcPr>
            <w:tcW w:w="953"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依香顺饭店</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108°55′25.48′′</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40°51′34.93′′</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东侧970m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p>
        </w:tc>
        <w:tc>
          <w:tcPr>
            <w:tcW w:w="394"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p>
        </w:tc>
        <w:tc>
          <w:tcPr>
            <w:tcW w:w="953"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村民抗旱水井</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108°54′47.41′′</w:t>
            </w:r>
          </w:p>
        </w:tc>
        <w:tc>
          <w:tcPr>
            <w:tcW w:w="1531" w:type="dxa"/>
            <w:shd w:val="clear" w:color="auto" w:fill="auto"/>
            <w:vAlign w:val="center"/>
          </w:tcPr>
          <w:p>
            <w:pPr>
              <w:widowControl/>
              <w:shd w:val="clea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40°51′30.69′′    </w:t>
            </w:r>
          </w:p>
        </w:tc>
        <w:tc>
          <w:tcPr>
            <w:tcW w:w="921" w:type="dxa"/>
            <w:shd w:val="clear" w:color="auto" w:fill="auto"/>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
              </w:rPr>
              <w:t>北</w:t>
            </w:r>
            <w:r>
              <w:rPr>
                <w:rFonts w:hint="default" w:ascii="Times New Roman" w:hAnsi="Times New Roman" w:eastAsia="宋体" w:cs="Times New Roman"/>
                <w:color w:val="auto"/>
                <w:sz w:val="21"/>
                <w:szCs w:val="21"/>
                <w:highlight w:val="none"/>
                <w:lang w:bidi="ar"/>
              </w:rPr>
              <w:t>侧</w:t>
            </w:r>
            <w:r>
              <w:rPr>
                <w:rFonts w:hint="default" w:ascii="Times New Roman" w:hAnsi="Times New Roman" w:eastAsia="宋体" w:cs="Times New Roman"/>
                <w:color w:val="auto"/>
                <w:kern w:val="2"/>
                <w:sz w:val="21"/>
                <w:szCs w:val="21"/>
                <w:highlight w:val="none"/>
                <w:lang w:val="en-US" w:eastAsia="zh-CN" w:bidi="ar-SA"/>
              </w:rPr>
              <w:t>110</w:t>
            </w:r>
            <w:r>
              <w:rPr>
                <w:rFonts w:hint="default" w:ascii="Times New Roman" w:hAnsi="Times New Roman" w:eastAsia="宋体" w:cs="Times New Roman"/>
                <w:color w:val="auto"/>
                <w:kern w:val="2"/>
                <w:sz w:val="21"/>
                <w:szCs w:val="21"/>
                <w:lang w:val="en-US" w:eastAsia="zh-CN" w:bidi="ar-SA"/>
              </w:rPr>
              <w:t>m</w:t>
            </w:r>
          </w:p>
        </w:tc>
        <w:tc>
          <w:tcPr>
            <w:tcW w:w="921" w:type="dxa"/>
            <w:shd w:val="clear" w:color="auto" w:fill="auto"/>
            <w:vAlign w:val="center"/>
          </w:tcPr>
          <w:p>
            <w:pPr>
              <w:widowControl/>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c>
          <w:tcPr>
            <w:tcW w:w="1355"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r>
    </w:tbl>
    <w:p>
      <w:pPr>
        <w:pStyle w:val="23"/>
        <w:shd w:val="clear"/>
        <w:rPr>
          <w:rFonts w:hint="default" w:ascii="Times New Roman" w:hAnsi="Times New Roman" w:eastAsia="宋体" w:cs="Times New Roman"/>
          <w:color w:val="auto"/>
          <w:highlight w:val="none"/>
        </w:rPr>
        <w:sectPr>
          <w:pgSz w:w="11907" w:h="16840"/>
          <w:pgMar w:top="1440" w:right="1797" w:bottom="1440" w:left="1797" w:header="851" w:footer="992" w:gutter="0"/>
          <w:pgNumType w:fmt="decimal"/>
          <w:cols w:space="425" w:num="1"/>
          <w:docGrid w:type="linesAndChars" w:linePitch="312" w:charSpace="0"/>
        </w:sectPr>
      </w:pPr>
    </w:p>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rPr>
        <mc:AlternateContent>
          <mc:Choice Requires="wps">
            <w:drawing>
              <wp:anchor distT="0" distB="0" distL="114300" distR="114300" simplePos="0" relativeHeight="251785216" behindDoc="0" locked="0" layoutInCell="1" allowOverlap="1">
                <wp:simplePos x="0" y="0"/>
                <wp:positionH relativeFrom="column">
                  <wp:posOffset>4155440</wp:posOffset>
                </wp:positionH>
                <wp:positionV relativeFrom="paragraph">
                  <wp:posOffset>1798955</wp:posOffset>
                </wp:positionV>
                <wp:extent cx="528955" cy="293370"/>
                <wp:effectExtent l="6350" t="6350" r="17145" b="214630"/>
                <wp:wrapNone/>
                <wp:docPr id="72" name="矩形标注 72"/>
                <wp:cNvGraphicFramePr/>
                <a:graphic xmlns:a="http://schemas.openxmlformats.org/drawingml/2006/main">
                  <a:graphicData uri="http://schemas.microsoft.com/office/word/2010/wordprocessingShape">
                    <wps:wsp>
                      <wps:cNvSpPr/>
                      <wps:spPr>
                        <a:xfrm>
                          <a:off x="0" y="0"/>
                          <a:ext cx="528955" cy="293370"/>
                        </a:xfrm>
                        <a:prstGeom prst="wedgeRectCallout">
                          <a:avLst>
                            <a:gd name="adj1" fmla="val 38595"/>
                            <a:gd name="adj2" fmla="val 118614"/>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7.2pt;margin-top:141.65pt;height:23.1pt;width:41.65pt;z-index:251785216;v-text-anchor:middle;mso-width-relative:page;mso-height-relative:page;" filled="f" stroked="t" coordsize="21600,21600" o:gfxdata="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YQE2TcAAAACwEAAA8AAAAAAAAAAQAgAAAAIgAAAGRycy9kb3ducmV2Lnht&#10;bFBLAQIUABQAAAAIAIdO4kA+oRnqoAIAACQFAAAOAAAAAAAAAAEAIAAAACsBAABkcnMvZTJvRG9j&#10;LnhtbFBLBQYAAAAABgAGAFkBAAA9BgAAAAA=&#10;" adj="19137,36421">
                <v:fill on="f" focussize="0,0"/>
                <v:stroke weight="1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86240" behindDoc="0" locked="0" layoutInCell="1" allowOverlap="1">
                <wp:simplePos x="0" y="0"/>
                <wp:positionH relativeFrom="column">
                  <wp:posOffset>4655185</wp:posOffset>
                </wp:positionH>
                <wp:positionV relativeFrom="paragraph">
                  <wp:posOffset>2559050</wp:posOffset>
                </wp:positionV>
                <wp:extent cx="107950" cy="107950"/>
                <wp:effectExtent l="12700" t="12700" r="12700" b="12700"/>
                <wp:wrapNone/>
                <wp:docPr id="82" name="椭圆 8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6.55pt;margin-top:201.5pt;height:8.5pt;width:8.5pt;z-index:251786240;v-text-anchor:middle;mso-width-relative:page;mso-height-relative:page;" fillcolor="#FF0000" filled="t" stroked="t" coordsize="21600,21600" o:gfxdata="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XEs0HXAAAACwEAAA8AAAAAAAAAAQAgAAAAIgAAAGRycy9kb3ducmV2LnhtbFBLAQIUABQA&#10;AAAIAIdO4kBqh9xpYwIAAOEEAAAOAAAAAAAAAAEAIAAAACYBAABkcnMvZTJvRG9jLnhtbFBLBQYA&#10;AAAABgAGAFkBAAD7BQ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87264" behindDoc="0" locked="0" layoutInCell="1" allowOverlap="1">
                <wp:simplePos x="0" y="0"/>
                <wp:positionH relativeFrom="column">
                  <wp:posOffset>3905885</wp:posOffset>
                </wp:positionH>
                <wp:positionV relativeFrom="paragraph">
                  <wp:posOffset>2481580</wp:posOffset>
                </wp:positionV>
                <wp:extent cx="528955" cy="293370"/>
                <wp:effectExtent l="6350" t="6350" r="302895" b="24130"/>
                <wp:wrapNone/>
                <wp:docPr id="81" name="矩形标注 81"/>
                <wp:cNvGraphicFramePr/>
                <a:graphic xmlns:a="http://schemas.openxmlformats.org/drawingml/2006/main">
                  <a:graphicData uri="http://schemas.microsoft.com/office/word/2010/wordprocessingShape">
                    <wps:wsp>
                      <wps:cNvSpPr/>
                      <wps:spPr>
                        <a:xfrm>
                          <a:off x="0" y="0"/>
                          <a:ext cx="528955" cy="293370"/>
                        </a:xfrm>
                        <a:prstGeom prst="wedgeRectCallout">
                          <a:avLst>
                            <a:gd name="adj1" fmla="val 104621"/>
                            <a:gd name="adj2" fmla="val -14935"/>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7.55pt;margin-top:195.4pt;height:23.1pt;width:41.65pt;z-index:251787264;v-text-anchor:middle;mso-width-relative:page;mso-height-relative:page;" filled="f" stroked="t" coordsize="21600,21600" o:gfxdata="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CUFh2gAAAAsBAAAPAAAAAAAAAAEAIAAAACIAAABkcnMvZG93bnJldi54bWxQ&#10;SwECFAAUAAAACACHTuJANkx4lqACAAAlBQAADgAAAAAAAAABACAAAAApAQAAZHJzL2Uyb0RvYy54&#10;bWxQSwUGAAAAAAYABgBZAQAAOwYAAAAA&#10;" adj="33398,7574">
                <v:fill on="f" focussize="0,0"/>
                <v:stroke weight="1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88288" behindDoc="0" locked="0" layoutInCell="1" allowOverlap="1">
                <wp:simplePos x="0" y="0"/>
                <wp:positionH relativeFrom="column">
                  <wp:posOffset>4845050</wp:posOffset>
                </wp:positionH>
                <wp:positionV relativeFrom="paragraph">
                  <wp:posOffset>2240280</wp:posOffset>
                </wp:positionV>
                <wp:extent cx="107950" cy="107950"/>
                <wp:effectExtent l="12700" t="12700" r="12700" b="12700"/>
                <wp:wrapNone/>
                <wp:docPr id="85" name="椭圆 8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1.5pt;margin-top:176.4pt;height:8.5pt;width:8.5pt;z-index:251788288;v-text-anchor:middle;mso-width-relative:page;mso-height-relative:page;" fillcolor="#FF0000" filled="t" stroked="t" coordsize="21600,21600" o:gfxdata="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PG3oPaAAAACwEAAA8AAAAAAAAAAQAgAAAAIgAAAGRycy9kb3ducmV2LnhtbFBLAQIU&#10;ABQAAAAIAIdO4kArMbxOYwIAAOEEAAAOAAAAAAAAAAEAIAAAACkBAABkcnMvZTJvRG9jLnhtbFBL&#10;BQYAAAAABgAGAFkBAAD+BQ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89312" behindDoc="0" locked="0" layoutInCell="1" allowOverlap="1">
                <wp:simplePos x="0" y="0"/>
                <wp:positionH relativeFrom="column">
                  <wp:posOffset>4784090</wp:posOffset>
                </wp:positionH>
                <wp:positionV relativeFrom="paragraph">
                  <wp:posOffset>1792605</wp:posOffset>
                </wp:positionV>
                <wp:extent cx="528955" cy="293370"/>
                <wp:effectExtent l="6350" t="6350" r="17145" b="233680"/>
                <wp:wrapNone/>
                <wp:docPr id="83" name="矩形标注 83"/>
                <wp:cNvGraphicFramePr/>
                <a:graphic xmlns:a="http://schemas.openxmlformats.org/drawingml/2006/main">
                  <a:graphicData uri="http://schemas.microsoft.com/office/word/2010/wordprocessingShape">
                    <wps:wsp>
                      <wps:cNvSpPr/>
                      <wps:spPr>
                        <a:xfrm>
                          <a:off x="0" y="0"/>
                          <a:ext cx="528955" cy="293370"/>
                        </a:xfrm>
                        <a:prstGeom prst="wedgeRectCallout">
                          <a:avLst>
                            <a:gd name="adj1" fmla="val -19332"/>
                            <a:gd name="adj2" fmla="val 12575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6.7pt;margin-top:141.15pt;height:23.1pt;width:41.65pt;z-index:251789312;v-text-anchor:middle;mso-width-relative:page;mso-height-relative:page;" filled="f" stroked="t" coordsize="21600,21600" o:gfxdata="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Oix+R90AAAALAQAADwAAAAAAAAABACAAAAAiAAAAZHJzL2Rvd25yZXYueG1s&#10;UEsBAhQAFAAAAAgAh07iQBa1p1meAgAAJQUAAA4AAAAAAAAAAQAgAAAALAEAAGRycy9lMm9Eb2Mu&#10;eG1sUEsFBgAAAAAGAAYAWQEAADwGAAAAAA==&#10;" adj="6624,37964">
                <v:fill on="f" focussize="0,0"/>
                <v:stroke weight="1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84192" behindDoc="0" locked="0" layoutInCell="1" allowOverlap="1">
                <wp:simplePos x="0" y="0"/>
                <wp:positionH relativeFrom="column">
                  <wp:posOffset>4533900</wp:posOffset>
                </wp:positionH>
                <wp:positionV relativeFrom="paragraph">
                  <wp:posOffset>2289175</wp:posOffset>
                </wp:positionV>
                <wp:extent cx="107950" cy="107950"/>
                <wp:effectExtent l="12700" t="12700" r="12700" b="12700"/>
                <wp:wrapNone/>
                <wp:docPr id="80" name="椭圆 8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7pt;margin-top:180.25pt;height:8.5pt;width:8.5pt;z-index:251784192;v-text-anchor:middle;mso-width-relative:page;mso-height-relative:page;" fillcolor="#FF0000" filled="t" stroked="t" coordsize="21600,21600" o:gfxdata="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2wfJ52QAAAAsBAAAPAAAAAAAAAAEAIAAAACIAAABkcnMvZG93bnJldi54bWxQSwECFAAU&#10;AAAACACHTuJAaie8+mICAADhBAAADgAAAAAAAAABACAAAAAoAQAAZHJzL2Uyb0RvYy54bWxQSwUG&#10;AAAAAAYABgBZAQAA/AU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80768" behindDoc="0" locked="0" layoutInCell="1" allowOverlap="1">
                <wp:simplePos x="0" y="0"/>
                <wp:positionH relativeFrom="column">
                  <wp:posOffset>2527935</wp:posOffset>
                </wp:positionH>
                <wp:positionV relativeFrom="paragraph">
                  <wp:posOffset>1843405</wp:posOffset>
                </wp:positionV>
                <wp:extent cx="659765" cy="293370"/>
                <wp:effectExtent l="6350" t="6350" r="19685" b="252730"/>
                <wp:wrapNone/>
                <wp:docPr id="69" name="矩形标注 69"/>
                <wp:cNvGraphicFramePr/>
                <a:graphic xmlns:a="http://schemas.openxmlformats.org/drawingml/2006/main">
                  <a:graphicData uri="http://schemas.microsoft.com/office/word/2010/wordprocessingShape">
                    <wps:wsp>
                      <wps:cNvSpPr/>
                      <wps:spPr>
                        <a:xfrm>
                          <a:off x="3559175" y="2982595"/>
                          <a:ext cx="659765" cy="293370"/>
                        </a:xfrm>
                        <a:prstGeom prst="wedgeRectCallout">
                          <a:avLst>
                            <a:gd name="adj1" fmla="val 37295"/>
                            <a:gd name="adj2" fmla="val 128138"/>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b/>
                                <w:bCs/>
                                <w:color w:val="FF0000"/>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宝泉子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9.05pt;margin-top:145.15pt;height:23.1pt;width:51.95pt;z-index:251680768;v-text-anchor:middle;mso-width-relative:page;mso-height-relative:page;" filled="f" stroked="t" coordsize="21600,21600" o:gfxdata="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yi0pF2gAAAAsBAAAPAAAAAAAAAAEAIAAAACIAAABkcnMvZG93&#10;bnJldi54bWxQSwECFAAUAAAACACHTuJApm/KAqkCAAAwBQAADgAAAAAAAAABACAAAAApAQAAZHJz&#10;L2Uyb0RvYy54bWxQSwUGAAAAAAYABgBZAQAARAYAAAAA&#10;" adj="18856,38478">
                <v:fill on="f" focussize="0,0"/>
                <v:stroke weight="1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b/>
                          <w:bCs/>
                          <w:color w:val="FF0000"/>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宝泉子</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08416" behindDoc="0" locked="0" layoutInCell="1" allowOverlap="1">
                <wp:simplePos x="0" y="0"/>
                <wp:positionH relativeFrom="column">
                  <wp:posOffset>3041650</wp:posOffset>
                </wp:positionH>
                <wp:positionV relativeFrom="paragraph">
                  <wp:posOffset>2324100</wp:posOffset>
                </wp:positionV>
                <wp:extent cx="107950" cy="107950"/>
                <wp:effectExtent l="12700" t="12700" r="12700" b="12700"/>
                <wp:wrapNone/>
                <wp:docPr id="104" name="椭圆 10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9.5pt;margin-top:183pt;height:8.5pt;width:8.5pt;z-index:251708416;v-text-anchor:middle;mso-width-relative:page;mso-height-relative:page;" fillcolor="#FF0000" filled="t" stroked="t" coordsize="21600,21600" o:gfxdata="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zr8bzZAAAACwEAAA8AAAAAAAAAAQAgAAAAIgAAAGRycy9kb3ducmV2LnhtbFBLAQIU&#10;ABQAAAAIAIdO4kD9LBEVZAIAAOMEAAAOAAAAAAAAAAEAIAAAACgBAABkcnMvZTJvRG9jLnhtbFBL&#10;BQYAAAAABgAGAFkBAAD+BQ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8176" behindDoc="0" locked="0" layoutInCell="1" allowOverlap="1">
                <wp:simplePos x="0" y="0"/>
                <wp:positionH relativeFrom="column">
                  <wp:posOffset>4627880</wp:posOffset>
                </wp:positionH>
                <wp:positionV relativeFrom="paragraph">
                  <wp:posOffset>2648585</wp:posOffset>
                </wp:positionV>
                <wp:extent cx="107950" cy="144145"/>
                <wp:effectExtent l="12700" t="12700" r="12700" b="14605"/>
                <wp:wrapNone/>
                <wp:docPr id="107" name="菱形 107"/>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64.4pt;margin-top:208.55pt;height:11.35pt;width:8.5pt;z-index:251698176;v-text-anchor:middle;mso-width-relative:page;mso-height-relative:page;" fillcolor="#FFFF00" filled="t" stroked="t" coordsize="21600,21600" o:gfxdata="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bIjF/XAAAACwEAAA8AAAAAAAAAAQAgAAAAIgAAAGRycy9kb3ducmV2&#10;LnhtbFBLAQIUABQAAAAIAIdO4kC2uXjgbwIAAO4EAAAOAAAAAAAAAAEAIAAAACYBAABkcnMvZTJv&#10;RG9jLnhtbFBLBQYAAAAABgAGAFkBAAAHBgAAAAA=&#10;">
                <v:fill on="t" focussize="0,0"/>
                <v:stroke weight="2pt" color="#000000 [3213]" joinstyle="round"/>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4624" behindDoc="0" locked="0" layoutInCell="1" allowOverlap="1">
                <wp:simplePos x="0" y="0"/>
                <wp:positionH relativeFrom="column">
                  <wp:posOffset>4608830</wp:posOffset>
                </wp:positionH>
                <wp:positionV relativeFrom="paragraph">
                  <wp:posOffset>2323465</wp:posOffset>
                </wp:positionV>
                <wp:extent cx="107950" cy="144145"/>
                <wp:effectExtent l="12700" t="12700" r="12700" b="14605"/>
                <wp:wrapNone/>
                <wp:docPr id="63" name="菱形 63"/>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62.9pt;margin-top:182.95pt;height:11.35pt;width:8.5pt;z-index:251674624;v-text-anchor:middle;mso-width-relative:page;mso-height-relative:page;" fillcolor="#FFFF00" filled="t" stroked="t" coordsize="21600,21600" o:gfxdata="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GuTZZ2AAAAAsBAAAPAAAAAAAAAAEAIAAAACIAAABkcnMvZG93bnJldi54bWxQ&#10;SwECFAAUAAAACACHTuJAz3iStGkCAADhBAAADgAAAAAAAAABACAAAAAnAQAAZHJzL2Uyb0RvYy54&#10;bWxQSwUGAAAAAAYABgBZAQAAAgY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6672" behindDoc="0" locked="0" layoutInCell="1" allowOverlap="1">
                <wp:simplePos x="0" y="0"/>
                <wp:positionH relativeFrom="column">
                  <wp:posOffset>4472940</wp:posOffset>
                </wp:positionH>
                <wp:positionV relativeFrom="paragraph">
                  <wp:posOffset>2239010</wp:posOffset>
                </wp:positionV>
                <wp:extent cx="107950" cy="144145"/>
                <wp:effectExtent l="12700" t="12700" r="12700" b="14605"/>
                <wp:wrapNone/>
                <wp:docPr id="62" name="菱形 62"/>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52.2pt;margin-top:176.3pt;height:11.35pt;width:8.5pt;z-index:251676672;v-text-anchor:middle;mso-width-relative:page;mso-height-relative:page;" fillcolor="#FFFF00" filled="t" stroked="t" coordsize="21600,21600" o:gfxdata="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Dz37p2AAAAAsBAAAPAAAAAAAAAAEAIAAAACIAAABkcnMvZG93bnJldi54bWxQ&#10;SwECFAAUAAAACACHTuJAzygi/WkCAADhBAAADgAAAAAAAAABACAAAAAnAQAAZHJzL2Uyb0RvYy54&#10;bWxQSwUGAAAAAAYABgBZAQAAAgY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9200" behindDoc="0" locked="0" layoutInCell="1" allowOverlap="1">
                <wp:simplePos x="0" y="0"/>
                <wp:positionH relativeFrom="column">
                  <wp:posOffset>4901565</wp:posOffset>
                </wp:positionH>
                <wp:positionV relativeFrom="paragraph">
                  <wp:posOffset>2268220</wp:posOffset>
                </wp:positionV>
                <wp:extent cx="107950" cy="144145"/>
                <wp:effectExtent l="12700" t="12700" r="12700" b="14605"/>
                <wp:wrapNone/>
                <wp:docPr id="108" name="菱形 108"/>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85.95pt;margin-top:178.6pt;height:11.35pt;width:8.5pt;z-index:251699200;v-text-anchor:middle;mso-width-relative:page;mso-height-relative:page;" fillcolor="#FFFF00" filled="t" stroked="t" coordsize="21600,21600" o:gfxdata="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9ezNgAAAALAQAADwAAAAAAAAABACAAAAAiAAAAZHJzL2Rvd25y&#10;ZXYueG1sUEsBAhQAFAAAAAgAh07iQMOzq+ZwAgAA7gQAAA4AAAAAAAAAAQAgAAAAJwEAAGRycy9l&#10;Mm9Eb2MueG1sUEsFBgAAAAAGAAYAWQEAAAkGAAAAAA==&#10;">
                <v:fill on="t" focussize="0,0"/>
                <v:stroke weight="2pt" color="#000000 [3213]" joinstyle="round"/>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0224" behindDoc="0" locked="0" layoutInCell="1" allowOverlap="1">
                <wp:simplePos x="0" y="0"/>
                <wp:positionH relativeFrom="column">
                  <wp:posOffset>4985385</wp:posOffset>
                </wp:positionH>
                <wp:positionV relativeFrom="paragraph">
                  <wp:posOffset>2360930</wp:posOffset>
                </wp:positionV>
                <wp:extent cx="107950" cy="144145"/>
                <wp:effectExtent l="12700" t="12700" r="12700" b="14605"/>
                <wp:wrapNone/>
                <wp:docPr id="109" name="菱形 109"/>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92.55pt;margin-top:185.9pt;height:11.35pt;width:8.5pt;z-index:251700224;v-text-anchor:middle;mso-width-relative:page;mso-height-relative:page;" fillcolor="#FFFF00" filled="t" stroked="t" coordsize="21600,21600" o:gfxdata="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deu+9cAAAALAQAADwAAAAAAAAABACAAAAAiAAAAZHJzL2Rvd25y&#10;ZXYueG1sUEsBAhQAFAAAAAgAh07iQKwrF+ZxAgAA7gQAAA4AAAAAAAAAAQAgAAAAJgEAAGRycy9l&#10;Mm9Eb2MueG1sUEsFBgAAAAAGAAYAWQEAAAkGAAAAAA==&#10;">
                <v:fill on="t" focussize="0,0"/>
                <v:stroke weight="2pt" color="#000000 [3213]" joinstyle="round"/>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5391785</wp:posOffset>
                </wp:positionH>
                <wp:positionV relativeFrom="paragraph">
                  <wp:posOffset>2137410</wp:posOffset>
                </wp:positionV>
                <wp:extent cx="107950" cy="144145"/>
                <wp:effectExtent l="12700" t="12700" r="12700" b="14605"/>
                <wp:wrapNone/>
                <wp:docPr id="60" name="菱形 60"/>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424.55pt;margin-top:168.3pt;height:11.35pt;width:8.5pt;z-index:251664384;v-text-anchor:middle;mso-width-relative:page;mso-height-relative:page;" fillcolor="#FFFF00" filled="t" stroked="t" coordsize="21600,21600" o:gfxdata="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P6Zl7XAAAACwEAAA8AAAAAAAAAAQAgAAAAIgAAAGRycy9kb3ducmV2&#10;LnhtbFBLAQIUABQAAAAIAIdO4kDeuq12bwIAAOwEAAAOAAAAAAAAAAEAIAAAACYBAABkcnMvZTJv&#10;RG9jLnhtbFBLBQYAAAAABgAGAFkBAAAHBgAAAAA=&#10;">
                <v:fill on="t" focussize="0,0"/>
                <v:stroke weight="2pt" color="#000000 [3213]" joinstyle="round"/>
                <v:imagedata o:title=""/>
                <o:lock v:ext="edit" aspectratio="f"/>
                <v:textbo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9744" behindDoc="0" locked="0" layoutInCell="1" allowOverlap="1">
                <wp:simplePos x="0" y="0"/>
                <wp:positionH relativeFrom="column">
                  <wp:posOffset>1205865</wp:posOffset>
                </wp:positionH>
                <wp:positionV relativeFrom="paragraph">
                  <wp:posOffset>4622800</wp:posOffset>
                </wp:positionV>
                <wp:extent cx="107950" cy="107950"/>
                <wp:effectExtent l="12700" t="12700" r="12700" b="12700"/>
                <wp:wrapNone/>
                <wp:docPr id="68" name="椭圆 68"/>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4.95pt;margin-top:364pt;height:8.5pt;width:8.5pt;z-index:251679744;v-text-anchor:middle;mso-width-relative:page;mso-height-relative:page;" fillcolor="#FF0000" filled="t" stroked="t" coordsize="21600,21600" o:gfxdata="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NdmDtkAAAALAQAADwAAAAAAAAABACAAAAAiAAAAZHJzL2Rvd25yZXYueG1sUEsBAhQA&#10;FAAAAAgAh07iQMmOVdljAgAA4QQAAA4AAAAAAAAAAQAgAAAAKAEAAGRycy9lMm9Eb2MueG1sUEsF&#10;BgAAAAAGAAYAWQEAAP0FA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5648" behindDoc="0" locked="0" layoutInCell="1" allowOverlap="1">
                <wp:simplePos x="0" y="0"/>
                <wp:positionH relativeFrom="column">
                  <wp:posOffset>1312545</wp:posOffset>
                </wp:positionH>
                <wp:positionV relativeFrom="paragraph">
                  <wp:posOffset>4309110</wp:posOffset>
                </wp:positionV>
                <wp:extent cx="107950" cy="144145"/>
                <wp:effectExtent l="12700" t="12700" r="12700" b="14605"/>
                <wp:wrapNone/>
                <wp:docPr id="66" name="菱形 66"/>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3.35pt;margin-top:339.3pt;height:11.35pt;width:8.5pt;z-index:251675648;v-text-anchor:middle;mso-width-relative:page;mso-height-relative:page;" fillcolor="#FFFF00" filled="t" stroked="t" coordsize="21600,21600" o:gfxdata="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CLal72AAAAAsBAAAPAAAAAAAAAAEAIAAAACIAAABkcnMvZG93bnJldi54bWxQ&#10;SwECFAAUAAAACACHTuJAjm6SAGkCAADhBAAADgAAAAAAAAABACAAAAAnAQAAZHJzL2Uyb0RvYy54&#10;bWxQSwUGAAAAAAYABgBZAQAAAgY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8720" behindDoc="0" locked="0" layoutInCell="1" allowOverlap="1">
                <wp:simplePos x="0" y="0"/>
                <wp:positionH relativeFrom="column">
                  <wp:posOffset>1671955</wp:posOffset>
                </wp:positionH>
                <wp:positionV relativeFrom="paragraph">
                  <wp:posOffset>4017010</wp:posOffset>
                </wp:positionV>
                <wp:extent cx="252095" cy="107950"/>
                <wp:effectExtent l="12700" t="0" r="20955" b="12700"/>
                <wp:wrapNone/>
                <wp:docPr id="65" name="矩形 65"/>
                <wp:cNvGraphicFramePr/>
                <a:graphic xmlns:a="http://schemas.openxmlformats.org/drawingml/2006/main">
                  <a:graphicData uri="http://schemas.microsoft.com/office/word/2010/wordprocessingShape">
                    <wps:wsp>
                      <wps:cNvSpPr/>
                      <wps:spPr>
                        <a:xfrm>
                          <a:off x="2375535" y="2856865"/>
                          <a:ext cx="252095" cy="1079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65pt;margin-top:316.3pt;height:8.5pt;width:19.85pt;z-index:251678720;v-text-anchor:middle;mso-width-relative:page;mso-height-relative:page;" filled="f" stroked="t" coordsize="21600,21600" o:gfxdata="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iQxNtkAAAALAQAADwAAAAAAAAABACAAAAAiAAAAZHJzL2Rvd25yZXYueG1s&#10;UEsBAhQAFAAAAAgAh07iQBjs6p5pAgAAwQQAAA4AAAAAAAAAAQAgAAAAKAEAAGRycy9lMm9Eb2Mu&#10;eG1sUEsFBgAAAAAGAAYAWQEAAAMGAAAAAA==&#10;">
                <v:fill on="f" focussize="0,0"/>
                <v:stroke weight="2pt" color="#FFFF00 [3204]" joinstyle="round"/>
                <v:imagedata o:title=""/>
                <o:lock v:ext="edit" aspectratio="f"/>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7696" behindDoc="0" locked="0" layoutInCell="1" allowOverlap="1">
                <wp:simplePos x="0" y="0"/>
                <wp:positionH relativeFrom="column">
                  <wp:posOffset>1504950</wp:posOffset>
                </wp:positionH>
                <wp:positionV relativeFrom="paragraph">
                  <wp:posOffset>3746500</wp:posOffset>
                </wp:positionV>
                <wp:extent cx="252095" cy="107950"/>
                <wp:effectExtent l="12700" t="0" r="20955" b="12700"/>
                <wp:wrapNone/>
                <wp:docPr id="64" name="矩形 64"/>
                <wp:cNvGraphicFramePr/>
                <a:graphic xmlns:a="http://schemas.openxmlformats.org/drawingml/2006/main">
                  <a:graphicData uri="http://schemas.microsoft.com/office/word/2010/wordprocessingShape">
                    <wps:wsp>
                      <wps:cNvSpPr/>
                      <wps:spPr>
                        <a:xfrm>
                          <a:off x="2239645" y="3027045"/>
                          <a:ext cx="252095"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5pt;margin-top:295pt;height:8.5pt;width:19.85pt;z-index:251677696;v-text-anchor:middle;mso-width-relative:page;mso-height-relative:page;" filled="f" stroked="t" coordsize="21600,21600" o:gfxdata="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tAx9oAAAALAQAADwAAAAAAAAABACAAAAAiAAAAZHJzL2Rvd25yZXYu&#10;eG1sUEsBAhQAFAAAAAgAh07iQKZLSOdrAgAAwQQAAA4AAAAAAAAAAQAgAAAAKQEAAGRycy9lMm9E&#10;b2MueG1sUEsFBgAAAAAGAAYAWQEAAAYGAAAAAA==&#10;">
                <v:fill on="f" focussize="0,0"/>
                <v:stroke weight="2pt" color="#FF000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3536" behindDoc="0" locked="0" layoutInCell="1" allowOverlap="1">
                <wp:simplePos x="0" y="0"/>
                <wp:positionH relativeFrom="column">
                  <wp:posOffset>882015</wp:posOffset>
                </wp:positionH>
                <wp:positionV relativeFrom="paragraph">
                  <wp:posOffset>3428365</wp:posOffset>
                </wp:positionV>
                <wp:extent cx="215900" cy="107950"/>
                <wp:effectExtent l="12700" t="12700" r="19050" b="12700"/>
                <wp:wrapNone/>
                <wp:docPr id="135" name="矩形 135"/>
                <wp:cNvGraphicFramePr/>
                <a:graphic xmlns:a="http://schemas.openxmlformats.org/drawingml/2006/main">
                  <a:graphicData uri="http://schemas.microsoft.com/office/word/2010/wordprocessingShape">
                    <wps:wsp>
                      <wps:cNvSpPr/>
                      <wps:spPr>
                        <a:xfrm>
                          <a:off x="0" y="0"/>
                          <a:ext cx="215900" cy="107950"/>
                        </a:xfrm>
                        <a:prstGeom prst="rect">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45pt;margin-top:269.95pt;height:8.5pt;width:17pt;z-index:251713536;v-text-anchor:middle;mso-width-relative:page;mso-height-relative:page;" fillcolor="#00B0F0" filled="t" stroked="t" coordsize="21600,21600" o:gfxdata="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qJd5I2QAAAAsBAAAPAAAAAAAAAAEAIAAAACIAAABkcnMvZG93bnJldi54bWxQ&#10;SwECFAAUAAAACACHTuJAxG9rKWgCAADgBAAADgAAAAAAAAABACAAAAAoAQAAZHJzL2Uyb0RvYy54&#10;bWxQSwUGAAAAAAYABgBZAQAAAgYAAAAA&#10;">
                <v:fill on="t" focussize="0,0"/>
                <v:stroke weight="2pt" color="#FF0000 [3204]" joinstyle="round"/>
                <v:imagedata o:title=""/>
                <o:lock v:ext="edit" aspectratio="f"/>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12512" behindDoc="0" locked="0" layoutInCell="1" allowOverlap="1">
                <wp:simplePos x="0" y="0"/>
                <wp:positionH relativeFrom="column">
                  <wp:posOffset>5309235</wp:posOffset>
                </wp:positionH>
                <wp:positionV relativeFrom="paragraph">
                  <wp:posOffset>2626995</wp:posOffset>
                </wp:positionV>
                <wp:extent cx="1123950" cy="500380"/>
                <wp:effectExtent l="405130" t="10795" r="13970" b="22225"/>
                <wp:wrapNone/>
                <wp:docPr id="133" name="矩形标注 133"/>
                <wp:cNvGraphicFramePr/>
                <a:graphic xmlns:a="http://schemas.openxmlformats.org/drawingml/2006/main">
                  <a:graphicData uri="http://schemas.microsoft.com/office/word/2010/wordprocessingShape">
                    <wps:wsp>
                      <wps:cNvSpPr/>
                      <wps:spPr>
                        <a:xfrm>
                          <a:off x="0" y="0"/>
                          <a:ext cx="1123950" cy="500380"/>
                        </a:xfrm>
                        <a:prstGeom prst="wedgeRectCallout">
                          <a:avLst>
                            <a:gd name="adj1" fmla="val -85480"/>
                            <a:gd name="adj2" fmla="val -50852"/>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
                                <w:bCs/>
                                <w:color w:val="FF0000"/>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default" w:ascii="Times New Roman" w:hAnsi="Times New Roman" w:eastAsia="宋体" w:cs="Times New Roman"/>
                                <w:b/>
                                <w:bCs/>
                                <w:color w:val="FF0000"/>
                                <w:kern w:val="0"/>
                                <w:sz w:val="24"/>
                                <w:szCs w:val="24"/>
                                <w:highlight w:val="none"/>
                                <w:lang w:val="en-US" w:eastAsia="zh-CN"/>
                              </w:rPr>
                              <w:t>额尔登布拉格苏木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18.05pt;margin-top:206.85pt;height:39.4pt;width:88.5pt;z-index:251712512;v-text-anchor:middle;mso-width-relative:page;mso-height-relative:page;" filled="f" stroked="t" coordsize="21600,21600" o:gfxdata="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MZCdTbAAAADAEAAA8AAAAAAAAAAQAgAAAAIgAAAGRycy9kb3ducmV2LnhtbFBL&#10;AQIUABQAAAAIAIdO4kC8nsXtngIAACgFAAAOAAAAAAAAAAEAIAAAACoBAABkcnMvZTJvRG9jLnht&#10;bFBLBQYAAAAABgAGAFkBAAA6BgAAAAA=&#10;" adj="-7664,-184">
                <v:fill on="f" focussize="0,0"/>
                <v:stroke weight="1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
                          <w:bCs/>
                          <w:color w:val="FF0000"/>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default" w:ascii="Times New Roman" w:hAnsi="Times New Roman" w:eastAsia="宋体" w:cs="Times New Roman"/>
                          <w:b/>
                          <w:bCs/>
                          <w:color w:val="FF0000"/>
                          <w:kern w:val="0"/>
                          <w:sz w:val="24"/>
                          <w:szCs w:val="24"/>
                          <w:highlight w:val="none"/>
                          <w:lang w:val="en-US" w:eastAsia="zh-CN"/>
                        </w:rPr>
                        <w:t>额尔登布拉格苏木</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09440" behindDoc="0" locked="0" layoutInCell="1" allowOverlap="1">
                <wp:simplePos x="0" y="0"/>
                <wp:positionH relativeFrom="column">
                  <wp:posOffset>4846320</wp:posOffset>
                </wp:positionH>
                <wp:positionV relativeFrom="paragraph">
                  <wp:posOffset>2562860</wp:posOffset>
                </wp:positionV>
                <wp:extent cx="107950" cy="107950"/>
                <wp:effectExtent l="12700" t="12700" r="12700" b="12700"/>
                <wp:wrapNone/>
                <wp:docPr id="129" name="椭圆 129"/>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1.6pt;margin-top:201.8pt;height:8.5pt;width:8.5pt;z-index:251709440;v-text-anchor:middle;mso-width-relative:page;mso-height-relative:page;" fillcolor="#FF0000" filled="t" stroked="t" coordsize="21600,21600" o:gfxdata="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E0ytTZAAAACwEAAA8AAAAAAAAAAQAgAAAAIgAAAGRycy9kb3ducmV2LnhtbFBLAQIU&#10;ABQAAAAIAIdO4kAmmM7FZAIAAOMEAAAOAAAAAAAAAAEAIAAAACgBAABkcnMvZTJvRG9jLnhtbFBL&#10;BQYAAAAABgAGAFkBAAD+BQ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11488" behindDoc="0" locked="0" layoutInCell="1" allowOverlap="1">
                <wp:simplePos x="0" y="0"/>
                <wp:positionH relativeFrom="column">
                  <wp:posOffset>5332095</wp:posOffset>
                </wp:positionH>
                <wp:positionV relativeFrom="paragraph">
                  <wp:posOffset>815975</wp:posOffset>
                </wp:positionV>
                <wp:extent cx="1123950" cy="297815"/>
                <wp:effectExtent l="6350" t="6350" r="184150" b="19685"/>
                <wp:wrapNone/>
                <wp:docPr id="132" name="矩形标注 132"/>
                <wp:cNvGraphicFramePr/>
                <a:graphic xmlns:a="http://schemas.openxmlformats.org/drawingml/2006/main">
                  <a:graphicData uri="http://schemas.microsoft.com/office/word/2010/wordprocessingShape">
                    <wps:wsp>
                      <wps:cNvSpPr/>
                      <wps:spPr>
                        <a:xfrm>
                          <a:off x="0" y="0"/>
                          <a:ext cx="1123950" cy="297815"/>
                        </a:xfrm>
                        <a:prstGeom prst="wedgeRectCallout">
                          <a:avLst>
                            <a:gd name="adj1" fmla="val 64971"/>
                            <a:gd name="adj2" fmla="val 48933"/>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
                                <w:bCs/>
                                <w:color w:val="FF0000"/>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s="Times New Roman"/>
                                <w:b/>
                                <w:bCs/>
                                <w:color w:val="FF0000"/>
                                <w:kern w:val="0"/>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敖日宝格嘎查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19.85pt;margin-top:64.25pt;height:23.45pt;width:88.5pt;z-index:251711488;v-text-anchor:middle;mso-width-relative:page;mso-height-relative:page;" filled="f" stroked="t" coordsize="21600,21600" o:gfxdata="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NoP9zYAAAADAEAAA8AAAAAAAAAAQAgAAAAIgAAAGRycy9kb3ducmV2LnhtbFBLAQIU&#10;ABQAAAAIAIdO4kAp/PW+ngIAACYFAAAOAAAAAAAAAAEAIAAAACcBAABkcnMvZTJvRG9jLnhtbFBL&#10;BQYAAAAABgAGAFkBAAA3BgAAAAA=&#10;" adj="24834,21370">
                <v:fill on="f" focussize="0,0"/>
                <v:stroke weight="1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b/>
                          <w:bCs/>
                          <w:color w:val="FF0000"/>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s="Times New Roman"/>
                          <w:b/>
                          <w:bCs/>
                          <w:color w:val="FF0000"/>
                          <w:kern w:val="0"/>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敖日宝格嘎查</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10464" behindDoc="0" locked="0" layoutInCell="1" allowOverlap="1">
                <wp:simplePos x="0" y="0"/>
                <wp:positionH relativeFrom="column">
                  <wp:posOffset>6628130</wp:posOffset>
                </wp:positionH>
                <wp:positionV relativeFrom="paragraph">
                  <wp:posOffset>1051560</wp:posOffset>
                </wp:positionV>
                <wp:extent cx="107950" cy="107950"/>
                <wp:effectExtent l="12700" t="12700" r="12700" b="12700"/>
                <wp:wrapNone/>
                <wp:docPr id="130" name="椭圆 13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1.9pt;margin-top:82.8pt;height:8.5pt;width:8.5pt;z-index:251710464;v-text-anchor:middle;mso-width-relative:page;mso-height-relative:page;" fillcolor="#FF0000" filled="t" stroked="t" coordsize="21600,21600" o:gfxdata="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Cfr9NkAAAANAQAADwAAAAAAAAABACAAAAAiAAAAZHJzL2Rvd25yZXYueG1sUEsBAhQA&#10;FAAAAAgAh07iQMHU3KVjAgAA4wQAAA4AAAAAAAAAAQAgAAAAKAEAAGRycy9lMm9Eb2MueG1sUEsF&#10;BgAAAAAGAAYAWQEAAP0FA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93980</wp:posOffset>
                </wp:positionH>
                <wp:positionV relativeFrom="paragraph">
                  <wp:posOffset>2971800</wp:posOffset>
                </wp:positionV>
                <wp:extent cx="1892300" cy="1933575"/>
                <wp:effectExtent l="12700" t="12700" r="19050" b="15875"/>
                <wp:wrapNone/>
                <wp:docPr id="56" name="矩形 56"/>
                <wp:cNvGraphicFramePr/>
                <a:graphic xmlns:a="http://schemas.openxmlformats.org/drawingml/2006/main">
                  <a:graphicData uri="http://schemas.microsoft.com/office/word/2010/wordprocessingShape">
                    <wps:wsp>
                      <wps:cNvSpPr/>
                      <wps:spPr>
                        <a:xfrm>
                          <a:off x="0" y="0"/>
                          <a:ext cx="1892300" cy="1933575"/>
                        </a:xfrm>
                        <a:prstGeom prst="rect">
                          <a:avLst/>
                        </a:prstGeom>
                        <a:solidFill>
                          <a:srgbClr val="BFBFBF"/>
                        </a:solidFill>
                        <a:ln w="25400" cap="flat" cmpd="sng">
                          <a:solidFill>
                            <a:srgbClr val="000000"/>
                          </a:solidFill>
                          <a:prstDash val="solid"/>
                          <a:round/>
                          <a:headEnd type="none" w="med" len="med"/>
                          <a:tailEnd type="none" w="med" len="med"/>
                        </a:ln>
                      </wps:spPr>
                      <wps:txb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厂区位置</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大气环境评价范围</w:t>
                            </w:r>
                          </w:p>
                          <w:p>
                            <w:pPr>
                              <w:spacing w:line="360" w:lineRule="auto"/>
                              <w:ind w:firstLine="0" w:firstLineChars="0"/>
                              <w:rPr>
                                <w:rFonts w:hint="eastAsia" w:eastAsia="宋体"/>
                                <w:b/>
                                <w:bCs/>
                                <w:color w:val="000000" w:themeColor="text1"/>
                                <w:sz w:val="24"/>
                                <w:szCs w:val="32"/>
                                <w:lang w:eastAsia="zh-CN"/>
                                <w14:textFill>
                                  <w14:solidFill>
                                    <w14:schemeClr w14:val="tx1"/>
                                  </w14:solidFill>
                                </w14:textFill>
                              </w:rPr>
                            </w:pPr>
                            <w:r>
                              <w:rPr>
                                <w:rFonts w:hint="eastAsia"/>
                                <w:b/>
                                <w:bCs/>
                                <w:color w:val="000000" w:themeColor="text1"/>
                                <w:sz w:val="24"/>
                                <w:szCs w:val="32"/>
                                <w14:textFill>
                                  <w14:solidFill>
                                    <w14:schemeClr w14:val="tx1"/>
                                  </w14:solidFill>
                                </w14:textFill>
                              </w:rPr>
                              <w:t>地下水环境评价</w:t>
                            </w:r>
                            <w:r>
                              <w:rPr>
                                <w:rFonts w:hint="eastAsia"/>
                                <w:b/>
                                <w:bCs/>
                                <w:color w:val="000000" w:themeColor="text1"/>
                                <w:sz w:val="24"/>
                                <w:szCs w:val="32"/>
                                <w:lang w:eastAsia="zh-CN"/>
                                <w14:textFill>
                                  <w14:solidFill>
                                    <w14:schemeClr w14:val="tx1"/>
                                  </w14:solidFill>
                                </w14:textFill>
                              </w:rPr>
                              <w:t>范围</w:t>
                            </w:r>
                          </w:p>
                          <w:p>
                            <w:pPr>
                              <w:spacing w:line="360" w:lineRule="auto"/>
                              <w:ind w:firstLine="0" w:firstLineChars="0"/>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地下水保护目标</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大气保护目标</w:t>
                            </w:r>
                          </w:p>
                        </w:txbxContent>
                      </wps:txbx>
                      <wps:bodyPr anchor="ctr" upright="1"/>
                    </wps:wsp>
                  </a:graphicData>
                </a:graphic>
              </wp:anchor>
            </w:drawing>
          </mc:Choice>
          <mc:Fallback>
            <w:pict>
              <v:rect id="_x0000_s1026" o:spid="_x0000_s1026" o:spt="1" style="position:absolute;left:0pt;margin-left:7.4pt;margin-top:234pt;height:152.25pt;width:149pt;z-index:251663360;v-text-anchor:middle;mso-width-relative:page;mso-height-relative:page;" fillcolor="#BFBFBF" filled="t" stroked="t" coordsize="21600,21600" o:gfxdata="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pFhqNcAAAAKAQAADwAAAAAAAAABACAA&#10;AAAiAAAAZHJzL2Rvd25yZXYueG1sUEsBAhQAFAAAAAgAh07iQHmsOkMOAgAAOgQAAA4AAAAAAAAA&#10;AQAgAAAAJgEAAGRycy9lMm9Eb2MueG1sUEsFBgAAAAAGAAYAWQEAAKYFAAAAAA==&#10;">
                <v:fill on="t" focussize="0,0"/>
                <v:stroke weight="2pt" color="#000000" joinstyle="round"/>
                <v:imagedata o:title=""/>
                <o:lock v:ext="edit" aspectratio="f"/>
                <v:textbo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厂区位置</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大气环境评价范围</w:t>
                      </w:r>
                    </w:p>
                    <w:p>
                      <w:pPr>
                        <w:spacing w:line="360" w:lineRule="auto"/>
                        <w:ind w:firstLine="0" w:firstLineChars="0"/>
                        <w:rPr>
                          <w:rFonts w:hint="eastAsia" w:eastAsia="宋体"/>
                          <w:b/>
                          <w:bCs/>
                          <w:color w:val="000000" w:themeColor="text1"/>
                          <w:sz w:val="24"/>
                          <w:szCs w:val="32"/>
                          <w:lang w:eastAsia="zh-CN"/>
                          <w14:textFill>
                            <w14:solidFill>
                              <w14:schemeClr w14:val="tx1"/>
                            </w14:solidFill>
                          </w14:textFill>
                        </w:rPr>
                      </w:pPr>
                      <w:r>
                        <w:rPr>
                          <w:rFonts w:hint="eastAsia"/>
                          <w:b/>
                          <w:bCs/>
                          <w:color w:val="000000" w:themeColor="text1"/>
                          <w:sz w:val="24"/>
                          <w:szCs w:val="32"/>
                          <w14:textFill>
                            <w14:solidFill>
                              <w14:schemeClr w14:val="tx1"/>
                            </w14:solidFill>
                          </w14:textFill>
                        </w:rPr>
                        <w:t>地下水环境评价</w:t>
                      </w:r>
                      <w:r>
                        <w:rPr>
                          <w:rFonts w:hint="eastAsia"/>
                          <w:b/>
                          <w:bCs/>
                          <w:color w:val="000000" w:themeColor="text1"/>
                          <w:sz w:val="24"/>
                          <w:szCs w:val="32"/>
                          <w:lang w:eastAsia="zh-CN"/>
                          <w14:textFill>
                            <w14:solidFill>
                              <w14:schemeClr w14:val="tx1"/>
                            </w14:solidFill>
                          </w14:textFill>
                        </w:rPr>
                        <w:t>范围</w:t>
                      </w:r>
                    </w:p>
                    <w:p>
                      <w:pPr>
                        <w:spacing w:line="360" w:lineRule="auto"/>
                        <w:ind w:firstLine="0" w:firstLineChars="0"/>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地下水保护目标</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大气保护目标</w:t>
                      </w:r>
                    </w:p>
                  </w:txbxContent>
                </v:textbox>
              </v:rect>
            </w:pict>
          </mc:Fallback>
        </mc:AlternateContent>
      </w:r>
      <w:r>
        <w:rPr>
          <w:rFonts w:hint="default" w:ascii="Times New Roman" w:hAnsi="Times New Roman" w:eastAsia="宋体" w:cs="Times New Roman"/>
          <w:color w:val="auto"/>
        </w:rPr>
        <w:drawing>
          <wp:inline distT="0" distB="0" distL="114300" distR="114300">
            <wp:extent cx="8636000" cy="4932045"/>
            <wp:effectExtent l="0" t="0" r="12700" b="190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18"/>
                    <a:stretch>
                      <a:fillRect/>
                    </a:stretch>
                  </pic:blipFill>
                  <pic:spPr>
                    <a:xfrm>
                      <a:off x="0" y="0"/>
                      <a:ext cx="8636000" cy="4932045"/>
                    </a:xfrm>
                    <a:prstGeom prst="rect">
                      <a:avLst/>
                    </a:prstGeom>
                    <a:noFill/>
                    <a:ln>
                      <a:noFill/>
                    </a:ln>
                  </pic:spPr>
                </pic:pic>
              </a:graphicData>
            </a:graphic>
          </wp:inline>
        </w:drawing>
      </w:r>
    </w:p>
    <w:p>
      <w:pPr>
        <w:shd w:val="clear"/>
        <w:jc w:val="center"/>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eastAsia="zh-CN"/>
        </w:rPr>
        <w:t>图</w:t>
      </w:r>
      <w:r>
        <w:rPr>
          <w:rFonts w:hint="default" w:ascii="Times New Roman" w:hAnsi="Times New Roman" w:eastAsia="宋体" w:cs="Times New Roman"/>
          <w:b/>
          <w:bCs/>
          <w:color w:val="auto"/>
          <w:sz w:val="24"/>
          <w:szCs w:val="32"/>
          <w:highlight w:val="none"/>
          <w:lang w:val="en-US" w:eastAsia="zh-CN"/>
        </w:rPr>
        <w:t>2.8-1   大气环境、地下水环境、环境风险保护目标图</w:t>
      </w:r>
    </w:p>
    <w:p>
      <w:pPr>
        <w:shd w:val="clear"/>
        <w:jc w:val="center"/>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color w:val="auto"/>
        </w:rPr>
        <w:drawing>
          <wp:anchor distT="0" distB="0" distL="114300" distR="114300" simplePos="0" relativeHeight="251718656" behindDoc="0" locked="0" layoutInCell="1" allowOverlap="1">
            <wp:simplePos x="0" y="0"/>
            <wp:positionH relativeFrom="column">
              <wp:posOffset>7477760</wp:posOffset>
            </wp:positionH>
            <wp:positionV relativeFrom="paragraph">
              <wp:posOffset>5715</wp:posOffset>
            </wp:positionV>
            <wp:extent cx="567055" cy="624840"/>
            <wp:effectExtent l="0" t="0" r="4445" b="381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6"/>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1"/>
        </w:rPr>
        <mc:AlternateContent>
          <mc:Choice Requires="wps">
            <w:drawing>
              <wp:anchor distT="0" distB="0" distL="114300" distR="114300" simplePos="0" relativeHeight="251719680" behindDoc="0" locked="0" layoutInCell="1" allowOverlap="1">
                <wp:simplePos x="0" y="0"/>
                <wp:positionH relativeFrom="column">
                  <wp:posOffset>1369060</wp:posOffset>
                </wp:positionH>
                <wp:positionV relativeFrom="paragraph">
                  <wp:posOffset>4578985</wp:posOffset>
                </wp:positionV>
                <wp:extent cx="215900" cy="107950"/>
                <wp:effectExtent l="12700" t="12700" r="19050" b="12700"/>
                <wp:wrapNone/>
                <wp:docPr id="2" name="矩形 2"/>
                <wp:cNvGraphicFramePr/>
                <a:graphic xmlns:a="http://schemas.openxmlformats.org/drawingml/2006/main">
                  <a:graphicData uri="http://schemas.microsoft.com/office/word/2010/wordprocessingShape">
                    <wps:wsp>
                      <wps:cNvSpPr/>
                      <wps:spPr>
                        <a:xfrm>
                          <a:off x="0" y="0"/>
                          <a:ext cx="215900" cy="1079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8pt;margin-top:360.55pt;height:8.5pt;width:17pt;z-index:251719680;v-text-anchor:middle;mso-width-relative:page;mso-height-relative:page;" filled="f" stroked="t" coordsize="21600,21600" o:gfxdata="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N9JU2gAAAAsBAAAPAAAAAAAAAAEAIAAAACIAAABkcnMvZG93bnJldi54bWxQSwECFAAUAAAACACH&#10;TuJAKlEHTlsCAACzBAAADgAAAAAAAAABACAAAAApAQAAZHJzL2Uyb0RvYy54bWxQSwUGAAAAAAYA&#10;BgBZAQAA9gUAAAAA&#10;">
                <v:fill on="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17632" behindDoc="0" locked="0" layoutInCell="1" allowOverlap="1">
                <wp:simplePos x="0" y="0"/>
                <wp:positionH relativeFrom="column">
                  <wp:posOffset>1200785</wp:posOffset>
                </wp:positionH>
                <wp:positionV relativeFrom="paragraph">
                  <wp:posOffset>4274820</wp:posOffset>
                </wp:positionV>
                <wp:extent cx="215900" cy="107950"/>
                <wp:effectExtent l="12700" t="12700" r="19050" b="12700"/>
                <wp:wrapNone/>
                <wp:docPr id="3" name="矩形 3"/>
                <wp:cNvGraphicFramePr/>
                <a:graphic xmlns:a="http://schemas.openxmlformats.org/drawingml/2006/main">
                  <a:graphicData uri="http://schemas.microsoft.com/office/word/2010/wordprocessingShape">
                    <wps:wsp>
                      <wps:cNvSpPr/>
                      <wps:spPr>
                        <a:xfrm>
                          <a:off x="7299325" y="3585845"/>
                          <a:ext cx="215900" cy="1079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55pt;margin-top:336.6pt;height:8.5pt;width:17pt;z-index:251717632;v-text-anchor:middle;mso-width-relative:page;mso-height-relative:page;" filled="f" stroked="t" coordsize="21600,21600" o:gfxdata="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sEaHb2AAAAAsBAAAPAAAAAAAAAAEAIAAAACIAAABkcnMvZG93bnJldi54bWxQ&#10;SwECFAAUAAAACACHTuJA30jwEWkCAAC/BAAADgAAAAAAAAABACAAAAAnAQAAZHJzL2Uyb0RvYy54&#10;bWxQSwUGAAAAAAYABgBZAQAAAgYAAAAA&#10;">
                <v:fill on="f" focussize="0,0"/>
                <v:stroke weight="2pt" color="#FFFF00 [3204]" joinstyle="round"/>
                <v:imagedata o:title=""/>
                <o:lock v:ext="edit" aspectratio="f"/>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26848" behindDoc="0" locked="0" layoutInCell="1" allowOverlap="1">
                <wp:simplePos x="0" y="0"/>
                <wp:positionH relativeFrom="column">
                  <wp:posOffset>5076825</wp:posOffset>
                </wp:positionH>
                <wp:positionV relativeFrom="paragraph">
                  <wp:posOffset>3227070</wp:posOffset>
                </wp:positionV>
                <wp:extent cx="528955" cy="293370"/>
                <wp:effectExtent l="393700" t="6350" r="10795" b="24130"/>
                <wp:wrapNone/>
                <wp:docPr id="151" name="矩形标注 151"/>
                <wp:cNvGraphicFramePr/>
                <a:graphic xmlns:a="http://schemas.openxmlformats.org/drawingml/2006/main">
                  <a:graphicData uri="http://schemas.microsoft.com/office/word/2010/wordprocessingShape">
                    <wps:wsp>
                      <wps:cNvSpPr/>
                      <wps:spPr>
                        <a:xfrm>
                          <a:off x="0" y="0"/>
                          <a:ext cx="528955" cy="293370"/>
                        </a:xfrm>
                        <a:prstGeom prst="wedgeRectCallout">
                          <a:avLst>
                            <a:gd name="adj1" fmla="val -123229"/>
                            <a:gd name="adj2" fmla="val 38311"/>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99.75pt;margin-top:254.1pt;height:23.1pt;width:41.65pt;z-index:251726848;v-text-anchor:middle;mso-width-relative:page;mso-height-relative:page;" filled="f" stroked="t" coordsize="21600,21600" o:gfxdata="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FoH9V2wAAAAsBAAAPAAAAAAAAAAEAIAAAACIAAABkcnMvZG93bnJldi54bWxQ&#10;SwECFAAUAAAACACHTuJAIeEeeZ8CAAAnBQAADgAAAAAAAAABACAAAAAqAQAAZHJzL2Uyb0RvYy54&#10;bWxQSwUGAAAAAAYABgBZAQAAOwYAAAAA&#10;" adj="-15817,19075">
                <v:fill on="f" focussize="0,0"/>
                <v:stroke weight="1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23776" behindDoc="0" locked="0" layoutInCell="1" allowOverlap="1">
                <wp:simplePos x="0" y="0"/>
                <wp:positionH relativeFrom="column">
                  <wp:posOffset>4634230</wp:posOffset>
                </wp:positionH>
                <wp:positionV relativeFrom="paragraph">
                  <wp:posOffset>3410585</wp:posOffset>
                </wp:positionV>
                <wp:extent cx="107950" cy="107950"/>
                <wp:effectExtent l="12700" t="12700" r="12700" b="12700"/>
                <wp:wrapNone/>
                <wp:docPr id="144" name="椭圆 144"/>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4.9pt;margin-top:268.55pt;height:8.5pt;width:8.5pt;z-index:251723776;v-text-anchor:middle;mso-width-relative:page;mso-height-relative:page;" fillcolor="#FF0000" filled="t" stroked="t" coordsize="21600,21600" o:gfxdata="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en5hdkAAAALAQAADwAAAAAAAAABACAAAAAiAAAAZHJzL2Rvd25yZXYueG1sUEsBAhQA&#10;FAAAAAgAh07iQG4DA49jAgAA4wQAAA4AAAAAAAAAAQAgAAAAKAEAAGRycy9lMm9Eb2MueG1sUEsF&#10;BgAAAAAGAAYAWQEAAP0FA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72928" behindDoc="0" locked="0" layoutInCell="1" allowOverlap="1">
                <wp:simplePos x="0" y="0"/>
                <wp:positionH relativeFrom="column">
                  <wp:posOffset>3674745</wp:posOffset>
                </wp:positionH>
                <wp:positionV relativeFrom="paragraph">
                  <wp:posOffset>658495</wp:posOffset>
                </wp:positionV>
                <wp:extent cx="528955" cy="293370"/>
                <wp:effectExtent l="6350" t="6350" r="17145" b="233680"/>
                <wp:wrapNone/>
                <wp:docPr id="29" name="矩形标注 29"/>
                <wp:cNvGraphicFramePr/>
                <a:graphic xmlns:a="http://schemas.openxmlformats.org/drawingml/2006/main">
                  <a:graphicData uri="http://schemas.microsoft.com/office/word/2010/wordprocessingShape">
                    <wps:wsp>
                      <wps:cNvSpPr/>
                      <wps:spPr>
                        <a:xfrm>
                          <a:off x="0" y="0"/>
                          <a:ext cx="528955" cy="293370"/>
                        </a:xfrm>
                        <a:prstGeom prst="wedgeRectCallout">
                          <a:avLst>
                            <a:gd name="adj1" fmla="val -19332"/>
                            <a:gd name="adj2" fmla="val 12575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9.35pt;margin-top:51.85pt;height:23.1pt;width:41.65pt;z-index:251772928;v-text-anchor:middle;mso-width-relative:page;mso-height-relative:page;" filled="f" stroked="t" coordsize="21600,21600" o:gfxdata="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oKrN93AAAAAsBAAAPAAAAAAAAAAEAIAAAACIAAABkcnMvZG93bnJldi54bWxQ&#10;SwECFAAUAAAACACHTuJAKXIwu54CAAAlBQAADgAAAAAAAAABACAAAAArAQAAZHJzL2Uyb0RvYy54&#10;bWxQSwUGAAAAAAYABgBZAQAAOwYAAAAA&#10;" adj="6624,37964">
                <v:fill on="f" focussize="0,0"/>
                <v:stroke weight="1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24800" behindDoc="0" locked="0" layoutInCell="1" allowOverlap="1">
                <wp:simplePos x="0" y="0"/>
                <wp:positionH relativeFrom="column">
                  <wp:posOffset>3735705</wp:posOffset>
                </wp:positionH>
                <wp:positionV relativeFrom="paragraph">
                  <wp:posOffset>1106170</wp:posOffset>
                </wp:positionV>
                <wp:extent cx="107950" cy="107950"/>
                <wp:effectExtent l="12700" t="12700" r="12700" b="12700"/>
                <wp:wrapNone/>
                <wp:docPr id="145" name="椭圆 14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4.15pt;margin-top:87.1pt;height:8.5pt;width:8.5pt;z-index:251724800;v-text-anchor:middle;mso-width-relative:page;mso-height-relative:page;" fillcolor="#FF0000" filled="t" stroked="t" coordsize="21600,21600" o:gfxdata="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UDHjzZAAAACwEAAA8AAAAAAAAAAQAgAAAAIgAAAGRycy9kb3ducmV2LnhtbFBLAQIU&#10;ABQAAAAIAIdO4kCeS7jSZAIAAOMEAAAOAAAAAAAAAAEAIAAAACgBAABkcnMvZTJvRG9jLnhtbFBL&#10;BQYAAAAABgAGAFkBAAD+BQ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25824" behindDoc="0" locked="0" layoutInCell="1" allowOverlap="1">
                <wp:simplePos x="0" y="0"/>
                <wp:positionH relativeFrom="column">
                  <wp:posOffset>5491480</wp:posOffset>
                </wp:positionH>
                <wp:positionV relativeFrom="paragraph">
                  <wp:posOffset>1183005</wp:posOffset>
                </wp:positionV>
                <wp:extent cx="528955" cy="293370"/>
                <wp:effectExtent l="6350" t="6350" r="17145" b="233680"/>
                <wp:wrapNone/>
                <wp:docPr id="150" name="矩形标注 150"/>
                <wp:cNvGraphicFramePr/>
                <a:graphic xmlns:a="http://schemas.openxmlformats.org/drawingml/2006/main">
                  <a:graphicData uri="http://schemas.microsoft.com/office/word/2010/wordprocessingShape">
                    <wps:wsp>
                      <wps:cNvSpPr/>
                      <wps:spPr>
                        <a:xfrm>
                          <a:off x="0" y="0"/>
                          <a:ext cx="528955" cy="293370"/>
                        </a:xfrm>
                        <a:prstGeom prst="wedgeRectCallout">
                          <a:avLst>
                            <a:gd name="adj1" fmla="val -19332"/>
                            <a:gd name="adj2" fmla="val 12575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32.4pt;margin-top:93.15pt;height:23.1pt;width:41.65pt;z-index:251725824;v-text-anchor:middle;mso-width-relative:page;mso-height-relative:page;" filled="f" stroked="t" coordsize="21600,21600" o:gfxdata="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pa+k83QAAAAsBAAAPAAAAAAAAAAEAIAAAACIAAABkcnMvZG93bnJldi54bWxQ&#10;SwECFAAUAAAACACHTuJA4J9h5Z0CAAAnBQAADgAAAAAAAAABACAAAAAsAQAAZHJzL2Uyb0RvYy54&#10;bWxQSwUGAAAAAAYABgBZAQAAOwYAAAAA&#10;" adj="6624,37964">
                <v:fill on="f" focussize="0,0"/>
                <v:stroke weight="1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居民</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22752" behindDoc="0" locked="0" layoutInCell="1" allowOverlap="1">
                <wp:simplePos x="0" y="0"/>
                <wp:positionH relativeFrom="column">
                  <wp:posOffset>5582285</wp:posOffset>
                </wp:positionH>
                <wp:positionV relativeFrom="paragraph">
                  <wp:posOffset>1676400</wp:posOffset>
                </wp:positionV>
                <wp:extent cx="107950" cy="107950"/>
                <wp:effectExtent l="12700" t="12700" r="12700" b="12700"/>
                <wp:wrapNone/>
                <wp:docPr id="141" name="椭圆 141"/>
                <wp:cNvGraphicFramePr/>
                <a:graphic xmlns:a="http://schemas.openxmlformats.org/drawingml/2006/main">
                  <a:graphicData uri="http://schemas.microsoft.com/office/word/2010/wordprocessingShape">
                    <wps:wsp>
                      <wps:cNvSpPr/>
                      <wps:spPr>
                        <a:xfrm>
                          <a:off x="2421890" y="360680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9.55pt;margin-top:132pt;height:8.5pt;width:8.5pt;z-index:251722752;v-text-anchor:middle;mso-width-relative:page;mso-height-relative:page;" fillcolor="#FF0000" filled="t" stroked="t" coordsize="21600,21600" o:gfxdata="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c77zdgAAAALAQAADwAAAAAAAAABACAAAAAiAAAAZHJzL2Rvd25y&#10;ZXYueG1sUEsBAhQAFAAAAAgAh07iQDoaUdBwAgAA7wQAAA4AAAAAAAAAAQAgAAAAJwEAAGRycy9l&#10;Mm9Eb2MueG1sUEsFBgAAAAAGAAYAWQEAAAkGA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21728" behindDoc="0" locked="0" layoutInCell="1" allowOverlap="1">
                <wp:simplePos x="0" y="0"/>
                <wp:positionH relativeFrom="column">
                  <wp:posOffset>1746885</wp:posOffset>
                </wp:positionH>
                <wp:positionV relativeFrom="paragraph">
                  <wp:posOffset>512445</wp:posOffset>
                </wp:positionV>
                <wp:extent cx="4716780" cy="4271010"/>
                <wp:effectExtent l="12700" t="12700" r="13970" b="21590"/>
                <wp:wrapNone/>
                <wp:docPr id="54" name="任意多边形 54"/>
                <wp:cNvGraphicFramePr/>
                <a:graphic xmlns:a="http://schemas.openxmlformats.org/drawingml/2006/main">
                  <a:graphicData uri="http://schemas.microsoft.com/office/word/2010/wordprocessingShape">
                    <wps:wsp>
                      <wps:cNvSpPr/>
                      <wps:spPr>
                        <a:xfrm>
                          <a:off x="2727960" y="1582420"/>
                          <a:ext cx="4716780" cy="4271010"/>
                        </a:xfrm>
                        <a:custGeom>
                          <a:avLst/>
                          <a:gdLst>
                            <a:gd name="connisteX0" fmla="*/ 4184015 w 4982210"/>
                            <a:gd name="connsiteY0" fmla="*/ 0 h 4439920"/>
                            <a:gd name="connisteX1" fmla="*/ 0 w 4982210"/>
                            <a:gd name="connsiteY1" fmla="*/ 577850 h 4439920"/>
                            <a:gd name="connisteX2" fmla="*/ 586105 w 4982210"/>
                            <a:gd name="connsiteY2" fmla="*/ 3838575 h 4439920"/>
                            <a:gd name="connisteX3" fmla="*/ 784225 w 4982210"/>
                            <a:gd name="connsiteY3" fmla="*/ 3795395 h 4439920"/>
                            <a:gd name="connisteX4" fmla="*/ 952500 w 4982210"/>
                            <a:gd name="connsiteY4" fmla="*/ 4439920 h 4439920"/>
                            <a:gd name="connisteX5" fmla="*/ 4667250 w 4982210"/>
                            <a:gd name="connsiteY5" fmla="*/ 3495040 h 4439920"/>
                            <a:gd name="connisteX6" fmla="*/ 4777105 w 4982210"/>
                            <a:gd name="connsiteY6" fmla="*/ 3479800 h 4439920"/>
                            <a:gd name="connisteX7" fmla="*/ 4630420 w 4982210"/>
                            <a:gd name="connsiteY7" fmla="*/ 3040380 h 4439920"/>
                            <a:gd name="connisteX8" fmla="*/ 4982210 w 4982210"/>
                            <a:gd name="connsiteY8" fmla="*/ 2930525 h 4439920"/>
                            <a:gd name="connisteX9" fmla="*/ 4184015 w 4982210"/>
                            <a:gd name="connsiteY9" fmla="*/ 0 h 44399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4982210" h="4439920">
                              <a:moveTo>
                                <a:pt x="4184015" y="0"/>
                              </a:moveTo>
                              <a:lnTo>
                                <a:pt x="0" y="577850"/>
                              </a:lnTo>
                              <a:lnTo>
                                <a:pt x="586105" y="3838575"/>
                              </a:lnTo>
                              <a:lnTo>
                                <a:pt x="784225" y="3795395"/>
                              </a:lnTo>
                              <a:lnTo>
                                <a:pt x="952500" y="4439920"/>
                              </a:lnTo>
                              <a:lnTo>
                                <a:pt x="4667250" y="3495040"/>
                              </a:lnTo>
                              <a:lnTo>
                                <a:pt x="4777105" y="3479800"/>
                              </a:lnTo>
                              <a:lnTo>
                                <a:pt x="4630420" y="3040380"/>
                              </a:lnTo>
                              <a:lnTo>
                                <a:pt x="4982210" y="2930525"/>
                              </a:lnTo>
                              <a:lnTo>
                                <a:pt x="4184015"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37.55pt;margin-top:40.35pt;height:336.3pt;width:371.4pt;z-index:251721728;mso-width-relative:page;mso-height-relative:page;" filled="f" stroked="t" coordsize="4982210,4439920" o:gfxdata="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A2U9n62QAAAAsBAAAPAAAAAAAAAAEA&#10;IAAAACIAAABkcnMvZG93bnJldi54bWxQSwECFAAUAAAACACHTuJACqqmZNYDAAB+DAAADgAAAAAA&#10;AAABACAAAAAoAQAAZHJzL2Uyb0RvYy54bWxQSwUGAAAAAAYABgBZAQAAcAcAAAAA&#10;" path="m4184015,0l0,577850,586105,3838575,784225,3795395,952500,4439920,4667250,3495040,4777105,3479800,4630420,3040380,4982210,2930525,4184015,0xe">
                <v:path o:connectlocs="3961109,0;0,555866;554879,3692542;742444,3651004;901755,4271010;4418599,3362076;4522602,3347416;4383731,2924713;4716780,2819037;3961109,0" o:connectangles="0,0,0,0,0,0,0,0,0,0"/>
                <v:fill on="f" focussize="0,0"/>
                <v:stroke weight="2pt" color="#FFFF00 [3204]"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16608" behindDoc="0" locked="0" layoutInCell="1" allowOverlap="1">
                <wp:simplePos x="0" y="0"/>
                <wp:positionH relativeFrom="column">
                  <wp:posOffset>778510</wp:posOffset>
                </wp:positionH>
                <wp:positionV relativeFrom="paragraph">
                  <wp:posOffset>3957320</wp:posOffset>
                </wp:positionV>
                <wp:extent cx="215900" cy="107950"/>
                <wp:effectExtent l="12700" t="12700" r="19050" b="12700"/>
                <wp:wrapNone/>
                <wp:docPr id="8" name="矩形 8"/>
                <wp:cNvGraphicFramePr/>
                <a:graphic xmlns:a="http://schemas.openxmlformats.org/drawingml/2006/main">
                  <a:graphicData uri="http://schemas.microsoft.com/office/word/2010/wordprocessingShape">
                    <wps:wsp>
                      <wps:cNvSpPr/>
                      <wps:spPr>
                        <a:xfrm>
                          <a:off x="6926580" y="2863215"/>
                          <a:ext cx="215900" cy="107950"/>
                        </a:xfrm>
                        <a:prstGeom prst="rect">
                          <a:avLst/>
                        </a:prstGeom>
                        <a:solidFill>
                          <a:srgbClr val="7030A0">
                            <a:alpha val="6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3pt;margin-top:311.6pt;height:8.5pt;width:17pt;z-index:251716608;v-text-anchor:middle;mso-width-relative:page;mso-height-relative:page;" fillcolor="#7030A0" filled="t" stroked="t" coordsize="21600,21600" o:gfxdata="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w8fZ62AAAAAsBAAAPAAAAAAAAAAEAIAAA&#10;ACIAAABkcnMvZG93bnJldi54bWxQSwECFAAUAAAACACHTuJAPp9kO34CAAAJBQAADgAAAAAAAAAB&#10;ACAAAAAnAQAAZHJzL2Uyb0RvYy54bWxQSwUGAAAAAAYABgBZAQAAFwYAAAAA&#10;">
                <v:fill on="t" opacity="39321f" focussize="0,0"/>
                <v:stroke weight="2pt" color="#FF0000 [3204]" joinstyle="round"/>
                <v:imagedata o:title=""/>
                <o:lock v:ext="edit" aspectratio="f"/>
              </v:rect>
            </w:pict>
          </mc:Fallback>
        </mc:AlternateContent>
      </w:r>
      <w:r>
        <w:rPr>
          <w:rFonts w:hint="default" w:ascii="Times New Roman" w:hAnsi="Times New Roman" w:eastAsia="宋体" w:cs="Times New Roman"/>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-38100</wp:posOffset>
                </wp:positionH>
                <wp:positionV relativeFrom="paragraph">
                  <wp:posOffset>3441700</wp:posOffset>
                </wp:positionV>
                <wp:extent cx="1677670" cy="1490980"/>
                <wp:effectExtent l="12700" t="12700" r="24130" b="20320"/>
                <wp:wrapNone/>
                <wp:docPr id="19" name="矩形 19"/>
                <wp:cNvGraphicFramePr/>
                <a:graphic xmlns:a="http://schemas.openxmlformats.org/drawingml/2006/main">
                  <a:graphicData uri="http://schemas.microsoft.com/office/word/2010/wordprocessingShape">
                    <wps:wsp>
                      <wps:cNvSpPr/>
                      <wps:spPr>
                        <a:xfrm>
                          <a:off x="0" y="0"/>
                          <a:ext cx="1677670" cy="1490980"/>
                        </a:xfrm>
                        <a:prstGeom prst="rect">
                          <a:avLst/>
                        </a:prstGeom>
                        <a:solidFill>
                          <a:srgbClr val="BFBFBF"/>
                        </a:solidFill>
                        <a:ln w="25400" cap="flat" cmpd="sng">
                          <a:solidFill>
                            <a:srgbClr val="000000"/>
                          </a:solidFill>
                          <a:prstDash val="solid"/>
                          <a:round/>
                          <a:headEnd type="none" w="med" len="med"/>
                          <a:tailEnd type="none" w="med" len="med"/>
                        </a:ln>
                      </wps:spPr>
                      <wps:txb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eastAsia="宋体"/>
                                <w:b/>
                                <w:bCs/>
                                <w:color w:val="000000" w:themeColor="text1"/>
                                <w:sz w:val="24"/>
                                <w:szCs w:val="32"/>
                                <w:lang w:eastAsia="zh-CN"/>
                                <w14:textFill>
                                  <w14:solidFill>
                                    <w14:schemeClr w14:val="tx1"/>
                                  </w14:solidFill>
                                </w14:textFill>
                              </w:rPr>
                              <w:t>厂区位置</w:t>
                            </w:r>
                          </w:p>
                          <w:p>
                            <w:pPr>
                              <w:spacing w:line="360" w:lineRule="auto"/>
                              <w:ind w:firstLine="0" w:firstLineChars="0"/>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声</w:t>
                            </w:r>
                            <w:r>
                              <w:rPr>
                                <w:rFonts w:hint="eastAsia"/>
                                <w:b/>
                                <w:bCs/>
                                <w:color w:val="000000" w:themeColor="text1"/>
                                <w:sz w:val="24"/>
                                <w:szCs w:val="32"/>
                                <w14:textFill>
                                  <w14:solidFill>
                                    <w14:schemeClr w14:val="tx1"/>
                                  </w14:solidFill>
                                </w14:textFill>
                              </w:rPr>
                              <w:t>环境评价范围</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土壤</w:t>
                            </w:r>
                            <w:r>
                              <w:rPr>
                                <w:rFonts w:hint="eastAsia"/>
                                <w:b/>
                                <w:bCs/>
                                <w:color w:val="000000" w:themeColor="text1"/>
                                <w:sz w:val="24"/>
                                <w:szCs w:val="32"/>
                                <w14:textFill>
                                  <w14:solidFill>
                                    <w14:schemeClr w14:val="tx1"/>
                                  </w14:solidFill>
                                </w14:textFill>
                              </w:rPr>
                              <w:t>环境评价范围</w:t>
                            </w:r>
                          </w:p>
                        </w:txbxContent>
                      </wps:txbx>
                      <wps:bodyPr anchor="ctr" upright="1"/>
                    </wps:wsp>
                  </a:graphicData>
                </a:graphic>
              </wp:anchor>
            </w:drawing>
          </mc:Choice>
          <mc:Fallback>
            <w:pict>
              <v:rect id="_x0000_s1026" o:spid="_x0000_s1026" o:spt="1" style="position:absolute;left:0pt;margin-left:-3pt;margin-top:271pt;height:117.4pt;width:132.1pt;z-index:251715584;v-text-anchor:middle;mso-width-relative:page;mso-height-relative:page;" fillcolor="#BFBFBF" filled="t" stroked="t" coordsize="21600,21600" o:gfxdata="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C9GjrZAAAACgEAAA8AAAAAAAAA&#10;AQAgAAAAIgAAAGRycy9kb3ducmV2LnhtbFBLAQIUABQAAAAIAIdO4kA0mUBqEAIAADoEAAAOAAAA&#10;AAAAAAEAIAAAACgBAABkcnMvZTJvRG9jLnhtbFBLBQYAAAAABgAGAFkBAACqBQAAAAA=&#10;">
                <v:fill on="t" focussize="0,0"/>
                <v:stroke weight="2pt" color="#000000" joinstyle="round"/>
                <v:imagedata o:title=""/>
                <o:lock v:ext="edit" aspectratio="f"/>
                <v:textbo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eastAsia="宋体"/>
                          <w:b/>
                          <w:bCs/>
                          <w:color w:val="000000" w:themeColor="text1"/>
                          <w:sz w:val="24"/>
                          <w:szCs w:val="32"/>
                          <w:lang w:eastAsia="zh-CN"/>
                          <w14:textFill>
                            <w14:solidFill>
                              <w14:schemeClr w14:val="tx1"/>
                            </w14:solidFill>
                          </w14:textFill>
                        </w:rPr>
                        <w:t>厂区位置</w:t>
                      </w:r>
                    </w:p>
                    <w:p>
                      <w:pPr>
                        <w:spacing w:line="360" w:lineRule="auto"/>
                        <w:ind w:firstLine="0" w:firstLineChars="0"/>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声</w:t>
                      </w:r>
                      <w:r>
                        <w:rPr>
                          <w:rFonts w:hint="eastAsia"/>
                          <w:b/>
                          <w:bCs/>
                          <w:color w:val="000000" w:themeColor="text1"/>
                          <w:sz w:val="24"/>
                          <w:szCs w:val="32"/>
                          <w14:textFill>
                            <w14:solidFill>
                              <w14:schemeClr w14:val="tx1"/>
                            </w14:solidFill>
                          </w14:textFill>
                        </w:rPr>
                        <w:t>环境评价范围</w:t>
                      </w:r>
                    </w:p>
                    <w:p>
                      <w:pPr>
                        <w:spacing w:line="360" w:lineRule="auto"/>
                        <w:ind w:firstLine="0" w:firstLineChars="0"/>
                        <w:rPr>
                          <w:b/>
                          <w:bCs/>
                          <w:color w:val="000000" w:themeColor="text1"/>
                          <w:sz w:val="24"/>
                          <w:szCs w:val="32"/>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土壤</w:t>
                      </w:r>
                      <w:r>
                        <w:rPr>
                          <w:rFonts w:hint="eastAsia"/>
                          <w:b/>
                          <w:bCs/>
                          <w:color w:val="000000" w:themeColor="text1"/>
                          <w:sz w:val="24"/>
                          <w:szCs w:val="32"/>
                          <w14:textFill>
                            <w14:solidFill>
                              <w14:schemeClr w14:val="tx1"/>
                            </w14:solidFill>
                          </w14:textFill>
                        </w:rPr>
                        <w:t>环境评价范围</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20704" behindDoc="0" locked="0" layoutInCell="1" allowOverlap="1">
                <wp:simplePos x="0" y="0"/>
                <wp:positionH relativeFrom="column">
                  <wp:posOffset>3236595</wp:posOffset>
                </wp:positionH>
                <wp:positionV relativeFrom="paragraph">
                  <wp:posOffset>1576705</wp:posOffset>
                </wp:positionV>
                <wp:extent cx="1671955" cy="1844040"/>
                <wp:effectExtent l="12700" t="12700" r="29845" b="29210"/>
                <wp:wrapNone/>
                <wp:docPr id="57" name="任意多边形 57"/>
                <wp:cNvGraphicFramePr/>
                <a:graphic xmlns:a="http://schemas.openxmlformats.org/drawingml/2006/main">
                  <a:graphicData uri="http://schemas.microsoft.com/office/word/2010/wordprocessingShape">
                    <wps:wsp>
                      <wps:cNvSpPr/>
                      <wps:spPr>
                        <a:xfrm>
                          <a:off x="4288790" y="2775585"/>
                          <a:ext cx="1671955" cy="1844040"/>
                        </a:xfrm>
                        <a:custGeom>
                          <a:avLst/>
                          <a:gdLst>
                            <a:gd name="connisteX0" fmla="*/ 0 w 1780540"/>
                            <a:gd name="connsiteY0" fmla="*/ 241935 h 1883410"/>
                            <a:gd name="connisteX1" fmla="*/ 175895 w 1780540"/>
                            <a:gd name="connsiteY1" fmla="*/ 1355725 h 1883410"/>
                            <a:gd name="connisteX2" fmla="*/ 381000 w 1780540"/>
                            <a:gd name="connsiteY2" fmla="*/ 1326515 h 1883410"/>
                            <a:gd name="connisteX3" fmla="*/ 622935 w 1780540"/>
                            <a:gd name="connsiteY3" fmla="*/ 1883410 h 1883410"/>
                            <a:gd name="connisteX4" fmla="*/ 1597025 w 1780540"/>
                            <a:gd name="connsiteY4" fmla="*/ 1581785 h 1883410"/>
                            <a:gd name="connisteX5" fmla="*/ 1501775 w 1780540"/>
                            <a:gd name="connsiteY5" fmla="*/ 1200785 h 1883410"/>
                            <a:gd name="connisteX6" fmla="*/ 1780540 w 1780540"/>
                            <a:gd name="connsiteY6" fmla="*/ 1157605 h 1883410"/>
                            <a:gd name="connisteX7" fmla="*/ 1538605 w 1780540"/>
                            <a:gd name="connsiteY7" fmla="*/ 0 h 1883410"/>
                            <a:gd name="connisteX8" fmla="*/ 0 w 1780540"/>
                            <a:gd name="connsiteY8" fmla="*/ 241935 h 18834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780540" h="1883410">
                              <a:moveTo>
                                <a:pt x="0" y="241935"/>
                              </a:moveTo>
                              <a:lnTo>
                                <a:pt x="175895" y="1355725"/>
                              </a:lnTo>
                              <a:lnTo>
                                <a:pt x="381000" y="1326515"/>
                              </a:lnTo>
                              <a:lnTo>
                                <a:pt x="622935" y="1883410"/>
                              </a:lnTo>
                              <a:lnTo>
                                <a:pt x="1597025" y="1581785"/>
                              </a:lnTo>
                              <a:lnTo>
                                <a:pt x="1501775" y="1200785"/>
                              </a:lnTo>
                              <a:lnTo>
                                <a:pt x="1780540" y="1157605"/>
                              </a:lnTo>
                              <a:lnTo>
                                <a:pt x="1538605" y="0"/>
                              </a:lnTo>
                              <a:lnTo>
                                <a:pt x="0" y="241935"/>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54.85pt;margin-top:124.15pt;height:145.2pt;width:131.65pt;z-index:251720704;mso-width-relative:page;mso-height-relative:page;" filled="f" stroked="t" coordsize="1780540,1883410" o:gfxdata="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Lel/urbAAAACwEAAA8AAAAAAAAAAQAgAAAAIgAAAGRycy9kb3ducmV2LnhtbFBLAQIU&#10;ABQAAAAIAIdO4kBOLt6juAMAAKULAAAOAAAAAAAAAAEAIAAAACoBAABkcnMvZTJvRG9jLnhtbFBL&#10;BQYAAAAABgAGAFkBAABUBwAAAAA=&#10;" path="m0,241935l175895,1355725,381000,1326515,622935,1883410,1597025,1581785,1501775,1200785,1780540,1157605,1538605,0,0,241935xe">
                <v:path o:connectlocs="0,236877;165168,1327385;357764,1298786;584945,1844040;1499631,1548720;1410190,1175684;1671955,1133406;1444774,0;0,236877" o:connectangles="0,0,0,0,0,0,0,0,0"/>
                <v:fill on="f" focussize="0,0"/>
                <v:stroke weight="2pt" color="#00B050 [3204]" joinstyle="round"/>
                <v:imagedata o:title=""/>
                <o:lock v:ext="edit" aspectratio="f"/>
              </v:shape>
            </w:pict>
          </mc:Fallback>
        </mc:AlternateContent>
      </w:r>
      <w:r>
        <w:rPr>
          <w:rFonts w:hint="default" w:ascii="Times New Roman" w:hAnsi="Times New Roman" w:eastAsia="宋体" w:cs="Times New Roman"/>
          <w:b/>
          <w:bCs/>
          <w:color w:val="auto"/>
          <w:sz w:val="24"/>
          <w:szCs w:val="32"/>
          <w:lang w:val="en-US" w:eastAsia="zh-CN"/>
        </w:rPr>
        <w:drawing>
          <wp:inline distT="0" distB="0" distL="114300" distR="114300">
            <wp:extent cx="6186170" cy="4932045"/>
            <wp:effectExtent l="0" t="0" r="5080" b="1905"/>
            <wp:docPr id="52" name="图片 52" descr="屏幕截图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屏幕截图33333333"/>
                    <pic:cNvPicPr>
                      <a:picLocks noChangeAspect="1"/>
                    </pic:cNvPicPr>
                  </pic:nvPicPr>
                  <pic:blipFill>
                    <a:blip r:embed="rId17"/>
                    <a:stretch>
                      <a:fillRect/>
                    </a:stretch>
                  </pic:blipFill>
                  <pic:spPr>
                    <a:xfrm>
                      <a:off x="0" y="0"/>
                      <a:ext cx="6186170" cy="4932045"/>
                    </a:xfrm>
                    <a:prstGeom prst="rect">
                      <a:avLst/>
                    </a:prstGeom>
                  </pic:spPr>
                </pic:pic>
              </a:graphicData>
            </a:graphic>
          </wp:inline>
        </w:drawing>
      </w:r>
    </w:p>
    <w:p>
      <w:pPr>
        <w:shd w:val="clear"/>
        <w:jc w:val="center"/>
        <w:rPr>
          <w:rFonts w:hint="default" w:ascii="Times New Roman" w:hAnsi="Times New Roman" w:eastAsia="宋体" w:cs="Times New Roman"/>
          <w:b/>
          <w:bCs/>
          <w:color w:val="auto"/>
          <w:sz w:val="24"/>
          <w:szCs w:val="32"/>
          <w:highlight w:val="none"/>
          <w:lang w:val="en-US" w:eastAsia="zh-CN"/>
        </w:rPr>
        <w:sectPr>
          <w:pgSz w:w="16840" w:h="11907" w:orient="landscape"/>
          <w:pgMar w:top="1797" w:right="1440" w:bottom="1797" w:left="1440" w:header="851" w:footer="992" w:gutter="0"/>
          <w:pgNumType w:fmt="decimal"/>
          <w:cols w:space="425" w:num="1"/>
          <w:docGrid w:type="linesAndChars" w:linePitch="312" w:charSpace="0"/>
        </w:sectPr>
      </w:pPr>
      <w:r>
        <w:rPr>
          <w:rFonts w:hint="default" w:ascii="Times New Roman" w:hAnsi="Times New Roman" w:eastAsia="宋体" w:cs="Times New Roman"/>
          <w:b/>
          <w:bCs/>
          <w:color w:val="auto"/>
          <w:sz w:val="24"/>
          <w:szCs w:val="32"/>
          <w:highlight w:val="none"/>
          <w:lang w:eastAsia="zh-CN"/>
        </w:rPr>
        <w:t>图</w:t>
      </w:r>
      <w:r>
        <w:rPr>
          <w:rFonts w:hint="default" w:ascii="Times New Roman" w:hAnsi="Times New Roman" w:eastAsia="宋体" w:cs="Times New Roman"/>
          <w:b/>
          <w:bCs/>
          <w:color w:val="auto"/>
          <w:sz w:val="24"/>
          <w:szCs w:val="32"/>
          <w:highlight w:val="none"/>
          <w:lang w:val="en-US" w:eastAsia="zh-CN"/>
        </w:rPr>
        <w:t>2.8-2    声环境、土壤环境保护目标图</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783168" behindDoc="0" locked="0" layoutInCell="1" allowOverlap="1">
                <wp:simplePos x="0" y="0"/>
                <wp:positionH relativeFrom="column">
                  <wp:posOffset>3476625</wp:posOffset>
                </wp:positionH>
                <wp:positionV relativeFrom="paragraph">
                  <wp:posOffset>4180840</wp:posOffset>
                </wp:positionV>
                <wp:extent cx="845185" cy="424815"/>
                <wp:effectExtent l="0" t="0" r="0" b="0"/>
                <wp:wrapNone/>
                <wp:docPr id="74" name="矩形 74"/>
                <wp:cNvGraphicFramePr/>
                <a:graphic xmlns:a="http://schemas.openxmlformats.org/drawingml/2006/main">
                  <a:graphicData uri="http://schemas.microsoft.com/office/word/2010/wordprocessingShape">
                    <wps:wsp>
                      <wps:cNvSpPr/>
                      <wps:spPr>
                        <a:xfrm>
                          <a:off x="0" y="0"/>
                          <a:ext cx="845185" cy="424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000000" w:themeColor="text1"/>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b/>
                                <w:bCs/>
                                <w:color w:val="000000" w:themeColor="text1"/>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4.1km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75pt;margin-top:329.2pt;height:33.45pt;width:66.55pt;z-index:251783168;v-text-anchor:middle;mso-width-relative:page;mso-height-relative:page;" filled="f" stroked="f" coordsize="21600,21600" o:gfxdata="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SFHrdoAAAAL&#10;AQAADwAAAAAAAAABACAAAAAiAAAAZHJzL2Rvd25yZXYueG1sUEsBAhQAFAAAAAgAh07iQOrvtwhT&#10;AgAAlwQAAA4AAAAAAAAAAQAgAAAAKQEAAGRycy9lMm9Eb2MueG1sUEsFBgAAAAAGAAYAWQEAAO4F&#10;AAAAAA==&#10;">
                <v:fill on="f" focussize="0,0"/>
                <v:stroke on="f" weight="2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000000" w:themeColor="text1"/>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b/>
                          <w:bCs/>
                          <w:color w:val="000000" w:themeColor="text1"/>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4.1km</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82144" behindDoc="0" locked="0" layoutInCell="1" allowOverlap="1">
                <wp:simplePos x="0" y="0"/>
                <wp:positionH relativeFrom="column">
                  <wp:posOffset>3519170</wp:posOffset>
                </wp:positionH>
                <wp:positionV relativeFrom="paragraph">
                  <wp:posOffset>4339590</wp:posOffset>
                </wp:positionV>
                <wp:extent cx="256540" cy="351790"/>
                <wp:effectExtent l="0" t="0" r="10160" b="10160"/>
                <wp:wrapNone/>
                <wp:docPr id="73" name="直接箭头连接符 73"/>
                <wp:cNvGraphicFramePr/>
                <a:graphic xmlns:a="http://schemas.openxmlformats.org/drawingml/2006/main">
                  <a:graphicData uri="http://schemas.microsoft.com/office/word/2010/wordprocessingShape">
                    <wps:wsp>
                      <wps:cNvCnPr/>
                      <wps:spPr>
                        <a:xfrm>
                          <a:off x="4667250" y="5260975"/>
                          <a:ext cx="256540" cy="351790"/>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1pt;margin-top:341.7pt;height:27.7pt;width:20.2pt;z-index:251782144;mso-width-relative:page;mso-height-relative:page;" filled="f" stroked="t" coordsize="21600,21600" o:gfxdata="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CXdE3wAAAAsBAAAPAAAAAAAAAAEAIAAAACIAAABkcnMvZG93bnJldi54bWxQSwECFAAUAAAA&#10;CACHTuJAYnx2+iACAAAdBAAADgAAAAAAAAABACAAAAAuAQAAZHJzL2Uyb0RvYy54bWxQSwUGAAAA&#10;AAYABgBZAQAAwAUAAAAA&#10;">
                <v:fill on="f" focussize="0,0"/>
                <v:stroke weight="1pt" color="#000000 [3213]" joinstyle="round" startarrow="block" endarrow="block"/>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81120" behindDoc="0" locked="0" layoutInCell="1" allowOverlap="1">
                <wp:simplePos x="0" y="0"/>
                <wp:positionH relativeFrom="column">
                  <wp:posOffset>3382645</wp:posOffset>
                </wp:positionH>
                <wp:positionV relativeFrom="paragraph">
                  <wp:posOffset>4651375</wp:posOffset>
                </wp:positionV>
                <wp:extent cx="845185" cy="424815"/>
                <wp:effectExtent l="0" t="0" r="0" b="0"/>
                <wp:wrapNone/>
                <wp:docPr id="67" name="矩形 67"/>
                <wp:cNvGraphicFramePr/>
                <a:graphic xmlns:a="http://schemas.openxmlformats.org/drawingml/2006/main">
                  <a:graphicData uri="http://schemas.microsoft.com/office/word/2010/wordprocessingShape">
                    <wps:wsp>
                      <wps:cNvSpPr/>
                      <wps:spPr>
                        <a:xfrm>
                          <a:off x="0" y="0"/>
                          <a:ext cx="845185" cy="424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宋体"/>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35pt;margin-top:366.25pt;height:33.45pt;width:66.55pt;z-index:251781120;v-text-anchor:middle;mso-width-relative:page;mso-height-relative:page;" filled="f" stroked="f" coordsize="21600,21600" o:gfxdata="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Dl1m9oAAAAL&#10;AQAADwAAAAAAAAABACAAAAAiAAAAZHJzL2Rvd25yZXYueG1sUEsBAhQAFAAAAAgAh07iQHrrRcdT&#10;AgAAlwQAAA4AAAAAAAAAAQAgAAAAKQEAAGRycy9lMm9Eb2MueG1sUEsFBgAAAAAGAAYAWQEAAO4F&#10;AAAAAA==&#10;">
                <v:fill on="f" focussize="0,0"/>
                <v:stroke on="f" weight="2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宋体"/>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80096" behindDoc="0" locked="0" layoutInCell="1" allowOverlap="1">
                <wp:simplePos x="0" y="0"/>
                <wp:positionH relativeFrom="column">
                  <wp:posOffset>3778885</wp:posOffset>
                </wp:positionH>
                <wp:positionV relativeFrom="paragraph">
                  <wp:posOffset>4681220</wp:posOffset>
                </wp:positionV>
                <wp:extent cx="71755" cy="71755"/>
                <wp:effectExtent l="12700" t="12700" r="29845" b="29845"/>
                <wp:wrapNone/>
                <wp:docPr id="61" name="矩形 61"/>
                <wp:cNvGraphicFramePr/>
                <a:graphic xmlns:a="http://schemas.openxmlformats.org/drawingml/2006/main">
                  <a:graphicData uri="http://schemas.microsoft.com/office/word/2010/wordprocessingShape">
                    <wps:wsp>
                      <wps:cNvSpPr/>
                      <wps:spPr>
                        <a:xfrm>
                          <a:off x="4709795" y="5357495"/>
                          <a:ext cx="71755" cy="7175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7.55pt;margin-top:368.6pt;height:5.65pt;width:5.65pt;z-index:251780096;v-text-anchor:middle;mso-width-relative:page;mso-height-relative:page;" fillcolor="#FF0000" filled="t" stroked="t" coordsize="21600,21600" o:gfxdata="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I3L/NsAAAALAQAADwAAAAAAAAABACAAAAAiAAAAZHJzL2Rvd25y&#10;ZXYueG1sUEsBAhQAFAAAAAgAh07iQOUp6GptAgAA6AQAAA4AAAAAAAAAAQAgAAAAKgEAAGRycy9l&#10;Mm9Eb2MueG1sUEsFBgAAAAAGAAYAWQEAAAkGAAAAAA==&#10;">
                <v:fill on="t" focussize="0,0"/>
                <v:stroke weight="2pt" color="#000000 [3213]" joinstyle="round"/>
                <v:imagedata o:title=""/>
                <o:lock v:ext="edit" aspectratio="f"/>
              </v:rect>
            </w:pict>
          </mc:Fallback>
        </mc:AlternateContent>
      </w:r>
      <w:r>
        <w:rPr>
          <w:rFonts w:hint="default" w:ascii="Times New Roman" w:hAnsi="Times New Roman" w:eastAsia="宋体" w:cs="Times New Roman"/>
          <w:b/>
          <w:bCs/>
          <w:color w:val="auto"/>
          <w:highlight w:val="none"/>
          <w:lang w:eastAsia="zh-CN"/>
        </w:rPr>
        <w:drawing>
          <wp:inline distT="0" distB="0" distL="114300" distR="114300">
            <wp:extent cx="5238750" cy="7400925"/>
            <wp:effectExtent l="0" t="0" r="0" b="9525"/>
            <wp:docPr id="58" name="图片 58" descr="微信图片_2021112217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11122174345"/>
                    <pic:cNvPicPr>
                      <a:picLocks noChangeAspect="1"/>
                    </pic:cNvPicPr>
                  </pic:nvPicPr>
                  <pic:blipFill>
                    <a:blip r:embed="rId19"/>
                    <a:stretch>
                      <a:fillRect/>
                    </a:stretch>
                  </pic:blipFill>
                  <pic:spPr>
                    <a:xfrm>
                      <a:off x="0" y="0"/>
                      <a:ext cx="5238750" cy="7400925"/>
                    </a:xfrm>
                    <a:prstGeom prst="rect">
                      <a:avLst/>
                    </a:prstGeom>
                  </pic:spPr>
                </pic:pic>
              </a:graphicData>
            </a:graphic>
          </wp:inline>
        </w:drawing>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图</w:t>
      </w:r>
      <w:r>
        <w:rPr>
          <w:rFonts w:hint="default" w:ascii="Times New Roman" w:hAnsi="Times New Roman" w:eastAsia="宋体" w:cs="Times New Roman"/>
          <w:b/>
          <w:bCs/>
          <w:color w:val="auto"/>
          <w:szCs w:val="24"/>
          <w:highlight w:val="none"/>
          <w:lang w:val="en-US" w:eastAsia="zh-CN"/>
        </w:rPr>
        <w:t>2.8</w:t>
      </w:r>
      <w:r>
        <w:rPr>
          <w:rFonts w:hint="default" w:ascii="Times New Roman" w:hAnsi="Times New Roman" w:eastAsia="宋体" w:cs="Times New Roman"/>
          <w:b/>
          <w:bCs/>
          <w:color w:val="auto"/>
          <w:szCs w:val="24"/>
          <w:highlight w:val="none"/>
          <w:lang w:eastAsia="zh-CN"/>
        </w:rPr>
        <w:t>-</w:t>
      </w:r>
      <w:r>
        <w:rPr>
          <w:rFonts w:hint="default" w:ascii="Times New Roman" w:hAnsi="Times New Roman" w:eastAsia="宋体" w:cs="Times New Roman"/>
          <w:b/>
          <w:bCs/>
          <w:color w:val="auto"/>
          <w:szCs w:val="24"/>
          <w:highlight w:val="none"/>
          <w:lang w:val="en-US" w:eastAsia="zh-CN"/>
        </w:rPr>
        <w:t>3</w:t>
      </w:r>
      <w:r>
        <w:rPr>
          <w:rFonts w:hint="default" w:ascii="Times New Roman" w:hAnsi="Times New Roman" w:eastAsia="宋体" w:cs="Times New Roman"/>
          <w:b/>
          <w:bCs/>
          <w:color w:val="auto"/>
          <w:szCs w:val="24"/>
          <w:highlight w:val="none"/>
          <w:lang w:eastAsia="zh-CN"/>
        </w:rPr>
        <w:t xml:space="preserve">  本项目与乌梁素海湿地水禽自然保护区位置关系图</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color w:val="auto"/>
          <w:szCs w:val="24"/>
          <w:highlight w:val="none"/>
        </w:rPr>
        <w:sectPr>
          <w:pgSz w:w="11907" w:h="16840"/>
          <w:pgMar w:top="1440" w:right="1797" w:bottom="1440" w:left="1797" w:header="851" w:footer="992" w:gutter="0"/>
          <w:pgNumType w:fmt="decimal"/>
          <w:cols w:space="425" w:num="1"/>
          <w:titlePg/>
          <w:docGrid w:type="linesAndChars" w:linePitch="312" w:charSpace="0"/>
        </w:sectPr>
      </w:pPr>
    </w:p>
    <w:p>
      <w:pPr>
        <w:pStyle w:val="4"/>
        <w:keepNext w:val="0"/>
        <w:pageBreakBefore/>
        <w:shd w:val="clear"/>
        <w:spacing w:before="120" w:after="120" w:line="360" w:lineRule="auto"/>
        <w:rPr>
          <w:rFonts w:hint="default" w:ascii="Times New Roman" w:hAnsi="Times New Roman" w:eastAsia="宋体" w:cs="Times New Roman"/>
          <w:color w:val="auto"/>
          <w:szCs w:val="28"/>
          <w:highlight w:val="none"/>
        </w:rPr>
      </w:pPr>
      <w:bookmarkStart w:id="133" w:name="_Toc30767"/>
      <w:bookmarkStart w:id="134" w:name="_Toc327383063"/>
      <w:bookmarkStart w:id="135" w:name="_Toc464475336"/>
      <w:r>
        <w:rPr>
          <w:rFonts w:hint="default" w:ascii="Times New Roman" w:hAnsi="Times New Roman" w:eastAsia="宋体" w:cs="Times New Roman"/>
          <w:color w:val="auto"/>
          <w:szCs w:val="28"/>
          <w:highlight w:val="none"/>
        </w:rPr>
        <w:t>3工程概况及工程分析</w:t>
      </w:r>
      <w:bookmarkEnd w:id="133"/>
      <w:bookmarkEnd w:id="134"/>
      <w:bookmarkEnd w:id="135"/>
    </w:p>
    <w:p>
      <w:pPr>
        <w:pStyle w:val="5"/>
        <w:shd w:val="clear"/>
        <w:spacing w:before="60" w:after="60" w:line="360" w:lineRule="auto"/>
        <w:rPr>
          <w:rFonts w:hint="default" w:ascii="Times New Roman" w:hAnsi="Times New Roman" w:eastAsia="宋体" w:cs="Times New Roman"/>
          <w:color w:val="auto"/>
          <w:highlight w:val="none"/>
        </w:rPr>
      </w:pPr>
      <w:bookmarkStart w:id="136" w:name="_Toc27527"/>
      <w:bookmarkStart w:id="137" w:name="_Toc243119307"/>
      <w:r>
        <w:rPr>
          <w:rFonts w:hint="default" w:ascii="Times New Roman" w:hAnsi="Times New Roman" w:eastAsia="宋体" w:cs="Times New Roman"/>
          <w:color w:val="auto"/>
          <w:highlight w:val="none"/>
        </w:rPr>
        <w:t>3.1建设项目概况</w:t>
      </w:r>
      <w:bookmarkEnd w:id="136"/>
    </w:p>
    <w:p>
      <w:pPr>
        <w:pStyle w:val="6"/>
        <w:keepLines w:val="0"/>
        <w:shd w:val="clea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3.1.1项目基本情况</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项目名称：</w:t>
      </w:r>
      <w:r>
        <w:rPr>
          <w:rFonts w:hint="default" w:ascii="Times New Roman" w:hAnsi="Times New Roman" w:eastAsia="宋体" w:cs="Times New Roman"/>
          <w:color w:val="auto"/>
          <w:sz w:val="24"/>
          <w:szCs w:val="24"/>
          <w:highlight w:val="none"/>
          <w:lang w:eastAsia="zh-CN"/>
        </w:rPr>
        <w:t>内蒙古华伟泽农业有限公司高新滴灌带（管）、PE管材管件、地膜、再生资源回收利用建设项目</w:t>
      </w:r>
      <w:r>
        <w:rPr>
          <w:rFonts w:hint="default" w:ascii="Times New Roman" w:hAnsi="Times New Roman" w:eastAsia="宋体" w:cs="Times New Roman"/>
          <w:color w:val="auto"/>
          <w:sz w:val="24"/>
          <w:szCs w:val="24"/>
          <w:highlight w:val="none"/>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建设性质：新建；</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eastAsia="zh-CN"/>
        </w:rPr>
        <w:t>内蒙古华伟泽农业有限公司</w:t>
      </w:r>
      <w:r>
        <w:rPr>
          <w:rFonts w:hint="default" w:ascii="Times New Roman" w:hAnsi="Times New Roman" w:eastAsia="宋体" w:cs="Times New Roman"/>
          <w:color w:val="auto"/>
          <w:sz w:val="24"/>
          <w:szCs w:val="24"/>
          <w:highlight w:val="none"/>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建设地点：</w:t>
      </w:r>
      <w:r>
        <w:rPr>
          <w:rFonts w:hint="default" w:ascii="Times New Roman" w:hAnsi="Times New Roman" w:eastAsia="宋体" w:cs="Times New Roman"/>
          <w:color w:val="auto"/>
          <w:sz w:val="24"/>
          <w:szCs w:val="24"/>
          <w:highlight w:val="none"/>
          <w:lang w:val="en-US" w:eastAsia="zh-CN"/>
        </w:rPr>
        <w:t>乌拉特前旗额尔登布拉格苏木旧乡政府院内</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32"/>
          <w:highlight w:val="none"/>
        </w:rPr>
        <w:t>地理坐标为E</w:t>
      </w: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46.66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32"/>
          <w:highlight w:val="none"/>
        </w:rPr>
        <w:t>，N</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25.55</w:t>
      </w:r>
      <w:r>
        <w:rPr>
          <w:rFonts w:hint="default" w:ascii="Times New Roman" w:hAnsi="Times New Roman" w:eastAsia="宋体" w:cs="Times New Roman"/>
          <w:color w:val="auto"/>
          <w:sz w:val="24"/>
          <w:szCs w:val="24"/>
          <w:highlight w:val="none"/>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表3.1-1    界址点坐标表 </w:t>
      </w:r>
    </w:p>
    <w:tbl>
      <w:tblPr>
        <w:tblStyle w:val="9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7"/>
        <w:gridCol w:w="2741"/>
        <w:gridCol w:w="2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点号</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X</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4525133.540</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36576929.159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J2</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4525153.351</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36577014.131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J3</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4525086.715</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36577028.053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J4</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4525089.077</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36576995.950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J5</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4525070.973</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36576994.723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J6</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4525070.728</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36576998.057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J7</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4525038.720</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36576995.670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J8</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4525011.138</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36576998.970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J9</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4525004.847</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36576985.170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J10</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4525076.592</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36576965.730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J11</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4525072.995</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36576944.433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4525133.540</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36576929.159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3"/>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注：大地2000坐标系</w:t>
            </w:r>
          </w:p>
        </w:tc>
      </w:tr>
    </w:tbl>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）厂区情况：本项目位于乌拉特前旗额尔登布拉格苏木旧乡政府院内，</w:t>
      </w:r>
      <w:r>
        <w:rPr>
          <w:rFonts w:hint="default" w:ascii="Times New Roman" w:hAnsi="Times New Roman" w:eastAsia="宋体" w:cs="Times New Roman"/>
          <w:color w:val="auto"/>
          <w:sz w:val="24"/>
          <w:szCs w:val="24"/>
          <w:highlight w:val="none"/>
          <w:lang w:val="en-US" w:eastAsia="zh-CN"/>
        </w:rPr>
        <w:t>总占地面积7056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目前院内北部现有</w:t>
      </w:r>
      <w:r>
        <w:rPr>
          <w:rFonts w:hint="default" w:ascii="Times New Roman" w:hAnsi="Times New Roman" w:eastAsia="宋体" w:cs="Times New Roman"/>
          <w:color w:val="auto"/>
          <w:sz w:val="24"/>
          <w:szCs w:val="24"/>
          <w:highlight w:val="none"/>
          <w:lang w:val="en-US" w:eastAsia="zh-CN"/>
        </w:rPr>
        <w:t>1座360m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单层砖混结构的办公室，</w:t>
      </w:r>
      <w:r>
        <w:rPr>
          <w:rFonts w:hint="default" w:ascii="Times New Roman" w:hAnsi="Times New Roman" w:eastAsia="宋体" w:cs="Times New Roman"/>
          <w:color w:val="auto"/>
          <w:sz w:val="24"/>
          <w:szCs w:val="24"/>
          <w:highlight w:val="none"/>
          <w:lang w:eastAsia="zh-CN"/>
        </w:rPr>
        <w:t>院内东部现有</w:t>
      </w:r>
      <w:r>
        <w:rPr>
          <w:rFonts w:hint="default" w:ascii="Times New Roman" w:hAnsi="Times New Roman" w:eastAsia="宋体" w:cs="Times New Roman"/>
          <w:color w:val="auto"/>
          <w:sz w:val="24"/>
          <w:szCs w:val="24"/>
          <w:highlight w:val="none"/>
          <w:lang w:val="en-US" w:eastAsia="zh-CN"/>
        </w:rPr>
        <w:t>1座800m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单层砖混结构的1#厂房，</w:t>
      </w:r>
      <w:r>
        <w:rPr>
          <w:rFonts w:hint="default" w:ascii="Times New Roman" w:hAnsi="Times New Roman" w:eastAsia="宋体" w:cs="Times New Roman"/>
          <w:color w:val="auto"/>
          <w:sz w:val="24"/>
          <w:szCs w:val="24"/>
          <w:highlight w:val="none"/>
          <w:lang w:eastAsia="zh-CN"/>
        </w:rPr>
        <w:t>院内西部现有</w:t>
      </w:r>
      <w:r>
        <w:rPr>
          <w:rFonts w:hint="default" w:ascii="Times New Roman" w:hAnsi="Times New Roman" w:eastAsia="宋体" w:cs="Times New Roman"/>
          <w:color w:val="auto"/>
          <w:sz w:val="24"/>
          <w:szCs w:val="24"/>
          <w:highlight w:val="none"/>
          <w:lang w:val="en-US" w:eastAsia="zh-CN"/>
        </w:rPr>
        <w:t>1座600m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单层砖混结构的2#厂房</w:t>
      </w:r>
      <w:r>
        <w:rPr>
          <w:rFonts w:hint="default" w:ascii="Times New Roman" w:hAnsi="Times New Roman" w:eastAsia="宋体" w:cs="Times New Roman"/>
          <w:color w:val="auto"/>
          <w:sz w:val="24"/>
          <w:szCs w:val="24"/>
          <w:highlight w:val="none"/>
          <w:lang w:eastAsia="zh-CN"/>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工程投资：总投资</w:t>
      </w:r>
      <w:r>
        <w:rPr>
          <w:rFonts w:hint="default" w:ascii="Times New Roman" w:hAnsi="Times New Roman" w:eastAsia="宋体"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rPr>
        <w:t>万元，其中环保投资</w:t>
      </w:r>
      <w:r>
        <w:rPr>
          <w:rFonts w:hint="default" w:ascii="Times New Roman" w:hAnsi="Times New Roman" w:eastAsia="宋体" w:cs="Times New Roman"/>
          <w:color w:val="auto"/>
          <w:kern w:val="0"/>
          <w:sz w:val="24"/>
          <w:szCs w:val="24"/>
          <w:highlight w:val="none"/>
          <w:lang w:val="en-US" w:eastAsia="zh-CN"/>
        </w:rPr>
        <w:t>42.2</w:t>
      </w:r>
      <w:r>
        <w:rPr>
          <w:rFonts w:hint="default" w:ascii="Times New Roman" w:hAnsi="Times New Roman" w:eastAsia="宋体" w:cs="Times New Roman"/>
          <w:color w:val="auto"/>
          <w:sz w:val="24"/>
          <w:szCs w:val="24"/>
          <w:highlight w:val="none"/>
        </w:rPr>
        <w:t>万元，占总投资的</w:t>
      </w:r>
      <w:r>
        <w:rPr>
          <w:rFonts w:hint="default" w:ascii="Times New Roman" w:hAnsi="Times New Roman" w:eastAsia="宋体" w:cs="Times New Roman"/>
          <w:color w:val="auto"/>
          <w:kern w:val="0"/>
          <w:sz w:val="24"/>
          <w:szCs w:val="24"/>
          <w:highlight w:val="none"/>
          <w:lang w:val="en-US" w:eastAsia="zh-CN"/>
        </w:rPr>
        <w:t>28.1</w:t>
      </w:r>
      <w:r>
        <w:rPr>
          <w:rFonts w:hint="default" w:ascii="Times New Roman" w:hAnsi="Times New Roman" w:eastAsia="宋体" w:cs="Times New Roman"/>
          <w:color w:val="auto"/>
          <w:sz w:val="24"/>
          <w:szCs w:val="24"/>
          <w:highlight w:val="none"/>
        </w:rPr>
        <w:t>%。</w:t>
      </w:r>
    </w:p>
    <w:p>
      <w:pPr>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建设内容：</w:t>
      </w: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利用厂区内现有的</w:t>
      </w:r>
      <w:r>
        <w:rPr>
          <w:rFonts w:hint="default" w:ascii="Times New Roman" w:hAnsi="Times New Roman" w:eastAsia="宋体" w:cs="Times New Roman"/>
          <w:color w:val="auto"/>
          <w:sz w:val="24"/>
          <w:szCs w:val="24"/>
          <w:highlight w:val="none"/>
          <w:lang w:val="en-US" w:eastAsia="zh-CN"/>
        </w:rPr>
        <w:t>1座办公室和2座厂房进行建设。</w:t>
      </w:r>
    </w:p>
    <w:p>
      <w:pPr>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利用院内东部现有</w:t>
      </w:r>
      <w:r>
        <w:rPr>
          <w:rFonts w:hint="default" w:ascii="Times New Roman" w:hAnsi="Times New Roman" w:eastAsia="宋体" w:cs="Times New Roman"/>
          <w:color w:val="auto"/>
          <w:sz w:val="24"/>
          <w:szCs w:val="24"/>
          <w:highlight w:val="none"/>
          <w:lang w:val="en-US" w:eastAsia="zh-CN"/>
        </w:rPr>
        <w:t>1座800m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单层砖混结构的1#厂房作为本项目的塑料制品生产车间；</w:t>
      </w:r>
      <w:r>
        <w:rPr>
          <w:rFonts w:hint="default" w:ascii="Times New Roman" w:hAnsi="Times New Roman" w:eastAsia="宋体" w:cs="Times New Roman"/>
          <w:color w:val="auto"/>
          <w:sz w:val="24"/>
          <w:szCs w:val="24"/>
          <w:highlight w:val="none"/>
          <w:lang w:eastAsia="zh-CN"/>
        </w:rPr>
        <w:t>利用院内西部现有</w:t>
      </w:r>
      <w:r>
        <w:rPr>
          <w:rFonts w:hint="default" w:ascii="Times New Roman" w:hAnsi="Times New Roman" w:eastAsia="宋体" w:cs="Times New Roman"/>
          <w:color w:val="auto"/>
          <w:sz w:val="24"/>
          <w:szCs w:val="24"/>
          <w:highlight w:val="none"/>
          <w:lang w:val="en-US" w:eastAsia="zh-CN"/>
        </w:rPr>
        <w:t>1座600m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单层砖混结构的2#厂房作为本项目的造粒生产车间</w:t>
      </w:r>
      <w:r>
        <w:rPr>
          <w:rFonts w:hint="default" w:ascii="Times New Roman" w:hAnsi="Times New Roman" w:eastAsia="宋体" w:cs="Times New Roman"/>
          <w:color w:val="auto"/>
          <w:sz w:val="24"/>
          <w:szCs w:val="24"/>
          <w:highlight w:val="none"/>
          <w:lang w:eastAsia="zh-CN"/>
        </w:rPr>
        <w:t>；新建</w:t>
      </w:r>
      <w:r>
        <w:rPr>
          <w:rFonts w:hint="default" w:ascii="Times New Roman" w:hAnsi="Times New Roman" w:eastAsia="宋体" w:cs="Times New Roman"/>
          <w:color w:val="auto"/>
          <w:sz w:val="24"/>
          <w:szCs w:val="24"/>
          <w:highlight w:val="none"/>
          <w:lang w:val="en-US" w:eastAsia="zh-CN"/>
        </w:rPr>
        <w:t>1座500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vertAlign w:val="baseline"/>
        </w:rPr>
        <w:t>全封闭单层彩钢结构</w:t>
      </w:r>
      <w:r>
        <w:rPr>
          <w:rFonts w:hint="default" w:ascii="Times New Roman" w:hAnsi="Times New Roman" w:eastAsia="宋体" w:cs="Times New Roman"/>
          <w:color w:val="auto"/>
          <w:sz w:val="24"/>
          <w:szCs w:val="24"/>
          <w:highlight w:val="none"/>
          <w:vertAlign w:val="baseline"/>
          <w:lang w:eastAsia="zh-CN"/>
        </w:rPr>
        <w:t>的原材料库</w:t>
      </w:r>
      <w:r>
        <w:rPr>
          <w:rFonts w:hint="default" w:ascii="Times New Roman" w:hAnsi="Times New Roman" w:eastAsia="宋体" w:cs="Times New Roman"/>
          <w:color w:val="auto"/>
          <w:sz w:val="24"/>
          <w:szCs w:val="24"/>
          <w:highlight w:val="none"/>
        </w:rPr>
        <w:t>和</w:t>
      </w:r>
      <w:r>
        <w:rPr>
          <w:rFonts w:hint="default" w:ascii="Times New Roman" w:hAnsi="Times New Roman" w:eastAsia="宋体" w:cs="Times New Roman"/>
          <w:color w:val="auto"/>
          <w:sz w:val="24"/>
          <w:szCs w:val="24"/>
          <w:highlight w:val="none"/>
          <w:lang w:val="en-US" w:eastAsia="zh-CN"/>
        </w:rPr>
        <w:t>1座300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vertAlign w:val="baseline"/>
        </w:rPr>
        <w:t>全封闭单层彩钢结构</w:t>
      </w:r>
      <w:r>
        <w:rPr>
          <w:rFonts w:hint="default" w:ascii="Times New Roman" w:hAnsi="Times New Roman" w:eastAsia="宋体" w:cs="Times New Roman"/>
          <w:color w:val="auto"/>
          <w:sz w:val="24"/>
          <w:szCs w:val="24"/>
          <w:highlight w:val="none"/>
          <w:vertAlign w:val="baseline"/>
          <w:lang w:eastAsia="zh-CN"/>
        </w:rPr>
        <w:t>的成品库</w:t>
      </w:r>
      <w:r>
        <w:rPr>
          <w:rFonts w:hint="default" w:ascii="Times New Roman" w:hAnsi="Times New Roman" w:eastAsia="宋体" w:cs="Times New Roman"/>
          <w:color w:val="auto"/>
          <w:sz w:val="24"/>
          <w:szCs w:val="24"/>
          <w:highlight w:val="none"/>
          <w:lang w:val="en-US" w:eastAsia="zh-CN"/>
        </w:rPr>
        <w:t>。</w:t>
      </w:r>
    </w:p>
    <w:p>
      <w:pPr>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主要建设2条再生塑料颗粒生产线，</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条滴灌带生产线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4条PE管材管件生产线、2条地膜生产线以及配套的环保工程等。</w:t>
      </w:r>
    </w:p>
    <w:p>
      <w:pPr>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）生产规模：</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建成后，</w:t>
      </w:r>
      <w:r>
        <w:rPr>
          <w:rFonts w:hint="default" w:ascii="Times New Roman" w:hAnsi="Times New Roman" w:eastAsia="宋体" w:cs="Times New Roman"/>
          <w:color w:val="auto"/>
          <w:sz w:val="24"/>
          <w:szCs w:val="24"/>
          <w:highlight w:val="none"/>
        </w:rPr>
        <w:t>年回收</w:t>
      </w:r>
      <w:r>
        <w:rPr>
          <w:rFonts w:hint="default" w:ascii="Times New Roman" w:hAnsi="Times New Roman" w:eastAsia="宋体" w:cs="Times New Roman"/>
          <w:color w:val="auto"/>
          <w:sz w:val="24"/>
          <w:szCs w:val="24"/>
          <w:highlight w:val="none"/>
          <w:lang w:eastAsia="zh-CN"/>
        </w:rPr>
        <w:t>处理</w:t>
      </w:r>
      <w:r>
        <w:rPr>
          <w:rFonts w:hint="default" w:ascii="Times New Roman" w:hAnsi="Times New Roman" w:eastAsia="宋体" w:cs="Times New Roman"/>
          <w:color w:val="auto"/>
          <w:sz w:val="24"/>
          <w:szCs w:val="24"/>
          <w:highlight w:val="none"/>
        </w:rPr>
        <w:t>废旧塑料</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000吨</w:t>
      </w:r>
      <w:r>
        <w:rPr>
          <w:rFonts w:hint="default" w:ascii="Times New Roman" w:hAnsi="Times New Roman" w:eastAsia="宋体" w:cs="Times New Roman"/>
          <w:color w:val="auto"/>
          <w:sz w:val="24"/>
          <w:szCs w:val="24"/>
          <w:highlight w:val="none"/>
          <w:lang w:eastAsia="zh-CN"/>
        </w:rPr>
        <w:t>，制得再生聚乙烯颗粒；再外购聚乙烯颗粒和双抗色母粒作为损失料的补充，可</w:t>
      </w:r>
      <w:r>
        <w:rPr>
          <w:rFonts w:hint="default" w:ascii="Times New Roman" w:hAnsi="Times New Roman" w:eastAsia="宋体" w:cs="Times New Roman"/>
          <w:color w:val="auto"/>
          <w:sz w:val="24"/>
          <w:szCs w:val="24"/>
          <w:highlight w:val="none"/>
        </w:rPr>
        <w:t>年生产滴灌带5000t，年生产地膜2000t，年生产PE管材管件2000t。</w:t>
      </w:r>
    </w:p>
    <w:p>
      <w:pPr>
        <w:pStyle w:val="6"/>
        <w:keepLines w:val="0"/>
        <w:shd w:val="clea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3.1.2项目组成</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本工程主要建设内容和组成情况见表3.1-</w:t>
      </w:r>
      <w:r>
        <w:rPr>
          <w:rFonts w:hint="default"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rPr>
        <w:t>，主要经济技术指标见表3.1-</w:t>
      </w:r>
      <w:r>
        <w:rPr>
          <w:rFonts w:hint="default" w:ascii="Times New Roman" w:hAnsi="Times New Roman" w:eastAsia="宋体"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表3.1-</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 xml:space="preserve">   本工程组成一览表</w:t>
      </w:r>
    </w:p>
    <w:tbl>
      <w:tblPr>
        <w:tblStyle w:val="90"/>
        <w:tblW w:w="827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689"/>
        <w:gridCol w:w="5748"/>
        <w:gridCol w:w="115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项目组成</w:t>
            </w: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工程名称</w:t>
            </w:r>
          </w:p>
        </w:tc>
        <w:tc>
          <w:tcPr>
            <w:tcW w:w="283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工程内容及规模</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主体工程</w:t>
            </w: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位于厂区</w:t>
            </w:r>
            <w:r>
              <w:rPr>
                <w:rFonts w:hint="default" w:ascii="Times New Roman" w:hAnsi="Times New Roman" w:eastAsia="宋体" w:cs="Times New Roman"/>
                <w:color w:val="auto"/>
                <w:kern w:val="0"/>
                <w:sz w:val="21"/>
                <w:szCs w:val="21"/>
                <w:highlight w:val="none"/>
                <w:lang w:eastAsia="zh-CN"/>
              </w:rPr>
              <w:t>西</w:t>
            </w:r>
            <w:r>
              <w:rPr>
                <w:rFonts w:hint="default" w:ascii="Times New Roman" w:hAnsi="Times New Roman" w:eastAsia="宋体" w:cs="Times New Roman"/>
                <w:color w:val="auto"/>
                <w:kern w:val="0"/>
                <w:sz w:val="21"/>
                <w:szCs w:val="21"/>
                <w:highlight w:val="none"/>
              </w:rPr>
              <w:t>部，建筑面积</w:t>
            </w:r>
            <w:r>
              <w:rPr>
                <w:rFonts w:hint="default"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rPr>
              <w:t>00m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全封闭单</w:t>
            </w:r>
            <w:r>
              <w:rPr>
                <w:rFonts w:hint="default" w:ascii="Times New Roman" w:hAnsi="Times New Roman" w:eastAsia="宋体" w:cs="Times New Roman"/>
                <w:color w:val="auto"/>
                <w:kern w:val="0"/>
                <w:sz w:val="21"/>
                <w:szCs w:val="21"/>
                <w:highlight w:val="none"/>
              </w:rPr>
              <w:t>层彩钢结构，内设2条再生塑料颗粒生产线，包括破碎、清洗、挤塑、冷却、切粒等工序</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lang w:val="en-US" w:eastAsia="zh-CN"/>
              </w:rPr>
              <w:t>地面采用混凝土硬化</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利用现有生产厂房，生产设备新建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塑料制品生产车间</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位于厂区</w:t>
            </w:r>
            <w:r>
              <w:rPr>
                <w:rFonts w:hint="default" w:ascii="Times New Roman" w:hAnsi="Times New Roman" w:eastAsia="宋体" w:cs="Times New Roman"/>
                <w:color w:val="auto"/>
                <w:kern w:val="0"/>
                <w:sz w:val="21"/>
                <w:szCs w:val="21"/>
                <w:highlight w:val="none"/>
                <w:lang w:eastAsia="zh-CN"/>
              </w:rPr>
              <w:t>东</w:t>
            </w:r>
            <w:r>
              <w:rPr>
                <w:rFonts w:hint="default" w:ascii="Times New Roman" w:hAnsi="Times New Roman" w:eastAsia="宋体" w:cs="Times New Roman"/>
                <w:color w:val="auto"/>
                <w:kern w:val="0"/>
                <w:sz w:val="21"/>
                <w:szCs w:val="21"/>
                <w:highlight w:val="none"/>
              </w:rPr>
              <w:t>部，建筑面积</w:t>
            </w:r>
            <w:r>
              <w:rPr>
                <w:rFonts w:hint="default" w:ascii="Times New Roman" w:hAnsi="Times New Roman" w:eastAsia="宋体" w:cs="Times New Roman"/>
                <w:color w:val="auto"/>
                <w:kern w:val="0"/>
                <w:sz w:val="21"/>
                <w:szCs w:val="21"/>
                <w:highlight w:val="none"/>
                <w:lang w:val="en-US" w:eastAsia="zh-CN"/>
              </w:rPr>
              <w:t>800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全封闭单</w:t>
            </w:r>
            <w:r>
              <w:rPr>
                <w:rFonts w:hint="default" w:ascii="Times New Roman" w:hAnsi="Times New Roman" w:eastAsia="宋体" w:cs="Times New Roman"/>
                <w:color w:val="auto"/>
                <w:kern w:val="0"/>
                <w:sz w:val="21"/>
                <w:szCs w:val="21"/>
                <w:highlight w:val="none"/>
              </w:rPr>
              <w:t>层彩钢结构，内设6条滴灌带生产线，4条PE管材管件生产线和2条地膜生产线</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包括</w:t>
            </w:r>
            <w:r>
              <w:rPr>
                <w:rFonts w:hint="default" w:ascii="Times New Roman" w:hAnsi="Times New Roman" w:eastAsia="宋体" w:cs="Times New Roman"/>
                <w:color w:val="auto"/>
                <w:kern w:val="0"/>
                <w:sz w:val="21"/>
                <w:szCs w:val="21"/>
                <w:highlight w:val="none"/>
                <w:lang w:eastAsia="zh-CN"/>
              </w:rPr>
              <w:t>混料、</w:t>
            </w:r>
            <w:r>
              <w:rPr>
                <w:rFonts w:hint="default" w:ascii="Times New Roman" w:hAnsi="Times New Roman" w:eastAsia="宋体" w:cs="Times New Roman"/>
                <w:color w:val="auto"/>
                <w:kern w:val="0"/>
                <w:sz w:val="21"/>
                <w:szCs w:val="21"/>
                <w:highlight w:val="none"/>
              </w:rPr>
              <w:t>上料、挤出、冷却、成型等工序</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地面采用混凝土硬化</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利用现有生产厂房，生产设备新建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辅助工程</w:t>
            </w: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原材料库</w:t>
            </w:r>
          </w:p>
        </w:tc>
        <w:tc>
          <w:tcPr>
            <w:tcW w:w="2835" w:type="dxa"/>
            <w:shd w:val="clear" w:color="auto" w:fill="auto"/>
            <w:vAlign w:val="bottom"/>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位于厂区</w:t>
            </w:r>
            <w:r>
              <w:rPr>
                <w:rFonts w:hint="default" w:ascii="Times New Roman" w:hAnsi="Times New Roman" w:eastAsia="宋体" w:cs="Times New Roman"/>
                <w:color w:val="auto"/>
                <w:kern w:val="0"/>
                <w:sz w:val="21"/>
                <w:szCs w:val="21"/>
                <w:highlight w:val="none"/>
                <w:lang w:eastAsia="zh-CN"/>
              </w:rPr>
              <w:t>西</w:t>
            </w:r>
            <w:r>
              <w:rPr>
                <w:rFonts w:hint="default" w:ascii="Times New Roman" w:hAnsi="Times New Roman" w:eastAsia="宋体" w:cs="Times New Roman"/>
                <w:color w:val="auto"/>
                <w:kern w:val="0"/>
                <w:sz w:val="21"/>
                <w:szCs w:val="21"/>
                <w:highlight w:val="none"/>
              </w:rPr>
              <w:t>部，造粒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南侧，</w:t>
            </w:r>
            <w:r>
              <w:rPr>
                <w:rFonts w:hint="default" w:ascii="Times New Roman" w:hAnsi="Times New Roman" w:eastAsia="宋体" w:cs="Times New Roman"/>
                <w:color w:val="auto"/>
                <w:kern w:val="0"/>
                <w:sz w:val="21"/>
                <w:szCs w:val="21"/>
                <w:highlight w:val="none"/>
              </w:rPr>
              <w:t>建筑面积</w:t>
            </w:r>
            <w:r>
              <w:rPr>
                <w:rFonts w:hint="default"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00m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全封闭单</w:t>
            </w:r>
            <w:r>
              <w:rPr>
                <w:rFonts w:hint="default" w:ascii="Times New Roman" w:hAnsi="Times New Roman" w:eastAsia="宋体" w:cs="Times New Roman"/>
                <w:color w:val="auto"/>
                <w:kern w:val="0"/>
                <w:sz w:val="21"/>
                <w:szCs w:val="21"/>
                <w:highlight w:val="none"/>
              </w:rPr>
              <w:t>层彩钢结构，用于废滴灌带、水带、地膜及棚膜</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外购聚乙烯颗粒</w:t>
            </w:r>
            <w:r>
              <w:rPr>
                <w:rFonts w:hint="default" w:ascii="Times New Roman" w:hAnsi="Times New Roman" w:eastAsia="宋体" w:cs="Times New Roman"/>
                <w:color w:val="auto"/>
                <w:kern w:val="0"/>
                <w:sz w:val="21"/>
                <w:szCs w:val="21"/>
                <w:highlight w:val="none"/>
                <w:lang w:eastAsia="zh-CN"/>
              </w:rPr>
              <w:t>、双抗色母粒</w:t>
            </w:r>
            <w:r>
              <w:rPr>
                <w:rFonts w:hint="default" w:ascii="Times New Roman" w:hAnsi="Times New Roman" w:eastAsia="宋体" w:cs="Times New Roman"/>
                <w:color w:val="auto"/>
                <w:kern w:val="0"/>
                <w:sz w:val="21"/>
                <w:szCs w:val="21"/>
                <w:highlight w:val="none"/>
                <w:lang w:val="en-US" w:eastAsia="zh-CN"/>
              </w:rPr>
              <w:t>等原料</w:t>
            </w:r>
            <w:r>
              <w:rPr>
                <w:rFonts w:hint="default" w:ascii="Times New Roman" w:hAnsi="Times New Roman" w:eastAsia="宋体" w:cs="Times New Roman"/>
                <w:color w:val="auto"/>
                <w:kern w:val="0"/>
                <w:sz w:val="21"/>
                <w:szCs w:val="21"/>
                <w:highlight w:val="none"/>
              </w:rPr>
              <w:t>存储</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lang w:val="en-US" w:eastAsia="zh-CN"/>
              </w:rPr>
              <w:t>地面采用混凝土硬化</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成品库</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位于厂区</w:t>
            </w:r>
            <w:r>
              <w:rPr>
                <w:rFonts w:hint="default" w:ascii="Times New Roman" w:hAnsi="Times New Roman" w:eastAsia="宋体" w:cs="Times New Roman"/>
                <w:color w:val="auto"/>
                <w:kern w:val="0"/>
                <w:sz w:val="21"/>
                <w:szCs w:val="21"/>
                <w:highlight w:val="none"/>
                <w:lang w:eastAsia="zh-CN"/>
              </w:rPr>
              <w:t>东</w:t>
            </w:r>
            <w:r>
              <w:rPr>
                <w:rFonts w:hint="default" w:ascii="Times New Roman" w:hAnsi="Times New Roman" w:eastAsia="宋体" w:cs="Times New Roman"/>
                <w:color w:val="auto"/>
                <w:kern w:val="0"/>
                <w:sz w:val="21"/>
                <w:szCs w:val="21"/>
                <w:highlight w:val="none"/>
              </w:rPr>
              <w:t>部，</w:t>
            </w:r>
            <w:r>
              <w:rPr>
                <w:rFonts w:hint="default" w:ascii="Times New Roman" w:hAnsi="Times New Roman" w:eastAsia="宋体" w:cs="Times New Roman"/>
                <w:color w:val="auto"/>
                <w:kern w:val="0"/>
                <w:sz w:val="21"/>
                <w:szCs w:val="21"/>
                <w:highlight w:val="none"/>
                <w:lang w:eastAsia="zh-CN"/>
              </w:rPr>
              <w:t>塑料制品生产车间北侧，</w:t>
            </w:r>
            <w:r>
              <w:rPr>
                <w:rFonts w:hint="default" w:ascii="Times New Roman" w:hAnsi="Times New Roman" w:eastAsia="宋体" w:cs="Times New Roman"/>
                <w:color w:val="auto"/>
                <w:kern w:val="0"/>
                <w:sz w:val="21"/>
                <w:szCs w:val="21"/>
                <w:highlight w:val="none"/>
              </w:rPr>
              <w:t>建筑面积</w:t>
            </w:r>
            <w:r>
              <w:rPr>
                <w:rFonts w:hint="default" w:ascii="Times New Roman" w:hAnsi="Times New Roman" w:eastAsia="宋体" w:cs="Times New Roman"/>
                <w:color w:val="auto"/>
                <w:kern w:val="0"/>
                <w:sz w:val="21"/>
                <w:szCs w:val="21"/>
                <w:highlight w:val="none"/>
                <w:lang w:val="en-US" w:eastAsia="zh-CN"/>
              </w:rPr>
              <w:t>300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全封闭单</w:t>
            </w:r>
            <w:r>
              <w:rPr>
                <w:rFonts w:hint="default" w:ascii="Times New Roman" w:hAnsi="Times New Roman" w:eastAsia="宋体" w:cs="Times New Roman"/>
                <w:color w:val="auto"/>
                <w:kern w:val="0"/>
                <w:sz w:val="21"/>
                <w:szCs w:val="21"/>
                <w:highlight w:val="none"/>
              </w:rPr>
              <w:t>层彩钢结构，用于成品储存</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lang w:val="en-US" w:eastAsia="zh-CN"/>
              </w:rPr>
              <w:t>地面采用混凝土硬化</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一般固废暂存间</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位于厂区</w:t>
            </w:r>
            <w:r>
              <w:rPr>
                <w:rFonts w:hint="default" w:ascii="Times New Roman" w:hAnsi="Times New Roman" w:eastAsia="宋体" w:cs="Times New Roman"/>
                <w:color w:val="auto"/>
                <w:kern w:val="0"/>
                <w:sz w:val="21"/>
                <w:szCs w:val="21"/>
                <w:highlight w:val="none"/>
                <w:lang w:eastAsia="zh-CN"/>
              </w:rPr>
              <w:t>东</w:t>
            </w:r>
            <w:r>
              <w:rPr>
                <w:rFonts w:hint="default" w:ascii="Times New Roman" w:hAnsi="Times New Roman" w:eastAsia="宋体" w:cs="Times New Roman"/>
                <w:color w:val="auto"/>
                <w:kern w:val="0"/>
                <w:sz w:val="21"/>
                <w:szCs w:val="21"/>
                <w:highlight w:val="none"/>
              </w:rPr>
              <w:t>部，</w:t>
            </w:r>
            <w:r>
              <w:rPr>
                <w:rFonts w:hint="default" w:ascii="Times New Roman" w:hAnsi="Times New Roman" w:eastAsia="宋体" w:cs="Times New Roman"/>
                <w:color w:val="auto"/>
                <w:kern w:val="0"/>
                <w:sz w:val="21"/>
                <w:szCs w:val="21"/>
                <w:highlight w:val="none"/>
                <w:lang w:eastAsia="zh-CN"/>
              </w:rPr>
              <w:t>塑料制品生产车间南侧，</w:t>
            </w:r>
            <w:r>
              <w:rPr>
                <w:rFonts w:hint="default" w:ascii="Times New Roman" w:hAnsi="Times New Roman" w:eastAsia="宋体" w:cs="Times New Roman"/>
                <w:color w:val="auto"/>
                <w:kern w:val="0"/>
                <w:sz w:val="21"/>
                <w:szCs w:val="21"/>
                <w:highlight w:val="none"/>
              </w:rPr>
              <w:t>建筑面积</w:t>
            </w:r>
            <w:r>
              <w:rPr>
                <w:rFonts w:hint="default"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，全封闭单层彩钢结构</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lang w:val="en-US" w:eastAsia="zh-CN"/>
              </w:rPr>
              <w:t>地面进行防渗，采用混凝土+渗透结晶型防水剂铺设，属于一般防渗区，渗透系数≤10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危废暂存间</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位于厂区</w:t>
            </w:r>
            <w:r>
              <w:rPr>
                <w:rFonts w:hint="default" w:ascii="Times New Roman" w:hAnsi="Times New Roman" w:eastAsia="宋体" w:cs="Times New Roman"/>
                <w:color w:val="auto"/>
                <w:kern w:val="0"/>
                <w:sz w:val="21"/>
                <w:szCs w:val="21"/>
                <w:highlight w:val="none"/>
                <w:lang w:eastAsia="zh-CN"/>
              </w:rPr>
              <w:t>东</w:t>
            </w:r>
            <w:r>
              <w:rPr>
                <w:rFonts w:hint="default" w:ascii="Times New Roman" w:hAnsi="Times New Roman" w:eastAsia="宋体" w:cs="Times New Roman"/>
                <w:color w:val="auto"/>
                <w:kern w:val="0"/>
                <w:sz w:val="21"/>
                <w:szCs w:val="21"/>
                <w:highlight w:val="none"/>
              </w:rPr>
              <w:t>部，一般固废暂存间</w:t>
            </w:r>
            <w:r>
              <w:rPr>
                <w:rFonts w:hint="default" w:ascii="Times New Roman" w:hAnsi="Times New Roman" w:eastAsia="宋体" w:cs="Times New Roman"/>
                <w:color w:val="auto"/>
                <w:kern w:val="0"/>
                <w:sz w:val="21"/>
                <w:szCs w:val="21"/>
                <w:highlight w:val="none"/>
                <w:lang w:eastAsia="zh-CN"/>
              </w:rPr>
              <w:t>南侧，</w:t>
            </w:r>
            <w:r>
              <w:rPr>
                <w:rFonts w:hint="default" w:ascii="Times New Roman" w:hAnsi="Times New Roman" w:eastAsia="宋体" w:cs="Times New Roman"/>
                <w:color w:val="auto"/>
                <w:kern w:val="0"/>
                <w:sz w:val="21"/>
                <w:szCs w:val="21"/>
                <w:highlight w:val="none"/>
              </w:rPr>
              <w:t>建筑面积10m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全封闭单</w:t>
            </w:r>
            <w:r>
              <w:rPr>
                <w:rFonts w:hint="default" w:ascii="Times New Roman" w:hAnsi="Times New Roman" w:eastAsia="宋体" w:cs="Times New Roman"/>
                <w:color w:val="auto"/>
                <w:kern w:val="0"/>
                <w:sz w:val="21"/>
                <w:szCs w:val="21"/>
                <w:highlight w:val="none"/>
              </w:rPr>
              <w:t>层彩钢结构</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val="en-US" w:eastAsia="zh-CN"/>
              </w:rPr>
              <w:t>地面进行防渗，</w:t>
            </w:r>
            <w:r>
              <w:rPr>
                <w:rFonts w:hint="default" w:ascii="Times New Roman" w:hAnsi="Times New Roman" w:eastAsia="宋体" w:cs="Times New Roman"/>
                <w:color w:val="auto"/>
                <w:sz w:val="21"/>
                <w:szCs w:val="21"/>
              </w:rPr>
              <w:t>采用混凝土</w:t>
            </w:r>
            <w:r>
              <w:rPr>
                <w:rFonts w:hint="default" w:ascii="Times New Roman" w:hAnsi="Times New Roman" w:eastAsia="宋体" w:cs="Times New Roman"/>
                <w:color w:val="auto"/>
                <w:sz w:val="21"/>
                <w:szCs w:val="21"/>
                <w:lang w:val="en-US" w:eastAsia="zh-CN"/>
              </w:rPr>
              <w:t>+HDPE土工膜</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地面上整体涂刷环氧树脂地坪漆2遍，渗透系数≤1×10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default" w:ascii="Times New Roman" w:hAnsi="Times New Roman" w:eastAsia="宋体" w:cs="Times New Roman"/>
                <w:color w:val="auto"/>
                <w:sz w:val="21"/>
                <w:szCs w:val="21"/>
                <w:lang w:eastAsia="zh-CN"/>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三级沉淀池</w:t>
            </w:r>
          </w:p>
        </w:tc>
        <w:tc>
          <w:tcPr>
            <w:tcW w:w="2835" w:type="dxa"/>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rPr>
              <w:t>位于厂区</w:t>
            </w:r>
            <w:r>
              <w:rPr>
                <w:rFonts w:hint="default" w:ascii="Times New Roman" w:hAnsi="Times New Roman" w:eastAsia="宋体" w:cs="Times New Roman"/>
                <w:color w:val="auto"/>
                <w:kern w:val="0"/>
                <w:sz w:val="21"/>
                <w:szCs w:val="21"/>
                <w:highlight w:val="none"/>
                <w:lang w:eastAsia="zh-CN"/>
              </w:rPr>
              <w:t>西</w:t>
            </w:r>
            <w:r>
              <w:rPr>
                <w:rFonts w:hint="default" w:ascii="Times New Roman" w:hAnsi="Times New Roman" w:eastAsia="宋体" w:cs="Times New Roman"/>
                <w:color w:val="auto"/>
                <w:kern w:val="0"/>
                <w:sz w:val="21"/>
                <w:szCs w:val="21"/>
                <w:highlight w:val="none"/>
              </w:rPr>
              <w:t>部，造粒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西侧，设置</w:t>
            </w:r>
            <w:r>
              <w:rPr>
                <w:rFonts w:hint="default" w:ascii="Times New Roman" w:hAnsi="Times New Roman" w:eastAsia="宋体" w:cs="Times New Roman"/>
                <w:color w:val="auto"/>
                <w:kern w:val="0"/>
                <w:sz w:val="21"/>
                <w:szCs w:val="21"/>
                <w:highlight w:val="none"/>
                <w:lang w:val="en-US" w:eastAsia="zh-CN"/>
              </w:rPr>
              <w:t>1套</w:t>
            </w:r>
            <w:r>
              <w:rPr>
                <w:rFonts w:hint="default" w:ascii="Times New Roman" w:hAnsi="Times New Roman" w:eastAsia="宋体" w:cs="Times New Roman"/>
                <w:color w:val="auto"/>
                <w:sz w:val="21"/>
                <w:szCs w:val="21"/>
                <w:lang w:val="en-US" w:eastAsia="zh-CN"/>
              </w:rPr>
              <w:t>三级沉淀池（</w:t>
            </w:r>
            <w:r>
              <w:rPr>
                <w:rFonts w:hint="default" w:ascii="Times New Roman" w:hAnsi="Times New Roman" w:eastAsia="宋体" w:cs="Times New Roman"/>
                <w:color w:val="auto"/>
                <w:kern w:val="0"/>
                <w:sz w:val="21"/>
                <w:szCs w:val="21"/>
                <w:highlight w:val="none"/>
                <w:lang w:eastAsia="zh-CN"/>
              </w:rPr>
              <w:t>共</w:t>
            </w:r>
            <w:r>
              <w:rPr>
                <w:rFonts w:hint="default" w:ascii="Times New Roman" w:hAnsi="Times New Roman" w:eastAsia="宋体" w:cs="Times New Roman"/>
                <w:color w:val="auto"/>
                <w:kern w:val="0"/>
                <w:sz w:val="21"/>
                <w:szCs w:val="21"/>
                <w:highlight w:val="none"/>
                <w:lang w:val="en-US" w:eastAsia="zh-CN"/>
              </w:rPr>
              <w:t>3座</w:t>
            </w:r>
            <w:r>
              <w:rPr>
                <w:rFonts w:hint="default" w:ascii="Times New Roman" w:hAnsi="Times New Roman" w:eastAsia="宋体" w:cs="Times New Roman"/>
                <w:color w:val="auto"/>
                <w:sz w:val="21"/>
                <w:szCs w:val="21"/>
                <w:lang w:val="en-US" w:eastAsia="zh-CN"/>
              </w:rPr>
              <w:t>单池</w:t>
            </w:r>
            <w:r>
              <w:rPr>
                <w:rFonts w:hint="default" w:ascii="Times New Roman" w:hAnsi="Times New Roman" w:eastAsia="宋体" w:cs="Times New Roman"/>
                <w:color w:val="auto"/>
                <w:sz w:val="21"/>
                <w:szCs w:val="21"/>
              </w:rPr>
              <w:t>容积为</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vertAlign w:val="baseline"/>
                <w:lang w:eastAsia="zh-CN"/>
              </w:rPr>
              <w:t>的</w:t>
            </w:r>
            <w:r>
              <w:rPr>
                <w:rFonts w:hint="default" w:ascii="Times New Roman" w:hAnsi="Times New Roman" w:eastAsia="宋体" w:cs="Times New Roman"/>
                <w:color w:val="auto"/>
                <w:kern w:val="0"/>
                <w:sz w:val="21"/>
                <w:szCs w:val="21"/>
                <w:highlight w:val="none"/>
                <w:lang w:eastAsia="zh-CN"/>
              </w:rPr>
              <w:t>三级沉淀池</w:t>
            </w:r>
            <w:r>
              <w:rPr>
                <w:rFonts w:hint="default" w:ascii="Times New Roman" w:hAnsi="Times New Roman" w:eastAsia="宋体" w:cs="Times New Roman"/>
                <w:color w:val="auto"/>
                <w:sz w:val="21"/>
                <w:szCs w:val="21"/>
                <w:lang w:val="en-US" w:eastAsia="zh-CN"/>
              </w:rPr>
              <w:t>），用于收集2条再生塑料颗粒生产线湿法破碎废水、清洗废水、甩干废水、造粒冷却水，经三级沉淀池沉淀后，上清液回用于湿法破碎用水和清洗用水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1"/>
                <w:szCs w:val="21"/>
                <w:lang w:val="en-US" w:eastAsia="zh-CN"/>
              </w:rPr>
              <w:t>造粒冷却水。</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池底和池面采用混凝土+渗透结晶型防水剂铺设，属于一般防渗区，渗透系数≤10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w:t>
            </w:r>
            <w:r>
              <w:rPr>
                <w:rFonts w:hint="default" w:ascii="Times New Roman" w:hAnsi="Times New Roman" w:eastAsia="宋体" w:cs="Times New Roman"/>
                <w:color w:val="auto"/>
                <w:sz w:val="21"/>
                <w:szCs w:val="21"/>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冷却水池</w:t>
            </w:r>
          </w:p>
        </w:tc>
        <w:tc>
          <w:tcPr>
            <w:tcW w:w="2835" w:type="dxa"/>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rPr>
              <w:t>位于厂区</w:t>
            </w:r>
            <w:r>
              <w:rPr>
                <w:rFonts w:hint="default" w:ascii="Times New Roman" w:hAnsi="Times New Roman" w:eastAsia="宋体" w:cs="Times New Roman"/>
                <w:color w:val="auto"/>
                <w:kern w:val="0"/>
                <w:sz w:val="21"/>
                <w:szCs w:val="21"/>
                <w:highlight w:val="none"/>
                <w:lang w:eastAsia="zh-CN"/>
              </w:rPr>
              <w:t>东</w:t>
            </w:r>
            <w:r>
              <w:rPr>
                <w:rFonts w:hint="default" w:ascii="Times New Roman" w:hAnsi="Times New Roman" w:eastAsia="宋体" w:cs="Times New Roman"/>
                <w:color w:val="auto"/>
                <w:kern w:val="0"/>
                <w:sz w:val="21"/>
                <w:szCs w:val="21"/>
                <w:highlight w:val="none"/>
              </w:rPr>
              <w:t>部，</w:t>
            </w:r>
            <w:r>
              <w:rPr>
                <w:rFonts w:hint="default" w:ascii="Times New Roman" w:hAnsi="Times New Roman" w:eastAsia="宋体" w:cs="Times New Roman"/>
                <w:color w:val="auto"/>
                <w:kern w:val="0"/>
                <w:sz w:val="21"/>
                <w:szCs w:val="21"/>
                <w:highlight w:val="none"/>
                <w:lang w:eastAsia="zh-CN"/>
              </w:rPr>
              <w:t>塑料制品生产车间南侧，</w:t>
            </w:r>
            <w:r>
              <w:rPr>
                <w:rFonts w:hint="default" w:ascii="Times New Roman" w:hAnsi="Times New Roman" w:eastAsia="宋体" w:cs="Times New Roman"/>
                <w:color w:val="auto"/>
                <w:sz w:val="21"/>
                <w:szCs w:val="21"/>
                <w:lang w:val="en-US" w:eastAsia="zh-CN"/>
              </w:rPr>
              <w:t>设置1座</w:t>
            </w:r>
            <w:r>
              <w:rPr>
                <w:rFonts w:hint="default" w:ascii="Times New Roman" w:hAnsi="Times New Roman" w:eastAsia="宋体" w:cs="Times New Roman"/>
                <w:color w:val="auto"/>
                <w:sz w:val="21"/>
                <w:szCs w:val="21"/>
              </w:rPr>
              <w:t>容积为</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lang w:val="en-US" w:eastAsia="zh-CN"/>
              </w:rPr>
              <w:t>冷却水</w:t>
            </w:r>
            <w:r>
              <w:rPr>
                <w:rFonts w:hint="default" w:ascii="Times New Roman" w:hAnsi="Times New Roman" w:eastAsia="宋体" w:cs="Times New Roman"/>
                <w:color w:val="auto"/>
                <w:sz w:val="21"/>
                <w:szCs w:val="21"/>
              </w:rPr>
              <w:t>池，</w:t>
            </w:r>
            <w:r>
              <w:rPr>
                <w:rFonts w:hint="default" w:ascii="Times New Roman" w:hAnsi="Times New Roman" w:eastAsia="宋体" w:cs="Times New Roman"/>
                <w:color w:val="auto"/>
                <w:sz w:val="21"/>
                <w:szCs w:val="21"/>
                <w:lang w:val="en-US" w:eastAsia="zh-CN"/>
              </w:rPr>
              <w:t>用于收集6条滴灌带生产线，4条PE管材管件生产线</w:t>
            </w:r>
            <w:r>
              <w:rPr>
                <w:rFonts w:hint="default" w:ascii="Times New Roman" w:hAnsi="Times New Roman" w:eastAsia="宋体" w:cs="Times New Roman"/>
                <w:color w:val="auto"/>
                <w:sz w:val="21"/>
                <w:szCs w:val="21"/>
                <w:highlight w:val="none"/>
                <w:lang w:val="en-US" w:eastAsia="zh-CN"/>
              </w:rPr>
              <w:t>冷却水槽内废水，经风冷却塔冷却后，回用于冷却水槽内。</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池底和池面采用混凝土+渗透结晶型防水剂铺设，属于一般防渗区，渗透系数≤10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w:t>
            </w:r>
            <w:r>
              <w:rPr>
                <w:rFonts w:hint="default" w:ascii="Times New Roman" w:hAnsi="Times New Roman" w:eastAsia="宋体" w:cs="Times New Roman"/>
                <w:color w:val="auto"/>
                <w:sz w:val="21"/>
                <w:szCs w:val="21"/>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办公室</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位于厂区</w:t>
            </w:r>
            <w:r>
              <w:rPr>
                <w:rFonts w:hint="default" w:ascii="Times New Roman" w:hAnsi="Times New Roman" w:eastAsia="宋体" w:cs="Times New Roman"/>
                <w:color w:val="auto"/>
                <w:kern w:val="0"/>
                <w:sz w:val="21"/>
                <w:szCs w:val="21"/>
                <w:highlight w:val="none"/>
                <w:lang w:eastAsia="zh-CN"/>
              </w:rPr>
              <w:t>北</w:t>
            </w:r>
            <w:r>
              <w:rPr>
                <w:rFonts w:hint="default" w:ascii="Times New Roman" w:hAnsi="Times New Roman" w:eastAsia="宋体" w:cs="Times New Roman"/>
                <w:color w:val="auto"/>
                <w:kern w:val="0"/>
                <w:sz w:val="21"/>
                <w:szCs w:val="21"/>
                <w:highlight w:val="none"/>
              </w:rPr>
              <w:t>部，建筑面积</w:t>
            </w:r>
            <w:r>
              <w:rPr>
                <w:rFonts w:hint="default" w:ascii="Times New Roman" w:hAnsi="Times New Roman" w:eastAsia="宋体" w:cs="Times New Roman"/>
                <w:color w:val="auto"/>
                <w:kern w:val="0"/>
                <w:sz w:val="21"/>
                <w:szCs w:val="21"/>
                <w:highlight w:val="none"/>
                <w:lang w:val="en-US" w:eastAsia="zh-CN"/>
              </w:rPr>
              <w:t>360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，1层，砖混结构，用于人员办公。</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eastAsia="zh-CN"/>
              </w:rPr>
              <w:t>利用现有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公用</w:t>
            </w:r>
          </w:p>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工程</w:t>
            </w: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供水</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本项目生产及生活用水由</w:t>
            </w:r>
            <w:r>
              <w:rPr>
                <w:rFonts w:hint="default" w:ascii="Times New Roman" w:hAnsi="Times New Roman" w:eastAsia="宋体" w:cs="Times New Roman"/>
                <w:color w:val="auto"/>
                <w:kern w:val="0"/>
                <w:sz w:val="21"/>
                <w:szCs w:val="21"/>
                <w:highlight w:val="none"/>
                <w:lang w:eastAsia="zh-CN"/>
              </w:rPr>
              <w:t>自来水管网</w:t>
            </w:r>
            <w:r>
              <w:rPr>
                <w:rFonts w:hint="default" w:ascii="Times New Roman" w:hAnsi="Times New Roman" w:eastAsia="宋体" w:cs="Times New Roman"/>
                <w:color w:val="auto"/>
                <w:kern w:val="0"/>
                <w:sz w:val="21"/>
                <w:szCs w:val="21"/>
                <w:highlight w:val="none"/>
              </w:rPr>
              <w:t>供给。</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shd w:val="clear" w:color="auto" w:fill="auto"/>
            <w:vAlign w:val="center"/>
          </w:tcPr>
          <w:p>
            <w:pPr>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排水</w:t>
            </w:r>
          </w:p>
        </w:tc>
        <w:tc>
          <w:tcPr>
            <w:tcW w:w="2835" w:type="dxa"/>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TW"/>
              </w:rPr>
              <w:t>造粒生产车间：湿法破碎废水、清洗废水</w:t>
            </w:r>
            <w:r>
              <w:rPr>
                <w:rFonts w:hint="default" w:ascii="Times New Roman" w:hAnsi="Times New Roman" w:eastAsia="宋体" w:cs="Times New Roman"/>
                <w:color w:val="auto"/>
                <w:lang w:eastAsia="zh-CN"/>
              </w:rPr>
              <w:t>、甩干废水和</w:t>
            </w:r>
            <w:r>
              <w:rPr>
                <w:rFonts w:hint="default" w:ascii="Times New Roman" w:hAnsi="Times New Roman" w:eastAsia="宋体" w:cs="Times New Roman"/>
                <w:color w:val="auto"/>
                <w:sz w:val="21"/>
                <w:szCs w:val="21"/>
                <w:lang w:val="en-US" w:eastAsia="zh-CN"/>
              </w:rPr>
              <w:t>造粒冷却水</w:t>
            </w:r>
            <w:r>
              <w:rPr>
                <w:rFonts w:hint="default" w:ascii="Times New Roman" w:hAnsi="Times New Roman" w:eastAsia="宋体" w:cs="Times New Roman"/>
                <w:color w:val="auto"/>
                <w:lang w:eastAsia="zh-TW"/>
              </w:rPr>
              <w:t>经</w:t>
            </w:r>
            <w:r>
              <w:rPr>
                <w:rFonts w:hint="default" w:ascii="Times New Roman" w:hAnsi="Times New Roman" w:eastAsia="宋体" w:cs="Times New Roman"/>
                <w:color w:val="auto"/>
                <w:sz w:val="21"/>
                <w:szCs w:val="21"/>
                <w:lang w:val="en-US" w:eastAsia="zh-CN"/>
              </w:rPr>
              <w:t>三级沉淀池</w:t>
            </w:r>
            <w:r>
              <w:rPr>
                <w:rFonts w:hint="default" w:ascii="Times New Roman" w:hAnsi="Times New Roman" w:eastAsia="宋体" w:cs="Times New Roman"/>
                <w:color w:val="auto"/>
                <w:lang w:eastAsia="zh-TW"/>
              </w:rPr>
              <w:t>沉淀后</w:t>
            </w:r>
            <w:r>
              <w:rPr>
                <w:rFonts w:hint="default" w:ascii="Times New Roman" w:hAnsi="Times New Roman" w:eastAsia="宋体" w:cs="Times New Roman"/>
                <w:color w:val="auto"/>
                <w:lang w:eastAsia="zh-CN"/>
              </w:rPr>
              <w:t>，上清液回用于湿法破碎用水和清洗用水、</w:t>
            </w:r>
            <w:r>
              <w:rPr>
                <w:rFonts w:hint="default" w:ascii="Times New Roman" w:hAnsi="Times New Roman" w:eastAsia="宋体" w:cs="Times New Roman"/>
                <w:color w:val="auto"/>
                <w:sz w:val="21"/>
                <w:szCs w:val="21"/>
                <w:lang w:val="en-US" w:eastAsia="zh-CN"/>
              </w:rPr>
              <w:t>造粒冷却水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eastAsia="zh-TW"/>
              </w:rPr>
              <w:t>循环使用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eastAsia="zh-TW"/>
              </w:rPr>
              <w:t>不外排</w:t>
            </w:r>
            <w:r>
              <w:rPr>
                <w:rFonts w:hint="default" w:ascii="Times New Roman" w:hAnsi="Times New Roman" w:eastAsia="宋体" w:cs="Times New Roman"/>
                <w:color w:val="auto"/>
                <w:lang w:eastAsia="zh-CN"/>
              </w:rPr>
              <w:t>；</w:t>
            </w:r>
          </w:p>
          <w:p>
            <w:pPr>
              <w:keepNext w:val="0"/>
              <w:keepLines w:val="0"/>
              <w:pageBreakBefore w:val="0"/>
              <w:widowControl w:val="0"/>
              <w:shd w:val="clea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lang w:eastAsia="zh-CN"/>
              </w:rPr>
              <w:t>塑料制品生产车间：6条滴灌带生产线，4条PE管材管件生产线冷却水槽内废水收集于冷却水池，经风冷却塔冷却后，回用于冷却水槽内，</w:t>
            </w:r>
            <w:r>
              <w:rPr>
                <w:rFonts w:hint="default" w:ascii="Times New Roman" w:hAnsi="Times New Roman" w:eastAsia="宋体" w:cs="Times New Roman"/>
                <w:color w:val="auto"/>
                <w:lang w:eastAsia="zh-TW"/>
              </w:rPr>
              <w:t>循环使用，不外排</w:t>
            </w:r>
            <w:r>
              <w:rPr>
                <w:rFonts w:hint="default" w:ascii="Times New Roman" w:hAnsi="Times New Roman" w:eastAsia="宋体" w:cs="Times New Roman"/>
                <w:color w:val="auto"/>
                <w:kern w:val="0"/>
                <w:sz w:val="21"/>
                <w:szCs w:val="21"/>
                <w:highlight w:val="none"/>
                <w:lang w:eastAsia="zh-TW"/>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eastAsia="zh-CN"/>
              </w:rPr>
              <w:t>排入防渗化粪池内</w:t>
            </w:r>
            <w:r>
              <w:rPr>
                <w:rFonts w:hint="default" w:ascii="Times New Roman" w:hAnsi="Times New Roman" w:eastAsia="宋体" w:cs="Times New Roman"/>
                <w:color w:val="auto"/>
                <w:sz w:val="21"/>
                <w:szCs w:val="21"/>
                <w:highlight w:val="none"/>
                <w:lang w:val="en-US" w:eastAsia="zh-CN"/>
              </w:rPr>
              <w:t>，定期清掏</w:t>
            </w:r>
            <w:r>
              <w:rPr>
                <w:rFonts w:hint="default" w:ascii="Times New Roman" w:hAnsi="Times New Roman" w:eastAsia="宋体" w:cs="Times New Roman"/>
                <w:color w:val="auto"/>
                <w:kern w:val="0"/>
                <w:sz w:val="21"/>
                <w:szCs w:val="21"/>
                <w:highlight w:val="none"/>
                <w:lang w:val="en-US" w:eastAsia="zh-CN"/>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shd w:val="clear" w:color="auto" w:fill="auto"/>
            <w:vAlign w:val="center"/>
          </w:tcPr>
          <w:p>
            <w:pPr>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供电</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本项目所需电源由附近10kV电网供给，厂区设置一台200kV变压器，年耗电量248.4万KWh。</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采暖</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生产车间</w:t>
            </w:r>
            <w:r>
              <w:rPr>
                <w:rFonts w:hint="default" w:ascii="Times New Roman" w:hAnsi="Times New Roman" w:eastAsia="宋体" w:cs="Times New Roman"/>
                <w:color w:val="auto"/>
                <w:kern w:val="0"/>
                <w:sz w:val="21"/>
                <w:szCs w:val="21"/>
                <w:highlight w:val="none"/>
                <w:lang w:eastAsia="zh-CN"/>
              </w:rPr>
              <w:t>和</w:t>
            </w:r>
            <w:r>
              <w:rPr>
                <w:rFonts w:hint="default" w:ascii="Times New Roman" w:hAnsi="Times New Roman" w:eastAsia="宋体" w:cs="Times New Roman"/>
                <w:color w:val="auto"/>
                <w:kern w:val="0"/>
                <w:sz w:val="21"/>
                <w:szCs w:val="21"/>
                <w:highlight w:val="none"/>
              </w:rPr>
              <w:t>办公生活区</w:t>
            </w:r>
            <w:r>
              <w:rPr>
                <w:rFonts w:hint="default" w:ascii="Times New Roman" w:hAnsi="Times New Roman" w:eastAsia="宋体" w:cs="Times New Roman"/>
                <w:color w:val="auto"/>
                <w:kern w:val="0"/>
                <w:sz w:val="21"/>
                <w:szCs w:val="21"/>
                <w:highlight w:val="none"/>
                <w:lang w:eastAsia="zh-CN"/>
              </w:rPr>
              <w:t>均</w:t>
            </w:r>
            <w:r>
              <w:rPr>
                <w:rFonts w:hint="default" w:ascii="Times New Roman" w:hAnsi="Times New Roman" w:eastAsia="宋体" w:cs="Times New Roman"/>
                <w:color w:val="auto"/>
                <w:kern w:val="0"/>
                <w:sz w:val="21"/>
                <w:szCs w:val="21"/>
                <w:highlight w:val="none"/>
              </w:rPr>
              <w:t>采用电暖气供热。</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环保工程</w:t>
            </w: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废气治理</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破碎工序采取湿法破碎；</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eastAsia="zh-CN"/>
              </w:rPr>
              <w:t>造粒</w:t>
            </w:r>
            <w:r>
              <w:rPr>
                <w:rFonts w:hint="default" w:ascii="Times New Roman" w:hAnsi="Times New Roman" w:eastAsia="宋体" w:cs="Times New Roman"/>
                <w:color w:val="auto"/>
                <w:sz w:val="21"/>
                <w:szCs w:val="21"/>
                <w:highlight w:val="none"/>
                <w:lang w:eastAsia="zh-TW"/>
              </w:rPr>
              <w:t>生产车间</w:t>
            </w:r>
            <w:r>
              <w:rPr>
                <w:rFonts w:hint="default" w:ascii="Times New Roman" w:hAnsi="Times New Roman" w:eastAsia="宋体" w:cs="Times New Roman"/>
                <w:color w:val="auto"/>
                <w:sz w:val="21"/>
                <w:szCs w:val="21"/>
                <w:highlight w:val="none"/>
                <w:lang w:eastAsia="zh-CN"/>
              </w:rPr>
              <w:t>2台造粒线挤出机出口、2台切粒机出口上方各设置1套集气罩（共</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套），</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lang w:val="en-US" w:eastAsia="zh-CN"/>
              </w:rPr>
              <w:t>1套耐高温过滤棉（1#）+</w:t>
            </w:r>
            <w:r>
              <w:rPr>
                <w:rFonts w:hint="eastAsia" w:ascii="Times New Roman" w:hAnsi="Times New Roman" w:eastAsia="宋体" w:cs="Times New Roman"/>
                <w:color w:val="auto"/>
                <w:sz w:val="21"/>
                <w:szCs w:val="21"/>
                <w:highlight w:val="none"/>
                <w:lang w:eastAsia="zh-CN"/>
              </w:rPr>
              <w:t>UV光氧催化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）处理后，通过</w:t>
            </w:r>
            <w:r>
              <w:rPr>
                <w:rFonts w:hint="default" w:ascii="Times New Roman" w:hAnsi="Times New Roman" w:eastAsia="宋体" w:cs="Times New Roman"/>
                <w:color w:val="auto"/>
                <w:sz w:val="21"/>
                <w:szCs w:val="21"/>
                <w:highlight w:val="none"/>
                <w:lang w:val="en-US" w:eastAsia="zh-CN"/>
              </w:rPr>
              <w:t>1根</w:t>
            </w:r>
            <w:r>
              <w:rPr>
                <w:rFonts w:hint="default" w:ascii="Times New Roman" w:hAnsi="Times New Roman" w:eastAsia="宋体" w:cs="Times New Roman"/>
                <w:color w:val="auto"/>
                <w:sz w:val="21"/>
                <w:szCs w:val="21"/>
                <w:highlight w:val="none"/>
                <w:lang w:eastAsia="zh-CN"/>
              </w:rPr>
              <w:t>15m高排气筒（</w:t>
            </w:r>
            <w:r>
              <w:rPr>
                <w:rFonts w:hint="default" w:ascii="Times New Roman" w:hAnsi="Times New Roman" w:eastAsia="宋体" w:cs="Times New Roman"/>
                <w:color w:val="auto"/>
                <w:sz w:val="21"/>
                <w:szCs w:val="21"/>
                <w:highlight w:val="none"/>
                <w:lang w:val="en-US" w:eastAsia="zh-CN"/>
              </w:rPr>
              <w:t>P1</w:t>
            </w:r>
            <w:r>
              <w:rPr>
                <w:rFonts w:hint="default" w:ascii="Times New Roman" w:hAnsi="Times New Roman" w:eastAsia="宋体" w:cs="Times New Roman"/>
                <w:color w:val="auto"/>
                <w:sz w:val="21"/>
                <w:szCs w:val="21"/>
                <w:highlight w:val="none"/>
                <w:lang w:eastAsia="zh-CN"/>
              </w:rPr>
              <w:t>）排放；</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台滴灌带挤出机出口、</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台PE管材管件挤出机</w:t>
            </w:r>
            <w:r>
              <w:rPr>
                <w:rFonts w:hint="default" w:ascii="Times New Roman" w:hAnsi="Times New Roman" w:eastAsia="宋体" w:cs="Times New Roman"/>
                <w:color w:val="auto"/>
                <w:sz w:val="21"/>
                <w:szCs w:val="21"/>
                <w:highlight w:val="none"/>
              </w:rPr>
              <w:t>出口</w:t>
            </w:r>
            <w:r>
              <w:rPr>
                <w:rFonts w:hint="default" w:ascii="Times New Roman" w:hAnsi="Times New Roman" w:eastAsia="宋体" w:cs="Times New Roman"/>
                <w:color w:val="auto"/>
                <w:sz w:val="21"/>
                <w:szCs w:val="21"/>
                <w:highlight w:val="none"/>
                <w:lang w:eastAsia="zh-CN"/>
              </w:rPr>
              <w:t>和</w:t>
            </w:r>
            <w:r>
              <w:rPr>
                <w:rFonts w:hint="default" w:ascii="Times New Roman" w:hAnsi="Times New Roman" w:eastAsia="宋体" w:cs="Times New Roman"/>
                <w:color w:val="auto"/>
                <w:sz w:val="21"/>
                <w:szCs w:val="21"/>
                <w:highlight w:val="none"/>
                <w:lang w:val="en-US" w:eastAsia="zh-CN"/>
              </w:rPr>
              <w:t>2台地膜</w:t>
            </w:r>
            <w:r>
              <w:rPr>
                <w:rFonts w:hint="default" w:ascii="Times New Roman" w:hAnsi="Times New Roman" w:eastAsia="宋体" w:cs="Times New Roman"/>
                <w:color w:val="auto"/>
                <w:sz w:val="21"/>
                <w:szCs w:val="21"/>
                <w:highlight w:val="none"/>
                <w:lang w:eastAsia="zh-CN"/>
              </w:rPr>
              <w:t>挤出机</w:t>
            </w:r>
            <w:r>
              <w:rPr>
                <w:rFonts w:hint="default" w:ascii="Times New Roman" w:hAnsi="Times New Roman" w:eastAsia="宋体" w:cs="Times New Roman"/>
                <w:color w:val="auto"/>
                <w:sz w:val="21"/>
                <w:szCs w:val="21"/>
                <w:highlight w:val="none"/>
              </w:rPr>
              <w:t>出口</w:t>
            </w:r>
            <w:r>
              <w:rPr>
                <w:rFonts w:hint="default" w:ascii="Times New Roman" w:hAnsi="Times New Roman" w:eastAsia="宋体" w:cs="Times New Roman"/>
                <w:color w:val="auto"/>
                <w:sz w:val="21"/>
                <w:szCs w:val="21"/>
                <w:highlight w:val="none"/>
                <w:lang w:eastAsia="zh-CN"/>
              </w:rPr>
              <w:t>上方</w:t>
            </w:r>
            <w:r>
              <w:rPr>
                <w:rFonts w:hint="default" w:ascii="Times New Roman" w:hAnsi="Times New Roman" w:eastAsia="宋体" w:cs="Times New Roman"/>
                <w:color w:val="auto"/>
                <w:sz w:val="21"/>
                <w:szCs w:val="21"/>
                <w:highlight w:val="none"/>
              </w:rPr>
              <w:t>各设置1套集气罩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共</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lang w:val="en-US" w:eastAsia="zh-CN"/>
              </w:rPr>
              <w:t>1套耐高温过滤棉（2#）+</w:t>
            </w:r>
            <w:r>
              <w:rPr>
                <w:rFonts w:hint="eastAsia" w:ascii="Times New Roman" w:hAnsi="Times New Roman" w:eastAsia="宋体" w:cs="Times New Roman"/>
                <w:color w:val="auto"/>
                <w:sz w:val="21"/>
                <w:szCs w:val="21"/>
                <w:highlight w:val="none"/>
                <w:lang w:eastAsia="zh-CN"/>
              </w:rPr>
              <w:t>UV光氧催化</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rPr>
              <w:t>活性炭吸附装置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处理后</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通过</w:t>
            </w:r>
            <w:r>
              <w:rPr>
                <w:rFonts w:hint="default" w:ascii="Times New Roman" w:hAnsi="Times New Roman" w:eastAsia="宋体" w:cs="Times New Roman"/>
                <w:color w:val="auto"/>
                <w:kern w:val="0"/>
                <w:sz w:val="21"/>
                <w:szCs w:val="21"/>
                <w:highlight w:val="none"/>
                <w:lang w:val="en-US" w:eastAsia="zh-CN"/>
              </w:rPr>
              <w:t>1根</w:t>
            </w:r>
            <w:r>
              <w:rPr>
                <w:rFonts w:hint="default" w:ascii="Times New Roman" w:hAnsi="Times New Roman" w:eastAsia="宋体" w:cs="Times New Roman"/>
                <w:color w:val="auto"/>
                <w:kern w:val="0"/>
                <w:sz w:val="21"/>
                <w:szCs w:val="21"/>
                <w:highlight w:val="none"/>
              </w:rPr>
              <w:t>15m高排气筒</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P2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排放</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混料</w:t>
            </w:r>
            <w:r>
              <w:rPr>
                <w:rFonts w:hint="default" w:ascii="Times New Roman" w:hAnsi="Times New Roman" w:eastAsia="宋体" w:cs="Times New Roman"/>
                <w:color w:val="auto"/>
                <w:kern w:val="0"/>
                <w:sz w:val="21"/>
                <w:szCs w:val="21"/>
                <w:highlight w:val="none"/>
                <w:lang w:val="en-US" w:eastAsia="zh-CN"/>
              </w:rPr>
              <w:t>废气经</w:t>
            </w:r>
            <w:r>
              <w:rPr>
                <w:rFonts w:hint="default" w:ascii="Times New Roman" w:hAnsi="Times New Roman" w:eastAsia="宋体" w:cs="Times New Roman"/>
                <w:color w:val="auto"/>
                <w:kern w:val="0"/>
                <w:sz w:val="21"/>
                <w:szCs w:val="21"/>
                <w:highlight w:val="none"/>
                <w:lang w:eastAsia="zh-CN"/>
              </w:rPr>
              <w:t>除尘滤芯</w:t>
            </w:r>
            <w:r>
              <w:rPr>
                <w:rFonts w:hint="default" w:ascii="Times New Roman" w:hAnsi="Times New Roman" w:eastAsia="宋体" w:cs="Times New Roman"/>
                <w:color w:val="auto"/>
                <w:kern w:val="0"/>
                <w:sz w:val="21"/>
                <w:szCs w:val="21"/>
                <w:highlight w:val="none"/>
                <w:lang w:val="en-US" w:eastAsia="zh-CN"/>
              </w:rPr>
              <w:t>处理后，以无组织形式排放</w:t>
            </w:r>
            <w:r>
              <w:rPr>
                <w:rFonts w:hint="default" w:ascii="Times New Roman" w:hAnsi="Times New Roman" w:eastAsia="宋体" w:cs="Times New Roman"/>
                <w:color w:val="auto"/>
                <w:kern w:val="0"/>
                <w:sz w:val="21"/>
                <w:szCs w:val="21"/>
                <w:highlight w:val="none"/>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废水治理</w:t>
            </w:r>
          </w:p>
        </w:tc>
        <w:tc>
          <w:tcPr>
            <w:tcW w:w="2835" w:type="dxa"/>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TW"/>
              </w:rPr>
              <w:t>造粒生产车间：湿法破碎废水、清洗废水</w:t>
            </w:r>
            <w:r>
              <w:rPr>
                <w:rFonts w:hint="default" w:ascii="Times New Roman" w:hAnsi="Times New Roman" w:eastAsia="宋体" w:cs="Times New Roman"/>
                <w:color w:val="auto"/>
                <w:lang w:eastAsia="zh-CN"/>
              </w:rPr>
              <w:t>、甩干废水和</w:t>
            </w:r>
            <w:r>
              <w:rPr>
                <w:rFonts w:hint="default" w:ascii="Times New Roman" w:hAnsi="Times New Roman" w:eastAsia="宋体" w:cs="Times New Roman"/>
                <w:color w:val="auto"/>
                <w:sz w:val="21"/>
                <w:szCs w:val="21"/>
                <w:lang w:val="en-US" w:eastAsia="zh-CN"/>
              </w:rPr>
              <w:t>造粒冷却水</w:t>
            </w:r>
            <w:r>
              <w:rPr>
                <w:rFonts w:hint="default" w:ascii="Times New Roman" w:hAnsi="Times New Roman" w:eastAsia="宋体" w:cs="Times New Roman"/>
                <w:color w:val="auto"/>
                <w:lang w:eastAsia="zh-TW"/>
              </w:rPr>
              <w:t>经</w:t>
            </w:r>
            <w:r>
              <w:rPr>
                <w:rFonts w:hint="default" w:ascii="Times New Roman" w:hAnsi="Times New Roman" w:eastAsia="宋体" w:cs="Times New Roman"/>
                <w:color w:val="auto"/>
                <w:sz w:val="21"/>
                <w:szCs w:val="21"/>
                <w:lang w:val="en-US" w:eastAsia="zh-CN"/>
              </w:rPr>
              <w:t>三级沉淀池</w:t>
            </w:r>
            <w:r>
              <w:rPr>
                <w:rFonts w:hint="default" w:ascii="Times New Roman" w:hAnsi="Times New Roman" w:eastAsia="宋体" w:cs="Times New Roman"/>
                <w:color w:val="auto"/>
                <w:lang w:eastAsia="zh-TW"/>
              </w:rPr>
              <w:t>沉淀后</w:t>
            </w:r>
            <w:r>
              <w:rPr>
                <w:rFonts w:hint="default" w:ascii="Times New Roman" w:hAnsi="Times New Roman" w:eastAsia="宋体" w:cs="Times New Roman"/>
                <w:color w:val="auto"/>
                <w:lang w:eastAsia="zh-CN"/>
              </w:rPr>
              <w:t>，上清液回用于湿法破碎用水和清洗用水、</w:t>
            </w:r>
            <w:r>
              <w:rPr>
                <w:rFonts w:hint="default" w:ascii="Times New Roman" w:hAnsi="Times New Roman" w:eastAsia="宋体" w:cs="Times New Roman"/>
                <w:color w:val="auto"/>
                <w:sz w:val="21"/>
                <w:szCs w:val="21"/>
                <w:lang w:val="en-US" w:eastAsia="zh-CN"/>
              </w:rPr>
              <w:t>造粒冷却水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eastAsia="zh-TW"/>
              </w:rPr>
              <w:t>循环使用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eastAsia="zh-TW"/>
              </w:rPr>
              <w:t>不外排</w:t>
            </w:r>
            <w:r>
              <w:rPr>
                <w:rFonts w:hint="default" w:ascii="Times New Roman" w:hAnsi="Times New Roman" w:eastAsia="宋体" w:cs="Times New Roman"/>
                <w:color w:val="auto"/>
                <w:lang w:eastAsia="zh-CN"/>
              </w:rPr>
              <w:t>；</w:t>
            </w:r>
          </w:p>
          <w:p>
            <w:pPr>
              <w:keepNext w:val="0"/>
              <w:keepLines w:val="0"/>
              <w:pageBreakBefore w:val="0"/>
              <w:widowControl w:val="0"/>
              <w:shd w:val="clear"/>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lang w:eastAsia="zh-CN"/>
              </w:rPr>
              <w:t>塑料制品生产车间：6条滴灌带生产线，4条PE管材管件生产线冷却水槽内废水收集于冷却水池，经风冷却塔冷却后，回用于冷却水槽内，</w:t>
            </w:r>
            <w:r>
              <w:rPr>
                <w:rFonts w:hint="default" w:ascii="Times New Roman" w:hAnsi="Times New Roman" w:eastAsia="宋体" w:cs="Times New Roman"/>
                <w:color w:val="auto"/>
                <w:lang w:eastAsia="zh-TW"/>
              </w:rPr>
              <w:t>循环使用，不外排</w:t>
            </w:r>
            <w:r>
              <w:rPr>
                <w:rFonts w:hint="default" w:ascii="Times New Roman" w:hAnsi="Times New Roman" w:eastAsia="宋体" w:cs="Times New Roman"/>
                <w:color w:val="auto"/>
                <w:kern w:val="0"/>
                <w:sz w:val="21"/>
                <w:szCs w:val="21"/>
                <w:highlight w:val="none"/>
                <w:lang w:eastAsia="zh-TW"/>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eastAsia="zh-CN"/>
              </w:rPr>
              <w:t>排入防渗化粪池内</w:t>
            </w:r>
            <w:r>
              <w:rPr>
                <w:rFonts w:hint="default" w:ascii="Times New Roman" w:hAnsi="Times New Roman" w:eastAsia="宋体" w:cs="Times New Roman"/>
                <w:color w:val="auto"/>
                <w:sz w:val="21"/>
                <w:szCs w:val="21"/>
                <w:highlight w:val="none"/>
                <w:lang w:val="en-US" w:eastAsia="zh-CN"/>
              </w:rPr>
              <w:t>，定期清掏。</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噪声控制</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基础减震、柔性连接、墙体隔声。</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固体废物</w:t>
            </w: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TW"/>
              </w:rPr>
              <w:t>分拣废物</w:t>
            </w:r>
            <w:r>
              <w:rPr>
                <w:rFonts w:hint="default" w:ascii="Times New Roman" w:hAnsi="Times New Roman" w:eastAsia="宋体" w:cs="Times New Roman"/>
                <w:color w:val="auto"/>
                <w:kern w:val="0"/>
                <w:sz w:val="21"/>
                <w:szCs w:val="21"/>
                <w:highlight w:val="none"/>
                <w:lang w:eastAsia="zh-CN"/>
              </w:rPr>
              <w:t>主要成分为泥土、杂草、石头等，</w:t>
            </w:r>
            <w:r>
              <w:rPr>
                <w:rFonts w:hint="default" w:ascii="Times New Roman" w:hAnsi="Times New Roman" w:eastAsia="宋体" w:cs="Times New Roman"/>
                <w:color w:val="auto"/>
                <w:kern w:val="0"/>
                <w:sz w:val="21"/>
                <w:szCs w:val="21"/>
                <w:highlight w:val="none"/>
                <w:lang w:val="en-US" w:eastAsia="zh-CN"/>
              </w:rPr>
              <w:t>由铲车转运至</w:t>
            </w:r>
            <w:r>
              <w:rPr>
                <w:rFonts w:hint="default" w:ascii="Times New Roman" w:hAnsi="Times New Roman" w:eastAsia="宋体" w:cs="Times New Roman"/>
                <w:color w:val="auto"/>
                <w:kern w:val="0"/>
                <w:sz w:val="21"/>
                <w:szCs w:val="21"/>
                <w:highlight w:val="none"/>
                <w:lang w:eastAsia="zh-CN"/>
              </w:rPr>
              <w:t>一般固废暂存间</w:t>
            </w:r>
            <w:r>
              <w:rPr>
                <w:rFonts w:hint="default" w:ascii="Times New Roman" w:hAnsi="Times New Roman" w:eastAsia="宋体" w:cs="Times New Roman"/>
                <w:color w:val="auto"/>
                <w:kern w:val="0"/>
                <w:sz w:val="21"/>
                <w:szCs w:val="21"/>
                <w:highlight w:val="none"/>
                <w:lang w:eastAsia="zh-TW"/>
              </w:rPr>
              <w:t>内暂存，</w:t>
            </w:r>
            <w:r>
              <w:rPr>
                <w:rFonts w:hint="default" w:ascii="Times New Roman" w:hAnsi="Times New Roman" w:eastAsia="宋体" w:cs="Times New Roman"/>
                <w:color w:val="auto"/>
                <w:kern w:val="0"/>
                <w:sz w:val="21"/>
                <w:szCs w:val="21"/>
                <w:highlight w:val="none"/>
                <w:lang w:eastAsia="zh-CN"/>
              </w:rPr>
              <w:t>定期</w:t>
            </w:r>
            <w:r>
              <w:rPr>
                <w:rFonts w:hint="default" w:ascii="Times New Roman" w:hAnsi="Times New Roman" w:eastAsia="宋体" w:cs="Times New Roman"/>
                <w:color w:val="auto"/>
                <w:kern w:val="0"/>
                <w:sz w:val="21"/>
                <w:szCs w:val="21"/>
                <w:highlight w:val="none"/>
                <w:lang w:eastAsia="zh-TW"/>
              </w:rPr>
              <w:t>交由当地环卫部门清运，统一处置</w:t>
            </w:r>
            <w:r>
              <w:rPr>
                <w:rFonts w:hint="default" w:ascii="Times New Roman" w:hAnsi="Times New Roman" w:eastAsia="宋体" w:cs="Times New Roman"/>
                <w:color w:val="auto"/>
                <w:kern w:val="0"/>
                <w:sz w:val="21"/>
                <w:szCs w:val="21"/>
                <w:highlight w:val="none"/>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三级沉淀池</w:t>
            </w:r>
            <w:r>
              <w:rPr>
                <w:rFonts w:hint="default" w:ascii="Times New Roman" w:hAnsi="Times New Roman" w:eastAsia="宋体" w:cs="Times New Roman"/>
                <w:color w:val="auto"/>
                <w:kern w:val="0"/>
                <w:sz w:val="21"/>
                <w:szCs w:val="21"/>
                <w:highlight w:val="none"/>
                <w:lang w:val="en-US" w:eastAsia="zh-CN"/>
              </w:rPr>
              <w:t>每月清挖一次，</w:t>
            </w:r>
            <w:r>
              <w:rPr>
                <w:rFonts w:hint="default" w:ascii="Times New Roman" w:hAnsi="Times New Roman" w:eastAsia="宋体" w:cs="Times New Roman"/>
                <w:color w:val="auto"/>
                <w:kern w:val="0"/>
                <w:sz w:val="21"/>
                <w:szCs w:val="21"/>
                <w:highlight w:val="none"/>
              </w:rPr>
              <w:t>清挖后的</w:t>
            </w:r>
            <w:r>
              <w:rPr>
                <w:rFonts w:hint="default" w:ascii="Times New Roman" w:hAnsi="Times New Roman" w:eastAsia="宋体" w:cs="Times New Roman"/>
                <w:color w:val="auto"/>
                <w:kern w:val="0"/>
                <w:sz w:val="21"/>
                <w:szCs w:val="21"/>
                <w:highlight w:val="none"/>
                <w:lang w:eastAsia="zh-CN"/>
              </w:rPr>
              <w:t>沉渣</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由铲车转运至</w:t>
            </w:r>
            <w:r>
              <w:rPr>
                <w:rFonts w:hint="default" w:ascii="Times New Roman" w:hAnsi="Times New Roman" w:eastAsia="宋体" w:cs="Times New Roman"/>
                <w:color w:val="auto"/>
                <w:kern w:val="0"/>
                <w:sz w:val="21"/>
                <w:szCs w:val="21"/>
                <w:highlight w:val="none"/>
                <w:lang w:eastAsia="zh-CN"/>
              </w:rPr>
              <w:t>一般固废暂存间</w:t>
            </w:r>
            <w:r>
              <w:rPr>
                <w:rFonts w:hint="default" w:ascii="Times New Roman" w:hAnsi="Times New Roman" w:eastAsia="宋体" w:cs="Times New Roman"/>
                <w:color w:val="auto"/>
                <w:kern w:val="0"/>
                <w:sz w:val="21"/>
                <w:szCs w:val="21"/>
                <w:highlight w:val="none"/>
                <w:lang w:eastAsia="zh-TW"/>
              </w:rPr>
              <w:t>内暂存，</w:t>
            </w:r>
            <w:r>
              <w:rPr>
                <w:rFonts w:hint="default" w:ascii="Times New Roman" w:hAnsi="Times New Roman" w:eastAsia="宋体" w:cs="Times New Roman"/>
                <w:color w:val="auto"/>
                <w:kern w:val="0"/>
                <w:sz w:val="21"/>
                <w:szCs w:val="21"/>
                <w:highlight w:val="none"/>
                <w:lang w:eastAsia="zh-CN"/>
              </w:rPr>
              <w:t>定期</w:t>
            </w:r>
            <w:r>
              <w:rPr>
                <w:rFonts w:hint="default" w:ascii="Times New Roman" w:hAnsi="Times New Roman" w:eastAsia="宋体" w:cs="Times New Roman"/>
                <w:color w:val="auto"/>
                <w:kern w:val="0"/>
                <w:sz w:val="21"/>
                <w:szCs w:val="21"/>
                <w:highlight w:val="none"/>
                <w:lang w:eastAsia="zh-TW"/>
              </w:rPr>
              <w:t>交由当地环卫部门清运，统一处置</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eastAsia="zh-CN"/>
              </w:rPr>
              <w:t>挤出机产生的</w:t>
            </w:r>
            <w:r>
              <w:rPr>
                <w:rFonts w:hint="default" w:ascii="Times New Roman" w:hAnsi="Times New Roman" w:eastAsia="宋体" w:cs="Times New Roman"/>
                <w:color w:val="auto"/>
                <w:kern w:val="0"/>
                <w:sz w:val="21"/>
                <w:szCs w:val="21"/>
                <w:highlight w:val="none"/>
              </w:rPr>
              <w:t>废滤网属于一般固废，暂存于一般固废暂存间内，定期由厂家回收</w:t>
            </w:r>
            <w:r>
              <w:rPr>
                <w:rFonts w:hint="default" w:ascii="Times New Roman" w:hAnsi="Times New Roman" w:eastAsia="宋体" w:cs="Times New Roman"/>
                <w:color w:val="auto"/>
                <w:kern w:val="0"/>
                <w:sz w:val="21"/>
                <w:szCs w:val="21"/>
                <w:highlight w:val="none"/>
                <w:lang w:eastAsia="zh-CN"/>
              </w:rPr>
              <w:t>综合利用；</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混料工序</w:t>
            </w:r>
            <w:r>
              <w:rPr>
                <w:rFonts w:hint="default" w:ascii="Times New Roman" w:hAnsi="Times New Roman" w:eastAsia="宋体" w:cs="Times New Roman"/>
                <w:color w:val="auto"/>
                <w:kern w:val="0"/>
                <w:sz w:val="21"/>
                <w:szCs w:val="21"/>
                <w:highlight w:val="none"/>
                <w:lang w:val="en-US" w:eastAsia="zh-CN"/>
              </w:rPr>
              <w:t>收集</w:t>
            </w:r>
            <w:r>
              <w:rPr>
                <w:rFonts w:hint="default" w:ascii="Times New Roman" w:hAnsi="Times New Roman" w:eastAsia="宋体" w:cs="Times New Roman"/>
                <w:color w:val="auto"/>
                <w:kern w:val="0"/>
                <w:sz w:val="21"/>
                <w:szCs w:val="21"/>
                <w:highlight w:val="none"/>
                <w:lang w:eastAsia="zh-CN"/>
              </w:rPr>
              <w:t>的颗粒物</w:t>
            </w:r>
            <w:r>
              <w:rPr>
                <w:rFonts w:hint="default" w:ascii="Times New Roman" w:hAnsi="Times New Roman" w:eastAsia="宋体" w:cs="Times New Roman"/>
                <w:color w:val="auto"/>
                <w:kern w:val="0"/>
                <w:sz w:val="21"/>
                <w:szCs w:val="21"/>
                <w:highlight w:val="none"/>
                <w:lang w:val="en-US" w:eastAsia="zh-CN"/>
              </w:rPr>
              <w:t>采用编织袋收集，</w:t>
            </w:r>
            <w:r>
              <w:rPr>
                <w:rFonts w:hint="default" w:ascii="Times New Roman" w:hAnsi="Times New Roman" w:eastAsia="宋体" w:cs="Times New Roman"/>
                <w:color w:val="auto"/>
                <w:kern w:val="0"/>
                <w:sz w:val="21"/>
                <w:szCs w:val="21"/>
                <w:highlight w:val="none"/>
              </w:rPr>
              <w:t>暂存于一般固废暂存间内，</w:t>
            </w:r>
            <w:r>
              <w:rPr>
                <w:rFonts w:hint="default" w:ascii="Times New Roman" w:hAnsi="Times New Roman" w:eastAsia="宋体" w:cs="Times New Roman"/>
                <w:color w:val="auto"/>
                <w:kern w:val="0"/>
                <w:sz w:val="21"/>
                <w:szCs w:val="21"/>
                <w:highlight w:val="none"/>
                <w:lang w:eastAsia="zh-CN"/>
              </w:rPr>
              <w:t>回用于生产，不外排；</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废耐高温过滤棉</w:t>
            </w:r>
            <w:r>
              <w:rPr>
                <w:rFonts w:hint="default" w:ascii="Times New Roman" w:hAnsi="Times New Roman" w:eastAsia="宋体" w:cs="Times New Roman"/>
                <w:color w:val="auto"/>
                <w:kern w:val="0"/>
                <w:sz w:val="21"/>
                <w:szCs w:val="21"/>
                <w:highlight w:val="none"/>
                <w:lang w:eastAsia="zh-TW"/>
              </w:rPr>
              <w:t>属于危险废物，</w:t>
            </w:r>
            <w:r>
              <w:rPr>
                <w:rFonts w:hint="default" w:ascii="Times New Roman" w:hAnsi="Times New Roman" w:eastAsia="宋体" w:cs="Times New Roman"/>
                <w:color w:val="auto"/>
                <w:kern w:val="0"/>
                <w:sz w:val="21"/>
                <w:szCs w:val="21"/>
                <w:highlight w:val="none"/>
                <w:lang w:val="en-US" w:eastAsia="zh-CN"/>
              </w:rPr>
              <w:t>经PE桶收集，暂存于危废暂存间</w:t>
            </w:r>
            <w:r>
              <w:rPr>
                <w:rFonts w:hint="default" w:ascii="Times New Roman" w:hAnsi="Times New Roman" w:eastAsia="宋体" w:cs="Times New Roman"/>
                <w:color w:val="auto"/>
                <w:kern w:val="0"/>
                <w:sz w:val="21"/>
                <w:szCs w:val="21"/>
                <w:highlight w:val="none"/>
              </w:rPr>
              <w:t>内</w:t>
            </w:r>
            <w:r>
              <w:rPr>
                <w:rFonts w:hint="default" w:ascii="Times New Roman" w:hAnsi="Times New Roman" w:eastAsia="宋体" w:cs="Times New Roman"/>
                <w:color w:val="auto"/>
                <w:kern w:val="0"/>
                <w:sz w:val="21"/>
                <w:szCs w:val="21"/>
                <w:highlight w:val="none"/>
                <w:lang w:eastAsia="zh-CN"/>
              </w:rPr>
              <w:t>，定期</w:t>
            </w:r>
            <w:r>
              <w:rPr>
                <w:rFonts w:hint="default" w:ascii="Times New Roman" w:hAnsi="Times New Roman" w:eastAsia="宋体" w:cs="Times New Roman"/>
                <w:color w:val="auto"/>
                <w:kern w:val="0"/>
                <w:sz w:val="21"/>
                <w:szCs w:val="21"/>
                <w:highlight w:val="none"/>
                <w:lang w:eastAsia="zh-TW"/>
              </w:rPr>
              <w:t>交由有资质的单位进行处置</w:t>
            </w:r>
            <w:r>
              <w:rPr>
                <w:rFonts w:hint="default" w:ascii="Times New Roman" w:hAnsi="Times New Roman" w:eastAsia="宋体" w:cs="Times New Roman"/>
                <w:color w:val="auto"/>
                <w:kern w:val="0"/>
                <w:sz w:val="21"/>
                <w:szCs w:val="21"/>
                <w:highlight w:val="none"/>
              </w:rPr>
              <w:t>；</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废灯管属于危险废物，经PE桶收集，暂存于危废暂存间内，定期交由有资质的单位进行处置；</w:t>
            </w:r>
          </w:p>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废活性炭</w:t>
            </w:r>
            <w:r>
              <w:rPr>
                <w:rFonts w:hint="default" w:ascii="Times New Roman" w:hAnsi="Times New Roman" w:eastAsia="宋体" w:cs="Times New Roman"/>
                <w:color w:val="auto"/>
                <w:kern w:val="0"/>
                <w:sz w:val="21"/>
                <w:szCs w:val="21"/>
                <w:highlight w:val="none"/>
                <w:lang w:eastAsia="zh-TW"/>
              </w:rPr>
              <w:t>属于危险废物，</w:t>
            </w:r>
            <w:r>
              <w:rPr>
                <w:rFonts w:hint="default" w:ascii="Times New Roman" w:hAnsi="Times New Roman" w:eastAsia="宋体" w:cs="Times New Roman"/>
                <w:color w:val="auto"/>
                <w:kern w:val="0"/>
                <w:sz w:val="21"/>
                <w:szCs w:val="21"/>
                <w:highlight w:val="none"/>
                <w:lang w:val="en-US" w:eastAsia="zh-CN"/>
              </w:rPr>
              <w:t>经PE桶收集，暂存于危废暂存间</w:t>
            </w:r>
            <w:r>
              <w:rPr>
                <w:rFonts w:hint="default" w:ascii="Times New Roman" w:hAnsi="Times New Roman" w:eastAsia="宋体" w:cs="Times New Roman"/>
                <w:color w:val="auto"/>
                <w:kern w:val="0"/>
                <w:sz w:val="21"/>
                <w:szCs w:val="21"/>
                <w:highlight w:val="none"/>
              </w:rPr>
              <w:t>内</w:t>
            </w:r>
            <w:r>
              <w:rPr>
                <w:rFonts w:hint="default" w:ascii="Times New Roman" w:hAnsi="Times New Roman" w:eastAsia="宋体" w:cs="Times New Roman"/>
                <w:color w:val="auto"/>
                <w:kern w:val="0"/>
                <w:sz w:val="21"/>
                <w:szCs w:val="21"/>
                <w:highlight w:val="none"/>
                <w:lang w:eastAsia="zh-CN"/>
              </w:rPr>
              <w:t>，定期</w:t>
            </w:r>
            <w:r>
              <w:rPr>
                <w:rFonts w:hint="default" w:ascii="Times New Roman" w:hAnsi="Times New Roman" w:eastAsia="宋体" w:cs="Times New Roman"/>
                <w:color w:val="auto"/>
                <w:kern w:val="0"/>
                <w:sz w:val="21"/>
                <w:szCs w:val="21"/>
                <w:highlight w:val="none"/>
                <w:lang w:eastAsia="zh-TW"/>
              </w:rPr>
              <w:t>交由有资质的单位进行处置</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val="en-US" w:eastAsia="zh-CN"/>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40"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40"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2835"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生活垃圾由当地环卫部门处置。</w:t>
            </w:r>
          </w:p>
        </w:tc>
        <w:tc>
          <w:tcPr>
            <w:tcW w:w="567"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val="en-US" w:eastAsia="zh-CN"/>
              </w:rPr>
              <w:t>新建</w:t>
            </w:r>
          </w:p>
        </w:tc>
      </w:tr>
    </w:tbl>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表3.1-</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 xml:space="preserve">   主要经济技术指标一览表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391"/>
        <w:gridCol w:w="2009"/>
        <w:gridCol w:w="2002"/>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序号</w:t>
            </w:r>
          </w:p>
        </w:tc>
        <w:tc>
          <w:tcPr>
            <w:tcW w:w="3400"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名称</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单位</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数量或指标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1</w:t>
            </w:r>
          </w:p>
        </w:tc>
        <w:tc>
          <w:tcPr>
            <w:tcW w:w="3400"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总用地面积</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2</w:t>
            </w:r>
          </w:p>
        </w:tc>
        <w:tc>
          <w:tcPr>
            <w:tcW w:w="3400"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总建筑面积</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39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其中</w:t>
            </w: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造粒生产车间</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39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塑料制品生产车间</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39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原材料库</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39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成品库</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39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办公室</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39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一般固废暂存间</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39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危废暂存间</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3</w:t>
            </w:r>
          </w:p>
        </w:tc>
        <w:tc>
          <w:tcPr>
            <w:tcW w:w="3400"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项目总投资</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万元</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3400"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年回收废旧塑料量</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39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年外购原料</w:t>
            </w: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eastAsia="zh-TW"/>
              </w:rPr>
              <w:t>外购聚乙烯颗粒</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39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双抗色母粒</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6</w:t>
            </w:r>
          </w:p>
        </w:tc>
        <w:tc>
          <w:tcPr>
            <w:tcW w:w="139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年产量</w:t>
            </w: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滴灌带</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139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地膜</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1391"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200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PE管材管件</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w:t>
            </w:r>
          </w:p>
        </w:tc>
        <w:tc>
          <w:tcPr>
            <w:tcW w:w="200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2000</w:t>
            </w:r>
          </w:p>
        </w:tc>
      </w:tr>
    </w:tbl>
    <w:p>
      <w:pPr>
        <w:pStyle w:val="6"/>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3.1.3 建设地点</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787" w:firstLineChars="328"/>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本项目位于</w:t>
      </w:r>
      <w:r>
        <w:rPr>
          <w:rFonts w:hint="default" w:ascii="Times New Roman" w:hAnsi="Times New Roman" w:eastAsia="宋体" w:cs="Times New Roman"/>
          <w:color w:val="auto"/>
          <w:sz w:val="24"/>
          <w:szCs w:val="32"/>
          <w:highlight w:val="none"/>
          <w:lang w:eastAsia="zh-CN"/>
        </w:rPr>
        <w:t>乌拉特前旗额尔登布拉格苏木旧乡政府院内</w:t>
      </w:r>
      <w:r>
        <w:rPr>
          <w:rFonts w:hint="default" w:ascii="Times New Roman" w:hAnsi="Times New Roman" w:eastAsia="宋体" w:cs="Times New Roman"/>
          <w:color w:val="auto"/>
          <w:sz w:val="24"/>
          <w:szCs w:val="32"/>
          <w:highlight w:val="none"/>
        </w:rPr>
        <w:t>，地理坐标为E</w:t>
      </w: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46.66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32"/>
          <w:highlight w:val="none"/>
        </w:rPr>
        <w:t>，N</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25.55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32"/>
          <w:highlight w:val="none"/>
        </w:rPr>
        <w:t>，厂区</w:t>
      </w:r>
      <w:r>
        <w:rPr>
          <w:rFonts w:hint="default" w:ascii="Times New Roman" w:hAnsi="Times New Roman" w:eastAsia="宋体" w:cs="Times New Roman"/>
          <w:color w:val="auto"/>
          <w:sz w:val="24"/>
          <w:szCs w:val="32"/>
          <w:highlight w:val="none"/>
          <w:lang w:val="en-US" w:eastAsia="zh-CN"/>
        </w:rPr>
        <w:t>东侧10m为农商银行、南侧25m为王西线、西侧10m为电力公司、北侧15m为空置大院（旧乡政府）</w:t>
      </w:r>
      <w:r>
        <w:rPr>
          <w:rFonts w:hint="default" w:ascii="Times New Roman" w:hAnsi="Times New Roman" w:eastAsia="宋体" w:cs="Times New Roman"/>
          <w:color w:val="auto"/>
          <w:sz w:val="24"/>
          <w:szCs w:val="32"/>
          <w:highlight w:val="none"/>
          <w:lang w:val="en-US" w:eastAsia="zh-CN"/>
        </w:rPr>
        <w:t>，本项目距离西侧的乌梁素海湿地水禽自然保护区约4.1km</w:t>
      </w:r>
      <w:r>
        <w:rPr>
          <w:rFonts w:hint="default" w:ascii="Times New Roman" w:hAnsi="Times New Roman" w:eastAsia="宋体" w:cs="Times New Roman"/>
          <w:color w:val="auto"/>
          <w:sz w:val="24"/>
          <w:szCs w:val="32"/>
          <w:highlight w:val="none"/>
        </w:rPr>
        <w:t>。</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32"/>
          <w:highlight w:val="none"/>
          <w:lang w:eastAsia="zh-CN"/>
        </w:rPr>
        <w:sectPr>
          <w:pgSz w:w="11907" w:h="16840"/>
          <w:pgMar w:top="1440" w:right="1797" w:bottom="1440" w:left="1797" w:header="851" w:footer="992" w:gutter="0"/>
          <w:pgNumType w:fmt="decimal"/>
          <w:cols w:space="425" w:num="1"/>
          <w:titlePg/>
          <w:docGrid w:type="linesAndChars" w:linePitch="312" w:charSpace="0"/>
        </w:sectPr>
      </w:pPr>
      <w:r>
        <w:rPr>
          <w:rFonts w:hint="default" w:ascii="Times New Roman" w:hAnsi="Times New Roman" w:eastAsia="宋体" w:cs="Times New Roman"/>
          <w:color w:val="auto"/>
          <w:sz w:val="24"/>
          <w:szCs w:val="32"/>
          <w:highlight w:val="none"/>
        </w:rPr>
        <w:t>本项目地理位置图见图3.1-1，项目四邻图见图3.1-2</w:t>
      </w:r>
      <w:r>
        <w:rPr>
          <w:rFonts w:hint="default" w:ascii="Times New Roman" w:hAnsi="Times New Roman" w:eastAsia="宋体" w:cs="Times New Roman"/>
          <w:color w:val="auto"/>
          <w:sz w:val="24"/>
          <w:szCs w:val="32"/>
          <w:highlight w:val="none"/>
          <w:lang w:eastAsia="zh-CN"/>
        </w:rPr>
        <w:t>。</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727872" behindDoc="0" locked="0" layoutInCell="1" allowOverlap="1">
                <wp:simplePos x="0" y="0"/>
                <wp:positionH relativeFrom="column">
                  <wp:posOffset>3576955</wp:posOffset>
                </wp:positionH>
                <wp:positionV relativeFrom="paragraph">
                  <wp:posOffset>2590800</wp:posOffset>
                </wp:positionV>
                <wp:extent cx="1057910" cy="276860"/>
                <wp:effectExtent l="64135" t="141605" r="20955" b="19685"/>
                <wp:wrapNone/>
                <wp:docPr id="154" name="矩形标注 154"/>
                <wp:cNvGraphicFramePr/>
                <a:graphic xmlns:a="http://schemas.openxmlformats.org/drawingml/2006/main">
                  <a:graphicData uri="http://schemas.microsoft.com/office/word/2010/wordprocessingShape">
                    <wps:wsp>
                      <wps:cNvSpPr/>
                      <wps:spPr>
                        <a:xfrm>
                          <a:off x="0" y="0"/>
                          <a:ext cx="1057910" cy="276860"/>
                        </a:xfrm>
                        <a:prstGeom prst="wedgeRectCallout">
                          <a:avLst>
                            <a:gd name="adj1" fmla="val -54861"/>
                            <a:gd name="adj2" fmla="val -96559"/>
                          </a:avLst>
                        </a:prstGeom>
                        <a:noFill/>
                        <a:ln w="25400" cap="flat" cmpd="sng">
                          <a:solidFill>
                            <a:srgbClr val="FF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FF0000"/>
                                <w:sz w:val="24"/>
                                <w:szCs w:val="32"/>
                                <w:lang w:eastAsia="zh-CN"/>
                              </w:rPr>
                            </w:pPr>
                            <w:r>
                              <w:rPr>
                                <w:rFonts w:hint="eastAsia"/>
                                <w:color w:val="FF0000"/>
                                <w:sz w:val="24"/>
                                <w:szCs w:val="32"/>
                                <w:lang w:eastAsia="zh-CN"/>
                              </w:rPr>
                              <w:t>本项目位置</w:t>
                            </w:r>
                          </w:p>
                        </w:txbxContent>
                      </wps:txbx>
                      <wps:bodyPr anchor="ctr" anchorCtr="0" upright="1"/>
                    </wps:wsp>
                  </a:graphicData>
                </a:graphic>
              </wp:anchor>
            </w:drawing>
          </mc:Choice>
          <mc:Fallback>
            <w:pict>
              <v:shape id="_x0000_s1026" o:spid="_x0000_s1026" o:spt="61" type="#_x0000_t61" style="position:absolute;left:0pt;margin-left:281.65pt;margin-top:204pt;height:21.8pt;width:83.3pt;z-index:251727872;v-text-anchor:middle;mso-width-relative:page;mso-height-relative:page;" filled="f" stroked="t" coordsize="21600,21600" o:gfxdata="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tEHj2wAAAAsBAAAPAAAAAAAAAAEA&#10;IAAAACIAAABkcnMvZG93bnJldi54bWxQSwECFAAUAAAACACHTuJAsk5mVEUCAACFBAAADgAAAAAA&#10;AAABACAAAAAqAQAAZHJzL2Uyb0RvYy54bWxQSwUGAAAAAAYABgBZAQAA4QUAAAAA&#10;" adj="-1050,-10057">
                <v:fill on="f" focussize="0,0"/>
                <v:stroke weight="2pt" color="#FF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FF0000"/>
                          <w:sz w:val="24"/>
                          <w:szCs w:val="32"/>
                          <w:lang w:eastAsia="zh-CN"/>
                        </w:rPr>
                      </w:pPr>
                      <w:r>
                        <w:rPr>
                          <w:rFonts w:hint="eastAsia"/>
                          <w:color w:val="FF0000"/>
                          <w:sz w:val="24"/>
                          <w:szCs w:val="32"/>
                          <w:lang w:eastAsia="zh-CN"/>
                        </w:rPr>
                        <w:t>本项目位置</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28896" behindDoc="0" locked="0" layoutInCell="1" allowOverlap="1">
                <wp:simplePos x="0" y="0"/>
                <wp:positionH relativeFrom="column">
                  <wp:posOffset>3460115</wp:posOffset>
                </wp:positionH>
                <wp:positionV relativeFrom="paragraph">
                  <wp:posOffset>2420620</wp:posOffset>
                </wp:positionV>
                <wp:extent cx="76200" cy="76200"/>
                <wp:effectExtent l="12700" t="12700" r="25400" b="25400"/>
                <wp:wrapNone/>
                <wp:docPr id="153" name="椭圆 153"/>
                <wp:cNvGraphicFramePr/>
                <a:graphic xmlns:a="http://schemas.openxmlformats.org/drawingml/2006/main">
                  <a:graphicData uri="http://schemas.microsoft.com/office/word/2010/wordprocessingShape">
                    <wps:wsp>
                      <wps:cNvSpPr/>
                      <wps:spPr>
                        <a:xfrm>
                          <a:off x="4916805" y="4693920"/>
                          <a:ext cx="75565" cy="75565"/>
                        </a:xfrm>
                        <a:prstGeom prst="ellipse">
                          <a:avLst/>
                        </a:prstGeom>
                        <a:solidFill>
                          <a:srgbClr val="000000"/>
                        </a:solidFill>
                        <a:ln w="25400"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2.45pt;margin-top:190.6pt;height:6pt;width:6pt;z-index:251728896;v-text-anchor:middle;mso-width-relative:page;mso-height-relative:page;" fillcolor="#000000" filled="t" stroked="t" coordsize="21600,21600" o:gfxdata="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6ATBLbAAAACwEAAA8AAAAAAAAAAQAg&#10;AAAAIgAAAGRycy9kb3ducmV2LnhtbFBLAQIUABQAAAAIAIdO4kABfr0pfQIAAAYFAAAOAAAAAAAA&#10;AAEAIAAAACoBAABkcnMvZTJvRG9jLnhtbFBLBQYAAAAABgAGAFkBAAAZBgAAAAA=&#10;">
                <v:fill on="t" focussize="0,0"/>
                <v:stroke weight="2pt" color="#FF0000" joinstyle="round"/>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auto"/>
          <w:highlight w:val="none"/>
        </w:rPr>
        <w:drawing>
          <wp:inline distT="0" distB="0" distL="114300" distR="114300">
            <wp:extent cx="7209155" cy="4895850"/>
            <wp:effectExtent l="0" t="0" r="10795" b="0"/>
            <wp:docPr id="1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7"/>
                    <pic:cNvPicPr>
                      <a:picLocks noChangeAspect="1"/>
                    </pic:cNvPicPr>
                  </pic:nvPicPr>
                  <pic:blipFill>
                    <a:blip r:embed="rId20"/>
                    <a:srcRect t="2599" b="1352"/>
                    <a:stretch>
                      <a:fillRect/>
                    </a:stretch>
                  </pic:blipFill>
                  <pic:spPr>
                    <a:xfrm>
                      <a:off x="0" y="0"/>
                      <a:ext cx="7209155" cy="4895850"/>
                    </a:xfrm>
                    <a:prstGeom prst="rect">
                      <a:avLst/>
                    </a:prstGeom>
                    <a:noFill/>
                    <a:ln>
                      <a:noFill/>
                    </a:ln>
                  </pic:spPr>
                </pic:pic>
              </a:graphicData>
            </a:graphic>
          </wp:inline>
        </w:drawing>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图3.1-1  项目地理位置图</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776000" behindDoc="0" locked="0" layoutInCell="1" allowOverlap="1">
                <wp:simplePos x="0" y="0"/>
                <wp:positionH relativeFrom="column">
                  <wp:posOffset>4246245</wp:posOffset>
                </wp:positionH>
                <wp:positionV relativeFrom="paragraph">
                  <wp:posOffset>1647825</wp:posOffset>
                </wp:positionV>
                <wp:extent cx="676910" cy="424815"/>
                <wp:effectExtent l="0" t="0" r="0" b="0"/>
                <wp:wrapNone/>
                <wp:docPr id="51" name="矩形 51"/>
                <wp:cNvGraphicFramePr/>
                <a:graphic xmlns:a="http://schemas.openxmlformats.org/drawingml/2006/main">
                  <a:graphicData uri="http://schemas.microsoft.com/office/word/2010/wordprocessingShape">
                    <wps:wsp>
                      <wps:cNvSpPr/>
                      <wps:spPr>
                        <a:xfrm>
                          <a:off x="0" y="0"/>
                          <a:ext cx="676910" cy="424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林地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35pt;margin-top:129.75pt;height:33.45pt;width:53.3pt;z-index:251776000;v-text-anchor:middle;mso-width-relative:page;mso-height-relative:page;" filled="f" stroked="f" coordsize="21600,21600" o:gfxdata="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TIbY/aAAAACwEA&#10;AA8AAAAAAAAAAQAgAAAAIgAAAGRycy9kb3ducmV2LnhtbFBLAQIUABQAAAAIAIdO4kCM2ZwPUQIA&#10;AJcEAAAOAAAAAAAAAAEAIAAAACkBAABkcnMvZTJvRG9jLnhtbFBLBQYAAAAABgAGAFkBAADsBQAA&#10;AAA=&#10;">
                <v:fill on="f" focussize="0,0"/>
                <v:stroke on="f" weight="2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林地</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5040" behindDoc="0" locked="0" layoutInCell="1" allowOverlap="1">
                <wp:simplePos x="0" y="0"/>
                <wp:positionH relativeFrom="column">
                  <wp:posOffset>3007360</wp:posOffset>
                </wp:positionH>
                <wp:positionV relativeFrom="paragraph">
                  <wp:posOffset>1358265</wp:posOffset>
                </wp:positionV>
                <wp:extent cx="2113280" cy="519430"/>
                <wp:effectExtent l="0" t="0" r="0" b="0"/>
                <wp:wrapNone/>
                <wp:docPr id="162" name="矩形 162"/>
                <wp:cNvGraphicFramePr/>
                <a:graphic xmlns:a="http://schemas.openxmlformats.org/drawingml/2006/main">
                  <a:graphicData uri="http://schemas.microsoft.com/office/word/2010/wordprocessingShape">
                    <wps:wsp>
                      <wps:cNvSpPr/>
                      <wps:spPr>
                        <a:xfrm>
                          <a:off x="0" y="0"/>
                          <a:ext cx="2113280" cy="519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空置大院（旧乡政府）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8pt;margin-top:106.95pt;height:40.9pt;width:166.4pt;z-index:251735040;v-text-anchor:middle;mso-width-relative:page;mso-height-relative:page;" filled="f" stroked="f" coordsize="21600,21600" o:gfxdata="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QsERk2wAA&#10;AAsBAAAPAAAAAAAAAAEAIAAAACIAAABkcnMvZG93bnJldi54bWxQSwECFAAUAAAACACHTuJA0tU9&#10;glQCAACaBAAADgAAAAAAAAABACAAAAAqAQAAZHJzL2Uyb0RvYy54bWxQSwUGAAAAAAYABgBZAQAA&#10;8AUAAAAA&#10;">
                <v:fill on="f" focussize="0,0"/>
                <v:stroke on="f" weight="2pt"/>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空置大院（旧乡政府）</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2992" behindDoc="0" locked="0" layoutInCell="1" allowOverlap="1">
                <wp:simplePos x="0" y="0"/>
                <wp:positionH relativeFrom="column">
                  <wp:posOffset>3992245</wp:posOffset>
                </wp:positionH>
                <wp:positionV relativeFrom="paragraph">
                  <wp:posOffset>2377440</wp:posOffset>
                </wp:positionV>
                <wp:extent cx="1100455" cy="519430"/>
                <wp:effectExtent l="0" t="0" r="0" b="0"/>
                <wp:wrapNone/>
                <wp:docPr id="160" name="矩形 160"/>
                <wp:cNvGraphicFramePr/>
                <a:graphic xmlns:a="http://schemas.openxmlformats.org/drawingml/2006/main">
                  <a:graphicData uri="http://schemas.microsoft.com/office/word/2010/wordprocessingShape">
                    <wps:wsp>
                      <wps:cNvSpPr/>
                      <wps:spPr>
                        <a:xfrm>
                          <a:off x="0" y="0"/>
                          <a:ext cx="1100455" cy="519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农商银行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35pt;margin-top:187.2pt;height:40.9pt;width:86.65pt;z-index:251732992;v-text-anchor:middle;mso-width-relative:page;mso-height-relative:page;" filled="f" stroked="f" coordsize="21600,21600" o:gfxdata="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X26Uh2gAA&#10;AAsBAAAPAAAAAAAAAAEAIAAAACIAAABkcnMvZG93bnJldi54bWxQSwECFAAUAAAACACHTuJA+qlc&#10;g1UCAACaBAAADgAAAAAAAAABACAAAAApAQAAZHJzL2Uyb0RvYy54bWxQSwUGAAAAAAYABgBZAQAA&#10;8AUAAAAA&#10;">
                <v:fill on="f" focussize="0,0"/>
                <v:stroke on="f" weight="2pt"/>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农商银行</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4016" behindDoc="0" locked="0" layoutInCell="1" allowOverlap="1">
                <wp:simplePos x="0" y="0"/>
                <wp:positionH relativeFrom="column">
                  <wp:posOffset>3235325</wp:posOffset>
                </wp:positionH>
                <wp:positionV relativeFrom="paragraph">
                  <wp:posOffset>2541905</wp:posOffset>
                </wp:positionV>
                <wp:extent cx="1100455" cy="519430"/>
                <wp:effectExtent l="0" t="0" r="0" b="0"/>
                <wp:wrapNone/>
                <wp:docPr id="161" name="矩形 161"/>
                <wp:cNvGraphicFramePr/>
                <a:graphic xmlns:a="http://schemas.openxmlformats.org/drawingml/2006/main">
                  <a:graphicData uri="http://schemas.microsoft.com/office/word/2010/wordprocessingShape">
                    <wps:wsp>
                      <wps:cNvSpPr/>
                      <wps:spPr>
                        <a:xfrm>
                          <a:off x="0" y="0"/>
                          <a:ext cx="1100455" cy="519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电力公司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75pt;margin-top:200.15pt;height:40.9pt;width:86.65pt;z-index:251734016;v-text-anchor:middle;mso-width-relative:page;mso-height-relative:page;" filled="f" stroked="f" coordsize="21600,21600" o:gfxdata="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E7GADZAAAA&#10;CwEAAA8AAAAAAAAAAQAgAAAAIgAAAGRycy9kb3ducmV2LnhtbFBLAQIUABQAAAAIAIdO4kADKUZ5&#10;VQIAAJoEAAAOAAAAAAAAAAEAIAAAACgBAABkcnMvZTJvRG9jLnhtbFBLBQYAAAAABgAGAFkBAADv&#10;BQAAAAA=&#10;">
                <v:fill on="f" focussize="0,0"/>
                <v:stroke on="f" weight="2pt"/>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电力公司</w:t>
                      </w:r>
                    </w:p>
                  </w:txbxContent>
                </v:textbox>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0944" behindDoc="0" locked="0" layoutInCell="1" allowOverlap="1">
                <wp:simplePos x="0" y="0"/>
                <wp:positionH relativeFrom="column">
                  <wp:posOffset>3220720</wp:posOffset>
                </wp:positionH>
                <wp:positionV relativeFrom="paragraph">
                  <wp:posOffset>2013585</wp:posOffset>
                </wp:positionV>
                <wp:extent cx="676910" cy="424815"/>
                <wp:effectExtent l="0" t="0" r="0" b="0"/>
                <wp:wrapNone/>
                <wp:docPr id="158" name="矩形 158"/>
                <wp:cNvGraphicFramePr/>
                <a:graphic xmlns:a="http://schemas.openxmlformats.org/drawingml/2006/main">
                  <a:graphicData uri="http://schemas.microsoft.com/office/word/2010/wordprocessingShape">
                    <wps:wsp>
                      <wps:cNvSpPr/>
                      <wps:spPr>
                        <a:xfrm>
                          <a:off x="2646045" y="2941955"/>
                          <a:ext cx="676910" cy="424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林地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6pt;margin-top:158.55pt;height:33.45pt;width:53.3pt;z-index:251730944;v-text-anchor:middle;mso-width-relative:page;mso-height-relative:page;" filled="f" stroked="f" coordsize="21600,21600" o:gfxdata="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vyzc2QAAAAsBAAAPAAAAAAAAAAEAIAAAACIAAABkcnMvZG93bnJldi54bWxQSwECFAAUAAAA&#10;CACHTuJArdn1J18CAAClBAAADgAAAAAAAAABACAAAAAoAQAAZHJzL2Uyb0RvYy54bWxQSwUGAAAA&#10;AAYABgBZAQAA+QUAAAAA&#10;">
                <v:fill on="f" focussize="0,0"/>
                <v:stroke on="f" weight="2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林地</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36064" behindDoc="0" locked="0" layoutInCell="1" allowOverlap="1">
                <wp:simplePos x="0" y="0"/>
                <wp:positionH relativeFrom="column">
                  <wp:posOffset>2534920</wp:posOffset>
                </wp:positionH>
                <wp:positionV relativeFrom="paragraph">
                  <wp:posOffset>2689860</wp:posOffset>
                </wp:positionV>
                <wp:extent cx="756285" cy="319405"/>
                <wp:effectExtent l="12700" t="12700" r="50165" b="296545"/>
                <wp:wrapNone/>
                <wp:docPr id="163" name="矩形标注 163"/>
                <wp:cNvGraphicFramePr/>
                <a:graphic xmlns:a="http://schemas.openxmlformats.org/drawingml/2006/main">
                  <a:graphicData uri="http://schemas.microsoft.com/office/word/2010/wordprocessingShape">
                    <wps:wsp>
                      <wps:cNvSpPr/>
                      <wps:spPr>
                        <a:xfrm>
                          <a:off x="0" y="0"/>
                          <a:ext cx="756285" cy="319405"/>
                        </a:xfrm>
                        <a:prstGeom prst="wedgeRectCallout">
                          <a:avLst>
                            <a:gd name="adj1" fmla="val 53961"/>
                            <a:gd name="adj2" fmla="val 133896"/>
                          </a:avLst>
                        </a:prstGeom>
                        <a:noFill/>
                        <a:ln w="25400" cap="flat" cmpd="sng">
                          <a:solidFill>
                            <a:srgbClr val="FFFF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b/>
                                <w:bCs/>
                                <w:color w:val="FFFF00"/>
                                <w:sz w:val="28"/>
                                <w:szCs w:val="36"/>
                                <w:lang w:eastAsia="zh-CN"/>
                              </w:rPr>
                            </w:pPr>
                            <w:r>
                              <w:rPr>
                                <w:rFonts w:hint="eastAsia"/>
                                <w:b/>
                                <w:bCs/>
                                <w:color w:val="FFFF00"/>
                                <w:sz w:val="28"/>
                                <w:szCs w:val="36"/>
                                <w:lang w:eastAsia="zh-CN"/>
                              </w:rPr>
                              <w:t>王西线</w:t>
                            </w:r>
                          </w:p>
                        </w:txbxContent>
                      </wps:txbx>
                      <wps:bodyPr anchor="ctr" anchorCtr="0" upright="1"/>
                    </wps:wsp>
                  </a:graphicData>
                </a:graphic>
              </wp:anchor>
            </w:drawing>
          </mc:Choice>
          <mc:Fallback>
            <w:pict>
              <v:shape id="_x0000_s1026" o:spid="_x0000_s1026" o:spt="61" type="#_x0000_t61" style="position:absolute;left:0pt;margin-left:199.6pt;margin-top:211.8pt;height:25.15pt;width:59.55pt;z-index:251736064;v-text-anchor:middle;mso-width-relative:page;mso-height-relative:page;" filled="f" stroked="t" coordsize="21600,21600" o:gfxdata="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CoPD2gAAAAsBAAAPAAAAAAAAAAEA&#10;IAAAACIAAABkcnMvZG93bnJldi54bWxQSwECFAAUAAAACACHTuJAznbunUYCAACDBAAADgAAAAAA&#10;AAABACAAAAApAQAAZHJzL2Uyb0RvYy54bWxQSwUGAAAAAAYABgBZAQAA4QUAAAAA&#10;" adj="22456,39722">
                <v:fill on="f" focussize="0,0"/>
                <v:stroke weight="2pt" color="#FFFF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b/>
                          <w:bCs/>
                          <w:color w:val="FFFF00"/>
                          <w:sz w:val="28"/>
                          <w:szCs w:val="36"/>
                          <w:lang w:eastAsia="zh-CN"/>
                        </w:rPr>
                      </w:pPr>
                      <w:r>
                        <w:rPr>
                          <w:rFonts w:hint="eastAsia"/>
                          <w:b/>
                          <w:bCs/>
                          <w:color w:val="FFFF00"/>
                          <w:sz w:val="28"/>
                          <w:szCs w:val="36"/>
                          <w:lang w:eastAsia="zh-CN"/>
                        </w:rPr>
                        <w:t>王西线</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9920" behindDoc="0" locked="0" layoutInCell="1" allowOverlap="1">
                <wp:simplePos x="0" y="0"/>
                <wp:positionH relativeFrom="column">
                  <wp:posOffset>1306830</wp:posOffset>
                </wp:positionH>
                <wp:positionV relativeFrom="paragraph">
                  <wp:posOffset>1704340</wp:posOffset>
                </wp:positionV>
                <wp:extent cx="6191250" cy="2327275"/>
                <wp:effectExtent l="13335" t="35560" r="24765" b="37465"/>
                <wp:wrapNone/>
                <wp:docPr id="157" name="直接连接符 157"/>
                <wp:cNvGraphicFramePr/>
                <a:graphic xmlns:a="http://schemas.openxmlformats.org/drawingml/2006/main">
                  <a:graphicData uri="http://schemas.microsoft.com/office/word/2010/wordprocessingShape">
                    <wps:wsp>
                      <wps:cNvCnPr/>
                      <wps:spPr>
                        <a:xfrm flipV="1">
                          <a:off x="1208405" y="2836545"/>
                          <a:ext cx="6191250" cy="2327275"/>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2.9pt;margin-top:134.2pt;height:183.25pt;width:487.5pt;z-index:251729920;mso-width-relative:page;mso-height-relative:page;" filled="f" stroked="t" coordsize="21600,21600" o:gfxdata="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9etL2wAAAAwBAAAPAAAAAAAAAAEAIAAAACIAAABkcnMvZG93bnJldi54&#10;bWxQSwECFAAUAAAACACHTuJAmPa64PcBAAC7AwAADgAAAAAAAAABACAAAAAqAQAAZHJzL2Uyb0Rv&#10;Yy54bWxQSwUGAAAAAAYABgBZAQAAkwUAAAAA&#10;">
                <v:fill on="f" focussize="0,0"/>
                <v:stroke weight="6pt" color="#FFFF00 [3204]" joinstyle="round"/>
                <v:imagedata o:title=""/>
                <o:lock v:ext="edit" aspectratio="f"/>
              </v:line>
            </w:pict>
          </mc:Fallback>
        </mc:AlternateContent>
      </w:r>
      <w:r>
        <w:rPr>
          <w:rFonts w:hint="default" w:ascii="Times New Roman" w:hAnsi="Times New Roman" w:eastAsia="宋体" w:cs="Times New Roman"/>
          <w:color w:val="auto"/>
        </w:rPr>
        <w:drawing>
          <wp:anchor distT="0" distB="0" distL="114300" distR="114300" simplePos="0" relativeHeight="251731968" behindDoc="0" locked="0" layoutInCell="1" allowOverlap="1">
            <wp:simplePos x="0" y="0"/>
            <wp:positionH relativeFrom="column">
              <wp:posOffset>7477760</wp:posOffset>
            </wp:positionH>
            <wp:positionV relativeFrom="paragraph">
              <wp:posOffset>7620</wp:posOffset>
            </wp:positionV>
            <wp:extent cx="567055" cy="624840"/>
            <wp:effectExtent l="0" t="0" r="4445" b="3810"/>
            <wp:wrapNone/>
            <wp:docPr id="1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
                    <pic:cNvPicPr>
                      <a:picLocks noChangeAspect="1"/>
                    </pic:cNvPicPr>
                  </pic:nvPicPr>
                  <pic:blipFill>
                    <a:blip r:embed="rId16"/>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b/>
          <w:bCs/>
          <w:color w:val="auto"/>
          <w:sz w:val="24"/>
          <w:szCs w:val="32"/>
          <w:lang w:val="en-US" w:eastAsia="zh-CN"/>
        </w:rPr>
        <w:drawing>
          <wp:inline distT="0" distB="0" distL="114300" distR="114300">
            <wp:extent cx="6186170" cy="4932045"/>
            <wp:effectExtent l="0" t="0" r="5080" b="1905"/>
            <wp:docPr id="55" name="图片 55" descr="屏幕截图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屏幕截图33333333"/>
                    <pic:cNvPicPr>
                      <a:picLocks noChangeAspect="1"/>
                    </pic:cNvPicPr>
                  </pic:nvPicPr>
                  <pic:blipFill>
                    <a:blip r:embed="rId17"/>
                    <a:stretch>
                      <a:fillRect/>
                    </a:stretch>
                  </pic:blipFill>
                  <pic:spPr>
                    <a:xfrm>
                      <a:off x="0" y="0"/>
                      <a:ext cx="6186170" cy="4932045"/>
                    </a:xfrm>
                    <a:prstGeom prst="rect">
                      <a:avLst/>
                    </a:prstGeom>
                  </pic:spPr>
                </pic:pic>
              </a:graphicData>
            </a:graphic>
          </wp:inline>
        </w:drawing>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b/>
          <w:bCs/>
          <w:color w:val="auto"/>
          <w:szCs w:val="24"/>
          <w:highlight w:val="none"/>
          <w:lang w:eastAsia="zh-CN"/>
        </w:rPr>
        <w:sectPr>
          <w:pgSz w:w="16840" w:h="11907" w:orient="landscape"/>
          <w:pgMar w:top="1797" w:right="1440" w:bottom="1797" w:left="1440" w:header="851" w:footer="992" w:gutter="0"/>
          <w:pgNumType w:fmt="decimal"/>
          <w:cols w:space="425" w:num="1"/>
          <w:titlePg/>
          <w:docGrid w:type="linesAndChars" w:linePitch="312" w:charSpace="0"/>
        </w:sectPr>
      </w:pPr>
      <w:r>
        <w:rPr>
          <w:rFonts w:hint="default" w:ascii="Times New Roman" w:hAnsi="Times New Roman" w:eastAsia="宋体" w:cs="Times New Roman"/>
          <w:b/>
          <w:bCs/>
          <w:color w:val="auto"/>
          <w:szCs w:val="24"/>
          <w:highlight w:val="none"/>
          <w:lang w:eastAsia="zh-CN"/>
        </w:rPr>
        <w:t>图3.1-</w:t>
      </w:r>
      <w:r>
        <w:rPr>
          <w:rFonts w:hint="default" w:ascii="Times New Roman" w:hAnsi="Times New Roman" w:eastAsia="宋体" w:cs="Times New Roman"/>
          <w:b/>
          <w:bCs/>
          <w:color w:val="auto"/>
          <w:szCs w:val="24"/>
          <w:highlight w:val="none"/>
          <w:lang w:val="en-US" w:eastAsia="zh-CN"/>
        </w:rPr>
        <w:t>2</w:t>
      </w:r>
      <w:r>
        <w:rPr>
          <w:rFonts w:hint="default" w:ascii="Times New Roman" w:hAnsi="Times New Roman" w:eastAsia="宋体" w:cs="Times New Roman"/>
          <w:b/>
          <w:bCs/>
          <w:color w:val="auto"/>
          <w:szCs w:val="24"/>
          <w:highlight w:val="none"/>
          <w:lang w:eastAsia="zh-CN"/>
        </w:rPr>
        <w:t xml:space="preserve">  项目厂区四周关系</w:t>
      </w:r>
    </w:p>
    <w:p>
      <w:pPr>
        <w:pStyle w:val="6"/>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3.1.4 原辅材料消耗</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本项目主要消耗的原材料为回收的农业生产过程中产生的废滴灌带、水带、地膜及棚膜，回收时，根据原料种类分类收集，年可消耗废旧塑料</w:t>
      </w:r>
      <w:r>
        <w:rPr>
          <w:rFonts w:hint="default" w:ascii="Times New Roman" w:hAnsi="Times New Roman" w:eastAsia="宋体" w:cs="Times New Roman"/>
          <w:color w:val="auto"/>
          <w:sz w:val="24"/>
          <w:szCs w:val="32"/>
          <w:highlight w:val="none"/>
          <w:lang w:val="en-US" w:eastAsia="zh-CN"/>
        </w:rPr>
        <w:t>9</w:t>
      </w:r>
      <w:r>
        <w:rPr>
          <w:rFonts w:hint="default" w:ascii="Times New Roman" w:hAnsi="Times New Roman" w:eastAsia="宋体" w:cs="Times New Roman"/>
          <w:color w:val="auto"/>
          <w:sz w:val="24"/>
          <w:szCs w:val="32"/>
          <w:highlight w:val="none"/>
          <w:lang w:eastAsia="zh-CN"/>
        </w:rPr>
        <w:t>000</w:t>
      </w:r>
      <w:r>
        <w:rPr>
          <w:rFonts w:hint="default" w:ascii="Times New Roman" w:hAnsi="Times New Roman" w:eastAsia="宋体" w:cs="Times New Roman"/>
          <w:color w:val="auto"/>
          <w:sz w:val="24"/>
          <w:szCs w:val="32"/>
          <w:highlight w:val="none"/>
        </w:rPr>
        <w:t>t，其成分为PE（聚乙烯）。为确保废旧塑料回收量可以满足本项目生产需求，在农业劳作期内公司与周边农户签订废旧塑料回收协议，在生产期按生产计划由农田内直接回收，分批入库，及时运至生产车间生产</w:t>
      </w:r>
      <w:r>
        <w:rPr>
          <w:rFonts w:hint="default" w:ascii="Times New Roman" w:hAnsi="Times New Roman" w:eastAsia="宋体" w:cs="Times New Roman"/>
          <w:color w:val="auto"/>
          <w:sz w:val="24"/>
          <w:szCs w:val="32"/>
          <w:highlight w:val="none"/>
        </w:rPr>
        <w:t>，原材料库</w:t>
      </w:r>
      <w:r>
        <w:rPr>
          <w:rFonts w:hint="default" w:ascii="Times New Roman" w:hAnsi="Times New Roman" w:eastAsia="宋体" w:cs="Times New Roman"/>
          <w:color w:val="auto"/>
          <w:sz w:val="24"/>
          <w:szCs w:val="32"/>
          <w:highlight w:val="none"/>
          <w:lang w:eastAsia="zh-CN"/>
        </w:rPr>
        <w:t>设计</w:t>
      </w:r>
      <w:r>
        <w:rPr>
          <w:rFonts w:hint="default" w:ascii="Times New Roman" w:hAnsi="Times New Roman" w:eastAsia="宋体" w:cs="Times New Roman"/>
          <w:color w:val="auto"/>
          <w:sz w:val="24"/>
          <w:szCs w:val="32"/>
          <w:highlight w:val="none"/>
        </w:rPr>
        <w:t>最大储</w:t>
      </w:r>
      <w:r>
        <w:rPr>
          <w:rFonts w:hint="default" w:ascii="Times New Roman" w:hAnsi="Times New Roman" w:eastAsia="宋体" w:cs="Times New Roman"/>
          <w:color w:val="auto"/>
          <w:sz w:val="24"/>
          <w:szCs w:val="32"/>
          <w:highlight w:val="none"/>
          <w:lang w:eastAsia="zh-CN"/>
        </w:rPr>
        <w:t>存</w:t>
      </w:r>
      <w:r>
        <w:rPr>
          <w:rFonts w:hint="default" w:ascii="Times New Roman" w:hAnsi="Times New Roman" w:eastAsia="宋体" w:cs="Times New Roman"/>
          <w:color w:val="auto"/>
          <w:sz w:val="24"/>
          <w:szCs w:val="32"/>
          <w:highlight w:val="none"/>
        </w:rPr>
        <w:t>量</w:t>
      </w:r>
      <w:r>
        <w:rPr>
          <w:rFonts w:hint="default" w:ascii="Times New Roman" w:hAnsi="Times New Roman" w:eastAsia="宋体" w:cs="Times New Roman"/>
          <w:color w:val="auto"/>
          <w:sz w:val="24"/>
          <w:szCs w:val="32"/>
          <w:highlight w:val="none"/>
          <w:lang w:eastAsia="zh-CN"/>
        </w:rPr>
        <w:t>约为</w:t>
      </w:r>
      <w:r>
        <w:rPr>
          <w:rFonts w:hint="default" w:ascii="Times New Roman" w:hAnsi="Times New Roman" w:eastAsia="宋体" w:cs="Times New Roman"/>
          <w:color w:val="auto"/>
          <w:sz w:val="24"/>
          <w:szCs w:val="32"/>
          <w:highlight w:val="none"/>
          <w:lang w:val="en-US" w:eastAsia="zh-CN"/>
        </w:rPr>
        <w:t>40</w:t>
      </w:r>
      <w:r>
        <w:rPr>
          <w:rFonts w:hint="default" w:ascii="Times New Roman" w:hAnsi="Times New Roman" w:eastAsia="宋体" w:cs="Times New Roman"/>
          <w:color w:val="auto"/>
          <w:sz w:val="24"/>
          <w:szCs w:val="32"/>
          <w:highlight w:val="none"/>
        </w:rPr>
        <w:t>0t</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可以满足生产要求</w:t>
      </w:r>
      <w:r>
        <w:rPr>
          <w:rFonts w:hint="default" w:ascii="Times New Roman" w:hAnsi="Times New Roman" w:eastAsia="宋体" w:cs="Times New Roman"/>
          <w:color w:val="auto"/>
          <w:sz w:val="24"/>
          <w:szCs w:val="32"/>
          <w:highlight w:val="none"/>
          <w:lang w:eastAsia="zh-CN"/>
        </w:rPr>
        <w:t>。</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回收</w:t>
      </w:r>
      <w:r>
        <w:rPr>
          <w:rFonts w:hint="default" w:ascii="Times New Roman" w:hAnsi="Times New Roman" w:eastAsia="宋体" w:cs="Times New Roman"/>
          <w:color w:val="auto"/>
          <w:sz w:val="24"/>
          <w:szCs w:val="32"/>
          <w:highlight w:val="none"/>
          <w:lang w:eastAsia="zh-CN"/>
        </w:rPr>
        <w:t>处理</w:t>
      </w:r>
      <w:r>
        <w:rPr>
          <w:rFonts w:hint="default" w:ascii="Times New Roman" w:hAnsi="Times New Roman" w:eastAsia="宋体" w:cs="Times New Roman"/>
          <w:color w:val="auto"/>
          <w:sz w:val="24"/>
          <w:szCs w:val="32"/>
          <w:highlight w:val="none"/>
        </w:rPr>
        <w:t>废旧塑料</w:t>
      </w:r>
      <w:r>
        <w:rPr>
          <w:rFonts w:hint="default" w:ascii="Times New Roman" w:hAnsi="Times New Roman" w:eastAsia="宋体" w:cs="Times New Roman"/>
          <w:color w:val="auto"/>
          <w:sz w:val="24"/>
          <w:szCs w:val="32"/>
          <w:highlight w:val="none"/>
          <w:lang w:eastAsia="zh-CN"/>
        </w:rPr>
        <w:t>工程中，存在物料的损耗，因此需要补充加入外购的聚乙烯颗粒和双抗色母粒，</w:t>
      </w:r>
      <w:r>
        <w:rPr>
          <w:rFonts w:hint="default" w:ascii="Times New Roman" w:hAnsi="Times New Roman" w:eastAsia="宋体" w:cs="Times New Roman"/>
          <w:color w:val="auto"/>
          <w:sz w:val="24"/>
          <w:szCs w:val="32"/>
          <w:highlight w:val="none"/>
        </w:rPr>
        <w:t>项目主要原辅材料消耗情况见表3.1-</w:t>
      </w:r>
      <w:r>
        <w:rPr>
          <w:rFonts w:hint="default" w:ascii="Times New Roman" w:hAnsi="Times New Roman" w:eastAsia="宋体" w:cs="Times New Roman"/>
          <w:color w:val="auto"/>
          <w:sz w:val="24"/>
          <w:szCs w:val="32"/>
          <w:highlight w:val="none"/>
          <w:lang w:val="en-US" w:eastAsia="zh-CN"/>
        </w:rPr>
        <w:t>4</w:t>
      </w:r>
      <w:r>
        <w:rPr>
          <w:rFonts w:hint="default" w:ascii="Times New Roman" w:hAnsi="Times New Roman" w:eastAsia="宋体" w:cs="Times New Roman"/>
          <w:color w:val="auto"/>
          <w:sz w:val="24"/>
          <w:szCs w:val="32"/>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表3.1-</w:t>
      </w:r>
      <w:r>
        <w:rPr>
          <w:rFonts w:hint="default" w:ascii="Times New Roman" w:hAnsi="Times New Roman" w:eastAsia="宋体" w:cs="Times New Roman"/>
          <w:b/>
          <w:color w:val="auto"/>
          <w:sz w:val="24"/>
          <w:highlight w:val="none"/>
          <w:lang w:val="en-US" w:eastAsia="zh-CN"/>
        </w:rPr>
        <w:t xml:space="preserve">4 </w:t>
      </w:r>
      <w:r>
        <w:rPr>
          <w:rFonts w:hint="default" w:ascii="Times New Roman" w:hAnsi="Times New Roman" w:eastAsia="宋体" w:cs="Times New Roman"/>
          <w:b/>
          <w:color w:val="auto"/>
          <w:sz w:val="24"/>
          <w:highlight w:val="none"/>
        </w:rPr>
        <w:t xml:space="preserve"> 项目所需主要原辅材料一览表</w:t>
      </w:r>
    </w:p>
    <w:tbl>
      <w:tblPr>
        <w:tblStyle w:val="90"/>
        <w:tblW w:w="8260" w:type="dxa"/>
        <w:jc w:val="center"/>
        <w:tblLayout w:type="fixed"/>
        <w:tblCellMar>
          <w:top w:w="0" w:type="dxa"/>
          <w:left w:w="108" w:type="dxa"/>
          <w:bottom w:w="0" w:type="dxa"/>
          <w:right w:w="108" w:type="dxa"/>
        </w:tblCellMar>
      </w:tblPr>
      <w:tblGrid>
        <w:gridCol w:w="651"/>
        <w:gridCol w:w="652"/>
        <w:gridCol w:w="1522"/>
        <w:gridCol w:w="1087"/>
        <w:gridCol w:w="1087"/>
        <w:gridCol w:w="1087"/>
        <w:gridCol w:w="1087"/>
        <w:gridCol w:w="1087"/>
      </w:tblGrid>
      <w:tr>
        <w:tblPrEx>
          <w:tblCellMar>
            <w:top w:w="0" w:type="dxa"/>
            <w:left w:w="108" w:type="dxa"/>
            <w:bottom w:w="0" w:type="dxa"/>
            <w:right w:w="108" w:type="dxa"/>
          </w:tblCellMar>
        </w:tblPrEx>
        <w:trPr>
          <w:trHeight w:val="340" w:hRule="atLeast"/>
          <w:jc w:val="center"/>
        </w:trPr>
        <w:tc>
          <w:tcPr>
            <w:tcW w:w="3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3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w:t>
            </w:r>
          </w:p>
        </w:tc>
        <w:tc>
          <w:tcPr>
            <w:tcW w:w="7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名称</w:t>
            </w:r>
          </w:p>
        </w:tc>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消耗量</w:t>
            </w:r>
          </w:p>
        </w:tc>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最大储量</w:t>
            </w:r>
          </w:p>
        </w:tc>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储存方式</w:t>
            </w:r>
          </w:p>
        </w:tc>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运输方式</w:t>
            </w:r>
          </w:p>
        </w:tc>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备注</w:t>
            </w:r>
          </w:p>
        </w:tc>
      </w:tr>
      <w:tr>
        <w:tblPrEx>
          <w:tblCellMar>
            <w:top w:w="0" w:type="dxa"/>
            <w:left w:w="108" w:type="dxa"/>
            <w:bottom w:w="0" w:type="dxa"/>
            <w:right w:w="108" w:type="dxa"/>
          </w:tblCellMar>
        </w:tblPrEx>
        <w:trPr>
          <w:trHeight w:val="340" w:hRule="atLeast"/>
          <w:jc w:val="center"/>
        </w:trPr>
        <w:tc>
          <w:tcPr>
            <w:tcW w:w="3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1</w:t>
            </w:r>
          </w:p>
        </w:tc>
        <w:tc>
          <w:tcPr>
            <w:tcW w:w="3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原料</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废滴灌带、水带、地膜及棚膜</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9</w:t>
            </w:r>
            <w:r>
              <w:rPr>
                <w:rFonts w:hint="default" w:ascii="Times New Roman" w:hAnsi="Times New Roman" w:eastAsia="宋体" w:cs="Times New Roman"/>
                <w:color w:val="auto"/>
                <w:kern w:val="0"/>
                <w:szCs w:val="21"/>
                <w:highlight w:val="none"/>
                <w:lang w:eastAsia="zh-CN"/>
              </w:rPr>
              <w:t>000</w:t>
            </w:r>
            <w:r>
              <w:rPr>
                <w:rFonts w:hint="default" w:ascii="Times New Roman" w:hAnsi="Times New Roman" w:eastAsia="宋体" w:cs="Times New Roman"/>
                <w:color w:val="auto"/>
                <w:kern w:val="0"/>
                <w:szCs w:val="21"/>
                <w:highlight w:val="none"/>
                <w:lang w:eastAsia="zh-TW"/>
              </w:rPr>
              <w:t>t/a</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375</w:t>
            </w:r>
            <w:r>
              <w:rPr>
                <w:rFonts w:hint="default" w:ascii="Times New Roman" w:hAnsi="Times New Roman" w:eastAsia="宋体" w:cs="Times New Roman"/>
                <w:color w:val="auto"/>
                <w:kern w:val="0"/>
                <w:szCs w:val="21"/>
                <w:highlight w:val="none"/>
              </w:rPr>
              <w:t>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原</w:t>
            </w:r>
            <w:r>
              <w:rPr>
                <w:rFonts w:hint="default" w:ascii="Times New Roman" w:hAnsi="Times New Roman" w:eastAsia="宋体" w:cs="Times New Roman"/>
                <w:color w:val="auto"/>
                <w:kern w:val="0"/>
                <w:szCs w:val="21"/>
                <w:highlight w:val="none"/>
              </w:rPr>
              <w:t>材</w:t>
            </w:r>
            <w:r>
              <w:rPr>
                <w:rFonts w:hint="default" w:ascii="Times New Roman" w:hAnsi="Times New Roman" w:eastAsia="宋体" w:cs="Times New Roman"/>
                <w:color w:val="auto"/>
                <w:kern w:val="0"/>
                <w:szCs w:val="21"/>
                <w:highlight w:val="none"/>
                <w:lang w:eastAsia="zh-TW"/>
              </w:rPr>
              <w:t>料库</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汽车运输</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外购</w:t>
            </w:r>
          </w:p>
        </w:tc>
      </w:tr>
      <w:tr>
        <w:tblPrEx>
          <w:tblCellMar>
            <w:top w:w="0" w:type="dxa"/>
            <w:left w:w="108" w:type="dxa"/>
            <w:bottom w:w="0" w:type="dxa"/>
            <w:right w:w="108" w:type="dxa"/>
          </w:tblCellMar>
        </w:tblPrEx>
        <w:trPr>
          <w:trHeight w:val="340" w:hRule="atLeast"/>
          <w:jc w:val="center"/>
        </w:trPr>
        <w:tc>
          <w:tcPr>
            <w:tcW w:w="3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2</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外购聚乙烯颗粒</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120</w:t>
            </w:r>
            <w:r>
              <w:rPr>
                <w:rFonts w:hint="default" w:ascii="Times New Roman" w:hAnsi="Times New Roman" w:eastAsia="宋体" w:cs="Times New Roman"/>
                <w:color w:val="auto"/>
                <w:kern w:val="0"/>
                <w:szCs w:val="21"/>
                <w:highlight w:val="none"/>
                <w:lang w:eastAsia="zh-TW"/>
              </w:rPr>
              <w:t>t/a</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5</w:t>
            </w:r>
            <w:r>
              <w:rPr>
                <w:rFonts w:hint="default" w:ascii="Times New Roman" w:hAnsi="Times New Roman" w:eastAsia="宋体" w:cs="Times New Roman"/>
                <w:color w:val="auto"/>
                <w:kern w:val="0"/>
                <w:szCs w:val="21"/>
                <w:highlight w:val="none"/>
              </w:rPr>
              <w:t>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原</w:t>
            </w:r>
            <w:r>
              <w:rPr>
                <w:rFonts w:hint="default" w:ascii="Times New Roman" w:hAnsi="Times New Roman" w:eastAsia="宋体" w:cs="Times New Roman"/>
                <w:color w:val="auto"/>
                <w:kern w:val="0"/>
                <w:szCs w:val="21"/>
                <w:highlight w:val="none"/>
              </w:rPr>
              <w:t>材</w:t>
            </w:r>
            <w:r>
              <w:rPr>
                <w:rFonts w:hint="default" w:ascii="Times New Roman" w:hAnsi="Times New Roman" w:eastAsia="宋体" w:cs="Times New Roman"/>
                <w:color w:val="auto"/>
                <w:kern w:val="0"/>
                <w:szCs w:val="21"/>
                <w:highlight w:val="none"/>
                <w:lang w:eastAsia="zh-TW"/>
              </w:rPr>
              <w:t>料库</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汽车运输</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外购</w:t>
            </w:r>
          </w:p>
        </w:tc>
      </w:tr>
      <w:tr>
        <w:tblPrEx>
          <w:tblCellMar>
            <w:top w:w="0" w:type="dxa"/>
            <w:left w:w="108" w:type="dxa"/>
            <w:bottom w:w="0" w:type="dxa"/>
            <w:right w:w="108" w:type="dxa"/>
          </w:tblCellMar>
        </w:tblPrEx>
        <w:trPr>
          <w:trHeight w:val="340" w:hRule="atLeast"/>
          <w:jc w:val="center"/>
        </w:trPr>
        <w:tc>
          <w:tcPr>
            <w:tcW w:w="3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3</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双抗色母粒</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89.5</w:t>
            </w:r>
            <w:r>
              <w:rPr>
                <w:rFonts w:hint="default" w:ascii="Times New Roman" w:hAnsi="Times New Roman" w:eastAsia="宋体" w:cs="Times New Roman"/>
                <w:color w:val="auto"/>
                <w:kern w:val="0"/>
                <w:szCs w:val="21"/>
                <w:highlight w:val="none"/>
              </w:rPr>
              <w:t>t/a</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3.7</w:t>
            </w:r>
            <w:r>
              <w:rPr>
                <w:rFonts w:hint="default" w:ascii="Times New Roman" w:hAnsi="Times New Roman" w:eastAsia="宋体" w:cs="Times New Roman"/>
                <w:color w:val="auto"/>
                <w:kern w:val="0"/>
                <w:szCs w:val="21"/>
                <w:highlight w:val="none"/>
              </w:rPr>
              <w:t>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原</w:t>
            </w:r>
            <w:r>
              <w:rPr>
                <w:rFonts w:hint="default" w:ascii="Times New Roman" w:hAnsi="Times New Roman" w:eastAsia="宋体" w:cs="Times New Roman"/>
                <w:color w:val="auto"/>
                <w:kern w:val="0"/>
                <w:szCs w:val="21"/>
                <w:highlight w:val="none"/>
              </w:rPr>
              <w:t>材</w:t>
            </w:r>
            <w:r>
              <w:rPr>
                <w:rFonts w:hint="default" w:ascii="Times New Roman" w:hAnsi="Times New Roman" w:eastAsia="宋体" w:cs="Times New Roman"/>
                <w:color w:val="auto"/>
                <w:kern w:val="0"/>
                <w:szCs w:val="21"/>
                <w:highlight w:val="none"/>
                <w:lang w:eastAsia="zh-TW"/>
              </w:rPr>
              <w:t>料库</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汽车运输</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外购</w:t>
            </w:r>
          </w:p>
        </w:tc>
      </w:tr>
      <w:tr>
        <w:tblPrEx>
          <w:tblCellMar>
            <w:top w:w="0" w:type="dxa"/>
            <w:left w:w="108" w:type="dxa"/>
            <w:bottom w:w="0" w:type="dxa"/>
            <w:right w:w="108" w:type="dxa"/>
          </w:tblCellMar>
        </w:tblPrEx>
        <w:trPr>
          <w:trHeight w:val="340" w:hRule="atLeast"/>
          <w:jc w:val="center"/>
        </w:trPr>
        <w:tc>
          <w:tcPr>
            <w:tcW w:w="3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4</w:t>
            </w:r>
          </w:p>
        </w:tc>
        <w:tc>
          <w:tcPr>
            <w:tcW w:w="3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能耗</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水</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CN"/>
              </w:rPr>
              <w:t>1422</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3</w:t>
            </w:r>
            <w:r>
              <w:rPr>
                <w:rFonts w:hint="default" w:ascii="Times New Roman" w:hAnsi="Times New Roman" w:eastAsia="宋体" w:cs="Times New Roman"/>
                <w:color w:val="auto"/>
                <w:kern w:val="0"/>
                <w:szCs w:val="21"/>
                <w:highlight w:val="none"/>
              </w:rPr>
              <w:t>/a</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自来水管网</w:t>
            </w:r>
          </w:p>
        </w:tc>
      </w:tr>
      <w:tr>
        <w:tblPrEx>
          <w:tblCellMar>
            <w:top w:w="0" w:type="dxa"/>
            <w:left w:w="108" w:type="dxa"/>
            <w:bottom w:w="0" w:type="dxa"/>
            <w:right w:w="108" w:type="dxa"/>
          </w:tblCellMar>
        </w:tblPrEx>
        <w:trPr>
          <w:trHeight w:val="340" w:hRule="atLeast"/>
          <w:jc w:val="center"/>
        </w:trPr>
        <w:tc>
          <w:tcPr>
            <w:tcW w:w="3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5</w:t>
            </w:r>
          </w:p>
        </w:tc>
        <w:tc>
          <w:tcPr>
            <w:tcW w:w="340"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电</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248.4万KWh</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市政供电</w:t>
            </w:r>
          </w:p>
        </w:tc>
      </w:tr>
    </w:tbl>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表3.1-</w:t>
      </w:r>
      <w:r>
        <w:rPr>
          <w:rFonts w:hint="default" w:ascii="Times New Roman" w:hAnsi="Times New Roman" w:eastAsia="宋体" w:cs="Times New Roman"/>
          <w:b/>
          <w:color w:val="auto"/>
          <w:sz w:val="24"/>
          <w:highlight w:val="none"/>
          <w:lang w:val="en-US" w:eastAsia="zh-CN"/>
        </w:rPr>
        <w:t xml:space="preserve">5  </w:t>
      </w:r>
      <w:r>
        <w:rPr>
          <w:rFonts w:hint="default" w:ascii="Times New Roman" w:hAnsi="Times New Roman" w:eastAsia="宋体" w:cs="Times New Roman"/>
          <w:b/>
          <w:color w:val="auto"/>
          <w:sz w:val="24"/>
          <w:highlight w:val="none"/>
        </w:rPr>
        <w:t xml:space="preserve"> 主要原辅材料特性表</w:t>
      </w:r>
    </w:p>
    <w:tbl>
      <w:tblPr>
        <w:tblStyle w:val="90"/>
        <w:tblW w:w="8260" w:type="dxa"/>
        <w:jc w:val="center"/>
        <w:tblLayout w:type="fixed"/>
        <w:tblCellMar>
          <w:top w:w="0" w:type="dxa"/>
          <w:left w:w="108" w:type="dxa"/>
          <w:bottom w:w="0" w:type="dxa"/>
          <w:right w:w="108" w:type="dxa"/>
        </w:tblCellMar>
      </w:tblPr>
      <w:tblGrid>
        <w:gridCol w:w="1310"/>
        <w:gridCol w:w="6950"/>
      </w:tblGrid>
      <w:tr>
        <w:tblPrEx>
          <w:tblCellMar>
            <w:top w:w="0" w:type="dxa"/>
            <w:left w:w="108" w:type="dxa"/>
            <w:bottom w:w="0" w:type="dxa"/>
            <w:right w:w="108" w:type="dxa"/>
          </w:tblCellMar>
        </w:tblPrEx>
        <w:trPr>
          <w:trHeight w:val="340" w:hRule="atLeast"/>
          <w:jc w:val="center"/>
        </w:trPr>
        <w:tc>
          <w:tcPr>
            <w:tcW w:w="13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原料名称</w:t>
            </w: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聚乙烯</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PE</w:t>
            </w:r>
            <w:r>
              <w:rPr>
                <w:rFonts w:hint="default" w:ascii="Times New Roman" w:hAnsi="Times New Roman" w:eastAsia="宋体" w:cs="Times New Roman"/>
                <w:color w:val="auto"/>
                <w:kern w:val="0"/>
                <w:sz w:val="21"/>
                <w:szCs w:val="21"/>
                <w:highlight w:val="none"/>
                <w:lang w:eastAsia="zh-CN"/>
              </w:rPr>
              <w:t>）</w:t>
            </w:r>
          </w:p>
        </w:tc>
      </w:tr>
      <w:tr>
        <w:tblPrEx>
          <w:tblCellMar>
            <w:top w:w="0" w:type="dxa"/>
            <w:left w:w="108" w:type="dxa"/>
            <w:bottom w:w="0" w:type="dxa"/>
            <w:right w:w="108" w:type="dxa"/>
          </w:tblCellMar>
        </w:tblPrEx>
        <w:trPr>
          <w:trHeight w:val="340" w:hRule="atLeast"/>
          <w:jc w:val="center"/>
        </w:trPr>
        <w:tc>
          <w:tcPr>
            <w:tcW w:w="13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特性</w:t>
            </w: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left"/>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白色蜡状半透明材料，柔而韧，比水轻，无毒，具有优越的介电性能。CAS： 900-88-4；密度0.95；闪点：270°C。透水性差，对有机蒸汽透过率较大。高密度聚乙烯熔点范围132〜135</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，成型范围160〜2</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TW"/>
              </w:rPr>
              <w:t>0</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；低密度聚乙烯熔点较低（112C）且范围宽，成型范围140〜2</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TW"/>
              </w:rPr>
              <w:t>0</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，裂解温度</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lang w:eastAsia="zh-TW"/>
              </w:rPr>
              <w:t>0</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w:t>
            </w:r>
          </w:p>
        </w:tc>
      </w:tr>
      <w:tr>
        <w:tblPrEx>
          <w:tblCellMar>
            <w:top w:w="0" w:type="dxa"/>
            <w:left w:w="108" w:type="dxa"/>
            <w:bottom w:w="0" w:type="dxa"/>
            <w:right w:w="108" w:type="dxa"/>
          </w:tblCellMar>
        </w:tblPrEx>
        <w:trPr>
          <w:trHeight w:val="340" w:hRule="atLeast"/>
          <w:jc w:val="center"/>
        </w:trPr>
        <w:tc>
          <w:tcPr>
            <w:tcW w:w="13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燃烧特性</w:t>
            </w: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left"/>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具有燃烧性，易燃。一般由于受到外来的热而分解出可燃性气体，并于空气中的氧气相混合而着火，离火后继续燃烧，火焰的上端呈黄色，下端呈蓝色，有少量黑烟产生，燃烧时发出石油味。燃烧后熔融滴落。</w:t>
            </w:r>
          </w:p>
        </w:tc>
      </w:tr>
      <w:tr>
        <w:tblPrEx>
          <w:tblCellMar>
            <w:top w:w="0" w:type="dxa"/>
            <w:left w:w="108" w:type="dxa"/>
            <w:bottom w:w="0" w:type="dxa"/>
            <w:right w:w="108" w:type="dxa"/>
          </w:tblCellMar>
        </w:tblPrEx>
        <w:trPr>
          <w:trHeight w:val="340" w:hRule="atLeast"/>
          <w:jc w:val="center"/>
        </w:trPr>
        <w:tc>
          <w:tcPr>
            <w:tcW w:w="13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优点</w:t>
            </w: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left"/>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具有优良的耐低温性能，最低使用温度可达到-70〜-100</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TW"/>
              </w:rPr>
              <w:t>，化学稳定性好，能耐大多数酸碱的侵蚀，不耐具有氧化性质的酸，常温下不溶于一般溶剂，吸水性小，电绝缘性能良好。</w:t>
            </w:r>
          </w:p>
        </w:tc>
      </w:tr>
      <w:tr>
        <w:tblPrEx>
          <w:tblCellMar>
            <w:top w:w="0" w:type="dxa"/>
            <w:left w:w="108" w:type="dxa"/>
            <w:bottom w:w="0" w:type="dxa"/>
            <w:right w:w="108" w:type="dxa"/>
          </w:tblCellMar>
        </w:tblPrEx>
        <w:trPr>
          <w:trHeight w:val="340" w:hRule="atLeast"/>
          <w:jc w:val="center"/>
        </w:trPr>
        <w:tc>
          <w:tcPr>
            <w:tcW w:w="13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缺点</w:t>
            </w: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聚乙烯对于环境适应力（化学与机械作用）是很敏感的，耐热老化性差。</w:t>
            </w:r>
          </w:p>
        </w:tc>
      </w:tr>
    </w:tbl>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色母粒，是一种新型高分子材料专用着色剂，亦称颜料制备物（PigmentPreparation）。色母主要用在塑料上。色母由颜料或染料、载体和添加剂三种基本要素所组成，是把超常量的颜料均匀载附于树脂之中而制得的聚集体，可称颜料浓缩物（Pigment Concentration），所以它的着色力高于颜料本身。加工时用少量色母料和未着色树脂掺混，就可达到设计颜料浓度的着色树脂或制品。</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rPr>
        <w:t>本项目所用色母粒为PE专用色母粒，主要成分为高色素炭，载体为LLDPE+特殊树脂</w:t>
      </w:r>
      <w:r>
        <w:rPr>
          <w:rFonts w:hint="default" w:ascii="Times New Roman" w:hAnsi="Times New Roman" w:eastAsia="宋体" w:cs="Times New Roman"/>
          <w:color w:val="auto"/>
          <w:sz w:val="24"/>
          <w:szCs w:val="32"/>
          <w:highlight w:val="none"/>
          <w:lang w:val="en-US" w:eastAsia="zh-CN"/>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本项目全厂物料平衡见表3.</w:t>
      </w:r>
      <w:r>
        <w:rPr>
          <w:rFonts w:hint="default"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rPr>
        <w:t>及图3.</w:t>
      </w:r>
      <w:r>
        <w:rPr>
          <w:rFonts w:hint="default" w:ascii="Times New Roman" w:hAnsi="Times New Roman" w:eastAsia="宋体" w:cs="Times New Roman"/>
          <w:color w:val="auto"/>
          <w:sz w:val="24"/>
          <w:highlight w:val="none"/>
          <w:lang w:val="en-US" w:eastAsia="zh-CN"/>
        </w:rPr>
        <w:t>1-4</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rPr>
        <w:t>表3.</w:t>
      </w:r>
      <w:r>
        <w:rPr>
          <w:rFonts w:hint="default" w:ascii="Times New Roman" w:hAnsi="Times New Roman" w:eastAsia="宋体" w:cs="Times New Roman"/>
          <w:b/>
          <w:color w:val="auto"/>
          <w:sz w:val="24"/>
          <w:highlight w:val="none"/>
          <w:lang w:val="en-US" w:eastAsia="zh-CN"/>
        </w:rPr>
        <w:t>1-6</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全厂物料平衡表</w:t>
      </w:r>
      <w:r>
        <w:rPr>
          <w:rFonts w:hint="default" w:ascii="Times New Roman" w:hAnsi="Times New Roman" w:eastAsia="宋体" w:cs="Times New Roman"/>
          <w:b/>
          <w:color w:val="auto"/>
          <w:sz w:val="24"/>
          <w:highlight w:val="none"/>
          <w:lang w:val="en-US" w:eastAsia="zh-CN"/>
        </w:rPr>
        <w:t xml:space="preserve">  单位t/a</w:t>
      </w:r>
    </w:p>
    <w:tbl>
      <w:tblPr>
        <w:tblStyle w:val="90"/>
        <w:tblW w:w="8260" w:type="dxa"/>
        <w:jc w:val="center"/>
        <w:tblLayout w:type="fixed"/>
        <w:tblCellMar>
          <w:top w:w="0" w:type="dxa"/>
          <w:left w:w="108" w:type="dxa"/>
          <w:bottom w:w="0" w:type="dxa"/>
          <w:right w:w="108" w:type="dxa"/>
        </w:tblCellMar>
      </w:tblPr>
      <w:tblGrid>
        <w:gridCol w:w="838"/>
        <w:gridCol w:w="1777"/>
        <w:gridCol w:w="1216"/>
        <w:gridCol w:w="3125"/>
        <w:gridCol w:w="1304"/>
      </w:tblGrid>
      <w:tr>
        <w:tblPrEx>
          <w:tblCellMar>
            <w:top w:w="0" w:type="dxa"/>
            <w:left w:w="108" w:type="dxa"/>
            <w:bottom w:w="0" w:type="dxa"/>
            <w:right w:w="108" w:type="dxa"/>
          </w:tblCellMar>
        </w:tblPrEx>
        <w:trPr>
          <w:trHeight w:val="340" w:hRule="atLeast"/>
          <w:jc w:val="center"/>
        </w:trPr>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序号</w:t>
            </w:r>
          </w:p>
        </w:tc>
        <w:tc>
          <w:tcPr>
            <w:tcW w:w="2993" w:type="dxa"/>
            <w:gridSpan w:val="2"/>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投入</w:t>
            </w:r>
          </w:p>
        </w:tc>
        <w:tc>
          <w:tcPr>
            <w:tcW w:w="4429" w:type="dxa"/>
            <w:gridSpan w:val="2"/>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产出</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1</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废旧：PE塑料</w:t>
            </w: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Cs w:val="21"/>
                <w:highlight w:val="none"/>
                <w:lang w:val="en-US" w:eastAsia="zh-CN"/>
              </w:rPr>
              <w:t>9</w:t>
            </w:r>
            <w:r>
              <w:rPr>
                <w:rFonts w:hint="default" w:ascii="Times New Roman" w:hAnsi="Times New Roman" w:eastAsia="宋体" w:cs="Times New Roman"/>
                <w:color w:val="auto"/>
                <w:kern w:val="0"/>
                <w:szCs w:val="21"/>
                <w:highlight w:val="none"/>
                <w:lang w:eastAsia="zh-CN"/>
              </w:rPr>
              <w:t>000</w:t>
            </w: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单翼迷宫式滴灌带</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5000</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rPr>
              <w:t>2</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外购聚乙烯颗粒</w:t>
            </w: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120</w:t>
            </w: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rPr>
              <w:t>PE管材管件</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00</w:t>
            </w:r>
            <w:r>
              <w:rPr>
                <w:rFonts w:hint="default" w:ascii="Times New Roman" w:hAnsi="Times New Roman" w:eastAsia="宋体" w:cs="Times New Roman"/>
                <w:color w:val="auto"/>
                <w:kern w:val="0"/>
                <w:sz w:val="21"/>
                <w:szCs w:val="21"/>
                <w:highlight w:val="none"/>
                <w:lang w:val="en-US" w:eastAsia="zh-CN"/>
              </w:rPr>
              <w:t>0</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3</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双抗色母粒</w:t>
            </w: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89.5</w:t>
            </w: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地膜</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2000</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分拣固废</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103.778</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5</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三级沉淀池沉渣</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74.7</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挤塑、切粒产生</w:t>
            </w:r>
            <w:r>
              <w:rPr>
                <w:rFonts w:hint="default" w:ascii="Times New Roman" w:hAnsi="Times New Roman" w:eastAsia="宋体" w:cs="Times New Roman"/>
                <w:color w:val="auto"/>
                <w:kern w:val="0"/>
                <w:sz w:val="21"/>
                <w:szCs w:val="21"/>
                <w:highlight w:val="none"/>
                <w:lang w:eastAsia="zh-CN"/>
              </w:rPr>
              <w:t>的</w:t>
            </w:r>
            <w:r>
              <w:rPr>
                <w:rFonts w:hint="default" w:ascii="Times New Roman" w:hAnsi="Times New Roman" w:eastAsia="宋体" w:cs="Times New Roman"/>
                <w:color w:val="auto"/>
                <w:kern w:val="0"/>
                <w:sz w:val="21"/>
                <w:szCs w:val="21"/>
                <w:highlight w:val="none"/>
                <w:lang w:eastAsia="zh-TW"/>
              </w:rPr>
              <w:t>非甲烷总烃</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lang w:val="en-US" w:eastAsia="zh-CN"/>
              </w:rPr>
              <w:t>3.15</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7</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挤塑、切粒</w:t>
            </w:r>
            <w:r>
              <w:rPr>
                <w:rFonts w:hint="default" w:ascii="Times New Roman" w:hAnsi="Times New Roman" w:eastAsia="宋体" w:cs="Times New Roman"/>
                <w:color w:val="auto"/>
                <w:kern w:val="0"/>
                <w:sz w:val="21"/>
                <w:szCs w:val="21"/>
                <w:highlight w:val="none"/>
                <w:lang w:val="en-US" w:eastAsia="zh-CN"/>
              </w:rPr>
              <w:t>产生</w:t>
            </w:r>
            <w:r>
              <w:rPr>
                <w:rFonts w:hint="default" w:ascii="Times New Roman" w:hAnsi="Times New Roman" w:eastAsia="宋体" w:cs="Times New Roman"/>
                <w:color w:val="auto"/>
                <w:kern w:val="0"/>
                <w:sz w:val="21"/>
                <w:szCs w:val="21"/>
                <w:highlight w:val="none"/>
                <w:lang w:eastAsia="zh-CN"/>
              </w:rPr>
              <w:t>的</w:t>
            </w:r>
            <w:r>
              <w:rPr>
                <w:rFonts w:hint="default" w:ascii="Times New Roman" w:hAnsi="Times New Roman" w:eastAsia="宋体" w:cs="Times New Roman"/>
                <w:color w:val="auto"/>
                <w:kern w:val="0"/>
                <w:sz w:val="21"/>
                <w:szCs w:val="21"/>
                <w:highlight w:val="none"/>
                <w:lang w:val="en-US" w:eastAsia="zh-CN"/>
              </w:rPr>
              <w:t>颗粒物</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lang w:val="en-US" w:eastAsia="zh-CN"/>
              </w:rPr>
              <w:t>9.96</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8</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吹塑</w:t>
            </w:r>
            <w:r>
              <w:rPr>
                <w:rFonts w:hint="default" w:ascii="Times New Roman" w:hAnsi="Times New Roman" w:eastAsia="宋体" w:cs="Times New Roman"/>
                <w:color w:val="auto"/>
                <w:kern w:val="0"/>
                <w:sz w:val="21"/>
                <w:szCs w:val="21"/>
                <w:highlight w:val="none"/>
                <w:lang w:val="en-US" w:eastAsia="zh-CN"/>
              </w:rPr>
              <w:t>产生</w:t>
            </w:r>
            <w:r>
              <w:rPr>
                <w:rFonts w:hint="default" w:ascii="Times New Roman" w:hAnsi="Times New Roman" w:eastAsia="宋体" w:cs="Times New Roman"/>
                <w:color w:val="auto"/>
                <w:kern w:val="0"/>
                <w:sz w:val="21"/>
                <w:szCs w:val="21"/>
                <w:highlight w:val="none"/>
                <w:lang w:eastAsia="zh-CN"/>
              </w:rPr>
              <w:t>的</w:t>
            </w:r>
            <w:r>
              <w:rPr>
                <w:rFonts w:hint="default" w:ascii="Times New Roman" w:hAnsi="Times New Roman" w:eastAsia="宋体" w:cs="Times New Roman"/>
                <w:color w:val="auto"/>
                <w:kern w:val="0"/>
                <w:sz w:val="21"/>
                <w:szCs w:val="21"/>
                <w:highlight w:val="none"/>
                <w:lang w:eastAsia="zh-TW"/>
              </w:rPr>
              <w:t>非甲烷总烃</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rPr>
              <w:t>13.5</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9</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吹塑</w:t>
            </w:r>
            <w:r>
              <w:rPr>
                <w:rFonts w:hint="default" w:ascii="Times New Roman" w:hAnsi="Times New Roman" w:eastAsia="宋体" w:cs="Times New Roman"/>
                <w:color w:val="auto"/>
                <w:kern w:val="0"/>
                <w:sz w:val="21"/>
                <w:szCs w:val="21"/>
                <w:highlight w:val="none"/>
                <w:lang w:val="en-US" w:eastAsia="zh-CN"/>
              </w:rPr>
              <w:t>产生</w:t>
            </w:r>
            <w:r>
              <w:rPr>
                <w:rFonts w:hint="default" w:ascii="Times New Roman" w:hAnsi="Times New Roman" w:eastAsia="宋体" w:cs="Times New Roman"/>
                <w:color w:val="auto"/>
                <w:kern w:val="0"/>
                <w:sz w:val="21"/>
                <w:szCs w:val="21"/>
                <w:highlight w:val="none"/>
                <w:lang w:eastAsia="zh-CN"/>
              </w:rPr>
              <w:t>的</w:t>
            </w:r>
            <w:r>
              <w:rPr>
                <w:rFonts w:hint="default" w:ascii="Times New Roman" w:hAnsi="Times New Roman" w:eastAsia="宋体" w:cs="Times New Roman"/>
                <w:color w:val="auto"/>
                <w:kern w:val="0"/>
                <w:sz w:val="21"/>
                <w:szCs w:val="21"/>
                <w:highlight w:val="none"/>
                <w:lang w:val="en-US" w:eastAsia="zh-CN"/>
              </w:rPr>
              <w:t>颗粒物</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3.80</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排放的</w:t>
            </w:r>
            <w:r>
              <w:rPr>
                <w:rFonts w:hint="default" w:ascii="Times New Roman" w:hAnsi="Times New Roman" w:eastAsia="宋体" w:cs="Times New Roman"/>
                <w:color w:val="auto"/>
                <w:kern w:val="0"/>
                <w:sz w:val="21"/>
                <w:szCs w:val="21"/>
                <w:highlight w:val="none"/>
                <w:lang w:eastAsia="zh-CN"/>
              </w:rPr>
              <w:t>混料</w:t>
            </w:r>
            <w:r>
              <w:rPr>
                <w:rFonts w:hint="default" w:ascii="Times New Roman" w:hAnsi="Times New Roman" w:eastAsia="宋体" w:cs="Times New Roman"/>
                <w:color w:val="auto"/>
                <w:kern w:val="0"/>
                <w:sz w:val="21"/>
                <w:szCs w:val="21"/>
                <w:highlight w:val="none"/>
                <w:lang w:val="en-US" w:eastAsia="zh-CN"/>
              </w:rPr>
              <w:t>颗粒物</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54</w:t>
            </w:r>
          </w:p>
        </w:tc>
      </w:tr>
      <w:tr>
        <w:tblPrEx>
          <w:tblCellMar>
            <w:top w:w="0" w:type="dxa"/>
            <w:left w:w="108" w:type="dxa"/>
            <w:bottom w:w="0" w:type="dxa"/>
            <w:right w:w="108" w:type="dxa"/>
          </w:tblCellMar>
        </w:tblPrEx>
        <w:trPr>
          <w:trHeight w:val="258"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废滤网附着的塑料</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r>
              <w:rPr>
                <w:rFonts w:hint="default" w:ascii="Times New Roman" w:hAnsi="Times New Roman" w:eastAsia="宋体" w:cs="Times New Roman"/>
                <w:color w:val="auto"/>
                <w:kern w:val="0"/>
                <w:sz w:val="21"/>
                <w:szCs w:val="21"/>
                <w:highlight w:val="none"/>
                <w:lang w:val="en-US" w:eastAsia="zh-CN"/>
              </w:rPr>
              <w:t>0.072</w:t>
            </w:r>
          </w:p>
        </w:tc>
      </w:tr>
      <w:tr>
        <w:tblPrEx>
          <w:tblCellMar>
            <w:top w:w="0" w:type="dxa"/>
            <w:left w:w="108" w:type="dxa"/>
            <w:bottom w:w="0" w:type="dxa"/>
            <w:right w:w="108" w:type="dxa"/>
          </w:tblCellMar>
        </w:tblPrEx>
        <w:trPr>
          <w:trHeight w:val="34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小计</w:t>
            </w:r>
          </w:p>
        </w:tc>
        <w:tc>
          <w:tcPr>
            <w:tcW w:w="1777"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w:t>
            </w:r>
          </w:p>
        </w:tc>
        <w:tc>
          <w:tcPr>
            <w:tcW w:w="121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9209.5</w:t>
            </w:r>
          </w:p>
        </w:tc>
        <w:tc>
          <w:tcPr>
            <w:tcW w:w="312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w:t>
            </w:r>
          </w:p>
        </w:tc>
        <w:tc>
          <w:tcPr>
            <w:tcW w:w="130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9209.5</w:t>
            </w:r>
          </w:p>
        </w:tc>
      </w:tr>
    </w:tbl>
    <w:p>
      <w:pPr>
        <w:shd w:val="clear"/>
        <w:spacing w:line="360" w:lineRule="auto"/>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color w:val="auto"/>
          <w:highlight w:val="none"/>
        </w:rPr>
        <w:object>
          <v:shape id="_x0000_i1025" o:spt="75" type="#_x0000_t75" style="height:251.55pt;width:425.2pt;" o:ole="t" filled="f" o:preferrelative="t" stroked="f" coordsize="21600,21600">
            <v:path/>
            <v:fill on="f" focussize="0,0"/>
            <v:stroke on="f"/>
            <v:imagedata r:id="rId22" o:title=""/>
            <o:lock v:ext="edit" aspectratio="t"/>
            <w10:wrap type="none"/>
            <w10:anchorlock/>
          </v:shape>
          <o:OLEObject Type="Embed" ProgID="Visio.Drawing.11" ShapeID="_x0000_i1025" DrawAspect="Content" ObjectID="_1468075725" r:id="rId21">
            <o:LockedField>false</o:LockedField>
          </o:OLEObject>
        </w:object>
      </w:r>
      <w:r>
        <w:rPr>
          <w:rFonts w:hint="default" w:ascii="Times New Roman" w:hAnsi="Times New Roman" w:eastAsia="宋体" w:cs="Times New Roman"/>
          <w:b/>
          <w:color w:val="auto"/>
          <w:kern w:val="0"/>
          <w:sz w:val="24"/>
          <w:highlight w:val="none"/>
        </w:rPr>
        <w:t>图3.</w:t>
      </w:r>
      <w:r>
        <w:rPr>
          <w:rFonts w:hint="default" w:ascii="Times New Roman" w:hAnsi="Times New Roman" w:eastAsia="宋体" w:cs="Times New Roman"/>
          <w:b/>
          <w:color w:val="auto"/>
          <w:kern w:val="0"/>
          <w:sz w:val="24"/>
          <w:highlight w:val="none"/>
          <w:lang w:val="en-US" w:eastAsia="zh-CN"/>
        </w:rPr>
        <w:t>1-4</w:t>
      </w:r>
      <w:r>
        <w:rPr>
          <w:rFonts w:hint="default" w:ascii="Times New Roman" w:hAnsi="Times New Roman" w:eastAsia="宋体" w:cs="Times New Roman"/>
          <w:b/>
          <w:color w:val="auto"/>
          <w:kern w:val="0"/>
          <w:sz w:val="24"/>
          <w:highlight w:val="none"/>
        </w:rPr>
        <w:t xml:space="preserve"> 全厂物料平衡图  单位</w:t>
      </w:r>
      <w:r>
        <w:rPr>
          <w:rFonts w:hint="default" w:ascii="Times New Roman" w:hAnsi="Times New Roman" w:eastAsia="宋体" w:cs="Times New Roman"/>
          <w:b/>
          <w:color w:val="auto"/>
          <w:kern w:val="0"/>
          <w:sz w:val="24"/>
          <w:highlight w:val="none"/>
          <w:lang w:eastAsia="zh-CN"/>
        </w:rPr>
        <w:t>：</w:t>
      </w:r>
      <w:r>
        <w:rPr>
          <w:rFonts w:hint="default" w:ascii="Times New Roman" w:hAnsi="Times New Roman" w:eastAsia="宋体" w:cs="Times New Roman"/>
          <w:b/>
          <w:color w:val="auto"/>
          <w:kern w:val="0"/>
          <w:sz w:val="24"/>
          <w:highlight w:val="none"/>
        </w:rPr>
        <w:t>t/a</w:t>
      </w:r>
    </w:p>
    <w:p>
      <w:pPr>
        <w:pStyle w:val="6"/>
        <w:keepLines w:val="0"/>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3.1.5 废旧塑料来源控制要求</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本项目产品为滴灌带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PE管材管件和地膜</w:t>
      </w:r>
      <w:r>
        <w:rPr>
          <w:rFonts w:hint="default" w:ascii="Times New Roman" w:hAnsi="Times New Roman" w:eastAsia="宋体" w:cs="Times New Roman"/>
          <w:color w:val="auto"/>
          <w:sz w:val="24"/>
          <w:szCs w:val="24"/>
          <w:highlight w:val="none"/>
        </w:rPr>
        <w:t>，由于生产工艺的要求，只能使用PE颗粒作为原材料，才能保证产品达到质量要求，故本项目在废旧塑料回收时，只回收农业生产过程中产生的废</w:t>
      </w:r>
      <w:r>
        <w:rPr>
          <w:rFonts w:hint="default" w:ascii="Times New Roman" w:hAnsi="Times New Roman" w:eastAsia="宋体" w:cs="Times New Roman"/>
          <w:color w:val="auto"/>
          <w:kern w:val="0"/>
          <w:sz w:val="24"/>
          <w:szCs w:val="24"/>
          <w:highlight w:val="none"/>
          <w:lang w:eastAsia="zh-TW"/>
        </w:rPr>
        <w:t>滴灌带</w:t>
      </w:r>
      <w:r>
        <w:rPr>
          <w:rFonts w:hint="default" w:ascii="Times New Roman" w:hAnsi="Times New Roman" w:eastAsia="宋体" w:cs="Times New Roman"/>
          <w:color w:val="auto"/>
          <w:kern w:val="0"/>
          <w:sz w:val="24"/>
          <w:szCs w:val="24"/>
          <w:highlight w:val="none"/>
        </w:rPr>
        <w:t>、水带、地膜及</w:t>
      </w:r>
      <w:r>
        <w:rPr>
          <w:rFonts w:hint="default" w:ascii="Times New Roman" w:hAnsi="Times New Roman" w:eastAsia="宋体" w:cs="Times New Roman"/>
          <w:color w:val="auto"/>
          <w:kern w:val="0"/>
          <w:sz w:val="24"/>
          <w:szCs w:val="24"/>
          <w:highlight w:val="none"/>
          <w:lang w:eastAsia="zh-TW"/>
        </w:rPr>
        <w:t>棚膜</w:t>
      </w:r>
      <w:r>
        <w:rPr>
          <w:rFonts w:hint="default" w:ascii="Times New Roman" w:hAnsi="Times New Roman" w:eastAsia="宋体" w:cs="Times New Roman"/>
          <w:color w:val="auto"/>
          <w:sz w:val="24"/>
          <w:szCs w:val="24"/>
          <w:highlight w:val="none"/>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本项目不回收PP、PVC类塑料，不回收不符合本项目生产需要的废塑料；对各类废塑料根据生产要求、按计划回收、分期分批入库，严格控制贮存量。</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不涉及进口废塑料再生利用。回收的废旧塑料不含卤素，不回收工程塑料；不回收危险废物废旧塑料，包括被危险化学品、农药等污染的废弃塑料包装物；废弃的一次性医疗用塑料制品（如输液器、血袋）；盛装农药、废染料、强酸、强碱的废塑料等。</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综上所述，项目所用废旧塑料主要为废滴灌带、水带、地膜及棚膜，来源稳定、可靠，满足《废塑料回收与再生利用污染控制技术规范》（HJ/T364-2007）要求。</w:t>
      </w:r>
    </w:p>
    <w:p>
      <w:pPr>
        <w:pStyle w:val="6"/>
        <w:keepLines w:val="0"/>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3.1.6 产品方案</w:t>
      </w:r>
    </w:p>
    <w:p>
      <w:pPr>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本项目主要建设2条再生塑料颗粒生产线，</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条滴灌带生产线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4条PE管材管件生产线和2条地膜生产线。</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年回收</w:t>
      </w:r>
      <w:r>
        <w:rPr>
          <w:rFonts w:hint="default" w:ascii="Times New Roman" w:hAnsi="Times New Roman" w:eastAsia="宋体" w:cs="Times New Roman"/>
          <w:color w:val="auto"/>
          <w:sz w:val="24"/>
          <w:szCs w:val="24"/>
          <w:highlight w:val="none"/>
          <w:lang w:eastAsia="zh-CN"/>
        </w:rPr>
        <w:t>处理</w:t>
      </w:r>
      <w:r>
        <w:rPr>
          <w:rFonts w:hint="default" w:ascii="Times New Roman" w:hAnsi="Times New Roman" w:eastAsia="宋体" w:cs="Times New Roman"/>
          <w:color w:val="auto"/>
          <w:sz w:val="24"/>
          <w:szCs w:val="24"/>
          <w:highlight w:val="none"/>
        </w:rPr>
        <w:t>废旧塑料</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000吨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年生产滴灌带5000t，年生产地膜2000t，年生产PE管材管件2000t</w:t>
      </w:r>
      <w:r>
        <w:rPr>
          <w:rFonts w:hint="default" w:ascii="Times New Roman" w:hAnsi="Times New Roman" w:eastAsia="宋体" w:cs="Times New Roman"/>
          <w:color w:val="auto"/>
          <w:sz w:val="24"/>
          <w:szCs w:val="24"/>
          <w:highlight w:val="none"/>
          <w:lang w:eastAsia="zh-CN"/>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项目产品方案具体情况见表3.1-</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4"/>
          <w:highlight w:val="none"/>
        </w:rPr>
        <w:t>表3.1-</w:t>
      </w:r>
      <w:r>
        <w:rPr>
          <w:rFonts w:hint="default" w:ascii="Times New Roman" w:hAnsi="Times New Roman" w:eastAsia="宋体" w:cs="Times New Roman"/>
          <w:b/>
          <w:color w:val="auto"/>
          <w:sz w:val="24"/>
          <w:highlight w:val="none"/>
          <w:lang w:val="en-US" w:eastAsia="zh-CN"/>
        </w:rPr>
        <w:t xml:space="preserve">7 </w:t>
      </w:r>
      <w:r>
        <w:rPr>
          <w:rFonts w:hint="default" w:ascii="Times New Roman" w:hAnsi="Times New Roman" w:eastAsia="宋体" w:cs="Times New Roman"/>
          <w:b/>
          <w:color w:val="auto"/>
          <w:sz w:val="24"/>
          <w:highlight w:val="none"/>
        </w:rPr>
        <w:t xml:space="preserve"> 项目产品生产规模表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6"/>
        <w:gridCol w:w="2270"/>
        <w:gridCol w:w="3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产品</w:t>
            </w:r>
          </w:p>
        </w:tc>
        <w:tc>
          <w:tcPr>
            <w:tcW w:w="2270" w:type="dxa"/>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年产量</w:t>
            </w:r>
            <w:r>
              <w:rPr>
                <w:rFonts w:hint="default" w:ascii="Times New Roman" w:hAnsi="Times New Roman" w:eastAsia="宋体" w:cs="Times New Roman"/>
                <w:color w:val="auto"/>
                <w:kern w:val="0"/>
                <w:sz w:val="21"/>
                <w:szCs w:val="21"/>
                <w:highlight w:val="none"/>
              </w:rPr>
              <w:t>（t/a）</w:t>
            </w:r>
          </w:p>
        </w:tc>
        <w:tc>
          <w:tcPr>
            <w:tcW w:w="324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rPr>
              <w:t>单翼迷宫式滴灌带</w:t>
            </w:r>
          </w:p>
        </w:tc>
        <w:tc>
          <w:tcPr>
            <w:tcW w:w="2270" w:type="dxa"/>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5000</w:t>
            </w:r>
          </w:p>
        </w:tc>
        <w:tc>
          <w:tcPr>
            <w:tcW w:w="324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PE，主要成分是聚乙烯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PE管材管件</w:t>
            </w:r>
          </w:p>
        </w:tc>
        <w:tc>
          <w:tcPr>
            <w:tcW w:w="2270" w:type="dxa"/>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00</w:t>
            </w:r>
            <w:r>
              <w:rPr>
                <w:rFonts w:hint="default" w:ascii="Times New Roman" w:hAnsi="Times New Roman" w:eastAsia="宋体" w:cs="Times New Roman"/>
                <w:color w:val="auto"/>
                <w:kern w:val="0"/>
                <w:sz w:val="21"/>
                <w:szCs w:val="21"/>
                <w:highlight w:val="none"/>
                <w:lang w:val="en-US" w:eastAsia="zh-CN"/>
              </w:rPr>
              <w:t>0</w:t>
            </w:r>
          </w:p>
        </w:tc>
        <w:tc>
          <w:tcPr>
            <w:tcW w:w="324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PE，主要成分是聚乙烯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地膜</w:t>
            </w:r>
          </w:p>
        </w:tc>
        <w:tc>
          <w:tcPr>
            <w:tcW w:w="2270" w:type="dxa"/>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2000</w:t>
            </w:r>
          </w:p>
        </w:tc>
        <w:tc>
          <w:tcPr>
            <w:tcW w:w="324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PE，主要成分是聚乙烯</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产品标准执行</w:t>
      </w:r>
      <w:r>
        <w:rPr>
          <w:rFonts w:hint="default" w:ascii="Times New Roman" w:hAnsi="Times New Roman" w:eastAsia="宋体" w:cs="Times New Roman"/>
          <w:b w:val="0"/>
          <w:bCs/>
          <w:color w:val="auto"/>
          <w:sz w:val="24"/>
          <w:highlight w:val="none"/>
        </w:rPr>
        <w:t>《塑料节水灌溉器材 第3部分：内镶式滴灌管及滴灌带》</w:t>
      </w:r>
      <w:r>
        <w:rPr>
          <w:rFonts w:hint="default"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rPr>
        <w:t>GB/T19812.3-2017</w:t>
      </w:r>
      <w:r>
        <w:rPr>
          <w:rFonts w:hint="default" w:ascii="Times New Roman" w:hAnsi="Times New Roman" w:eastAsia="宋体" w:cs="Times New Roman"/>
          <w:b w:val="0"/>
          <w:bCs/>
          <w:color w:val="auto"/>
          <w:sz w:val="24"/>
          <w:highlight w:val="none"/>
          <w:lang w:val="en-US" w:eastAsia="zh-CN"/>
        </w:rPr>
        <w:t>）。</w:t>
      </w:r>
    </w:p>
    <w:p>
      <w:pPr>
        <w:shd w:val="clear"/>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表3.1-</w:t>
      </w:r>
      <w:r>
        <w:rPr>
          <w:rFonts w:hint="default" w:ascii="Times New Roman" w:hAnsi="Times New Roman" w:eastAsia="宋体" w:cs="Times New Roman"/>
          <w:b/>
          <w:color w:val="auto"/>
          <w:sz w:val="24"/>
          <w:highlight w:val="none"/>
          <w:lang w:val="en-US" w:eastAsia="zh-CN"/>
        </w:rPr>
        <w:t xml:space="preserve">8  </w:t>
      </w:r>
      <w:r>
        <w:rPr>
          <w:rFonts w:hint="default" w:ascii="Times New Roman" w:hAnsi="Times New Roman" w:eastAsia="宋体" w:cs="Times New Roman"/>
          <w:b/>
          <w:color w:val="auto"/>
          <w:sz w:val="24"/>
          <w:highlight w:val="none"/>
        </w:rPr>
        <w:t xml:space="preserve"> 项目产品</w:t>
      </w:r>
      <w:r>
        <w:rPr>
          <w:rFonts w:hint="default" w:ascii="Times New Roman" w:hAnsi="Times New Roman" w:eastAsia="宋体" w:cs="Times New Roman"/>
          <w:b/>
          <w:color w:val="auto"/>
          <w:sz w:val="24"/>
          <w:highlight w:val="none"/>
          <w:lang w:eastAsia="zh-CN"/>
        </w:rPr>
        <w:t>标准</w:t>
      </w:r>
    </w:p>
    <w:tbl>
      <w:tblPr>
        <w:tblStyle w:val="9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898"/>
        <w:gridCol w:w="898"/>
        <w:gridCol w:w="899"/>
        <w:gridCol w:w="899"/>
        <w:gridCol w:w="899"/>
        <w:gridCol w:w="90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9"/>
            <w:vAlign w:val="center"/>
          </w:tcPr>
          <w:p>
            <w:pPr>
              <w:shd w:val="clear"/>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滴灌管公称外径及其极限偏差</w:t>
            </w:r>
            <w:r>
              <w:rPr>
                <w:rFonts w:hint="default" w:ascii="Times New Roman" w:hAnsi="Times New Roman" w:eastAsia="宋体" w:cs="Times New Roman"/>
                <w:b w:val="0"/>
                <w:bCs/>
                <w:color w:val="auto"/>
                <w:sz w:val="21"/>
                <w:szCs w:val="21"/>
                <w:highlight w:val="none"/>
                <w:vertAlign w:val="baseline"/>
                <w:lang w:val="en-US" w:eastAsia="zh-CN"/>
              </w:rPr>
              <w:t xml:space="preserve">  单位为毫米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公称外径</w:t>
            </w:r>
          </w:p>
        </w:tc>
        <w:tc>
          <w:tcPr>
            <w:tcW w:w="898"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8</w:t>
            </w:r>
          </w:p>
        </w:tc>
        <w:tc>
          <w:tcPr>
            <w:tcW w:w="898"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12</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16</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20</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极限偏差</w:t>
            </w:r>
          </w:p>
        </w:tc>
        <w:tc>
          <w:tcPr>
            <w:tcW w:w="1796" w:type="dxa"/>
            <w:gridSpan w:val="2"/>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+0.10</w:t>
            </w:r>
          </w:p>
        </w:tc>
        <w:tc>
          <w:tcPr>
            <w:tcW w:w="2697" w:type="dxa"/>
            <w:gridSpan w:val="3"/>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rPr>
            </w:pPr>
            <w:r>
              <w:rPr>
                <w:rFonts w:hint="default" w:ascii="Times New Roman" w:hAnsi="Times New Roman" w:eastAsia="宋体" w:cs="Times New Roman"/>
                <w:b w:val="0"/>
                <w:bCs/>
                <w:color w:val="auto"/>
                <w:sz w:val="21"/>
                <w:szCs w:val="21"/>
                <w:highlight w:val="none"/>
                <w:vertAlign w:val="baseline"/>
                <w:lang w:val="en-US" w:eastAsia="zh-CN"/>
              </w:rPr>
              <w:t>+0.20</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9"/>
            <w:vAlign w:val="center"/>
          </w:tcPr>
          <w:p>
            <w:pPr>
              <w:shd w:val="clear"/>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滴灌管的公称壁厚及其极限偏差</w:t>
            </w:r>
            <w:r>
              <w:rPr>
                <w:rFonts w:hint="default" w:ascii="Times New Roman" w:hAnsi="Times New Roman" w:eastAsia="宋体" w:cs="Times New Roman"/>
                <w:b w:val="0"/>
                <w:bCs/>
                <w:color w:val="auto"/>
                <w:sz w:val="21"/>
                <w:szCs w:val="21"/>
                <w:highlight w:val="none"/>
                <w:vertAlign w:val="baseline"/>
                <w:lang w:val="en-US" w:eastAsia="zh-CN"/>
              </w:rPr>
              <w:t xml:space="preserve">  单位为毫米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公称壁厚</w:t>
            </w:r>
          </w:p>
        </w:tc>
        <w:tc>
          <w:tcPr>
            <w:tcW w:w="898"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0.5</w:t>
            </w:r>
          </w:p>
        </w:tc>
        <w:tc>
          <w:tcPr>
            <w:tcW w:w="898"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0.6</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0.8</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极限偏差</w:t>
            </w:r>
          </w:p>
        </w:tc>
        <w:tc>
          <w:tcPr>
            <w:tcW w:w="1796" w:type="dxa"/>
            <w:gridSpan w:val="2"/>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+0.15</w:t>
            </w:r>
          </w:p>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-0.05</w:t>
            </w:r>
          </w:p>
        </w:tc>
        <w:tc>
          <w:tcPr>
            <w:tcW w:w="1798" w:type="dxa"/>
            <w:gridSpan w:val="2"/>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+0.20</w:t>
            </w:r>
          </w:p>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-0.08</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9"/>
            <w:vAlign w:val="center"/>
          </w:tcPr>
          <w:p>
            <w:pPr>
              <w:shd w:val="clear"/>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滴管带的公称内径及其极限偏差</w:t>
            </w:r>
            <w:r>
              <w:rPr>
                <w:rFonts w:hint="default" w:ascii="Times New Roman" w:hAnsi="Times New Roman" w:eastAsia="宋体" w:cs="Times New Roman"/>
                <w:b w:val="0"/>
                <w:bCs/>
                <w:color w:val="auto"/>
                <w:sz w:val="21"/>
                <w:szCs w:val="21"/>
                <w:highlight w:val="none"/>
                <w:vertAlign w:val="baseline"/>
                <w:lang w:val="en-US" w:eastAsia="zh-CN"/>
              </w:rPr>
              <w:t xml:space="preserve">  单位为毫米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公称内径</w:t>
            </w:r>
          </w:p>
        </w:tc>
        <w:tc>
          <w:tcPr>
            <w:tcW w:w="898"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8</w:t>
            </w:r>
          </w:p>
        </w:tc>
        <w:tc>
          <w:tcPr>
            <w:tcW w:w="898"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12</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16</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20</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极限偏差</w:t>
            </w:r>
          </w:p>
        </w:tc>
        <w:tc>
          <w:tcPr>
            <w:tcW w:w="4493" w:type="dxa"/>
            <w:gridSpan w:val="5"/>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±0.30</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9"/>
            <w:vAlign w:val="center"/>
          </w:tcPr>
          <w:p>
            <w:pPr>
              <w:shd w:val="clear"/>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滴管带的公称壁厚及其极限偏差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hd w:val="clear"/>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eastAsia="zh-CN"/>
              </w:rPr>
              <w:t>公称壁厚</w:t>
            </w:r>
          </w:p>
        </w:tc>
        <w:tc>
          <w:tcPr>
            <w:tcW w:w="898"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0.12</w:t>
            </w:r>
          </w:p>
        </w:tc>
        <w:tc>
          <w:tcPr>
            <w:tcW w:w="898"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0.16</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0.18</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0.20</w:t>
            </w:r>
          </w:p>
        </w:tc>
        <w:tc>
          <w:tcPr>
            <w:tcW w:w="899"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0.25</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0.30</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0.35</w:t>
            </w:r>
          </w:p>
        </w:tc>
        <w:tc>
          <w:tcPr>
            <w:tcW w:w="900" w:type="dxa"/>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pPr>
              <w:shd w:val="clear"/>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eastAsia="zh-CN"/>
              </w:rPr>
              <w:t>极限偏差</w:t>
            </w:r>
          </w:p>
        </w:tc>
        <w:tc>
          <w:tcPr>
            <w:tcW w:w="1796" w:type="dxa"/>
            <w:gridSpan w:val="2"/>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+0.02</w:t>
            </w:r>
          </w:p>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-0.01</w:t>
            </w:r>
          </w:p>
        </w:tc>
        <w:tc>
          <w:tcPr>
            <w:tcW w:w="1798" w:type="dxa"/>
            <w:gridSpan w:val="2"/>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+0.04</w:t>
            </w:r>
          </w:p>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-0.01</w:t>
            </w:r>
          </w:p>
        </w:tc>
        <w:tc>
          <w:tcPr>
            <w:tcW w:w="1799" w:type="dxa"/>
            <w:gridSpan w:val="2"/>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+0.05</w:t>
            </w:r>
          </w:p>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-0.02</w:t>
            </w:r>
          </w:p>
        </w:tc>
        <w:tc>
          <w:tcPr>
            <w:tcW w:w="1800" w:type="dxa"/>
            <w:gridSpan w:val="2"/>
            <w:vAlign w:val="center"/>
          </w:tcPr>
          <w:p>
            <w:pPr>
              <w:shd w:val="clea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+0.06</w:t>
            </w:r>
          </w:p>
          <w:p>
            <w:pPr>
              <w:shd w:val="clear"/>
              <w:jc w:val="center"/>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-0.03</w:t>
            </w:r>
          </w:p>
        </w:tc>
      </w:tr>
    </w:tbl>
    <w:p>
      <w:pPr>
        <w:pStyle w:val="6"/>
        <w:keepLines w:val="0"/>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3.1.7主要生产设备</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项目主要生产设备情况见表3.1-</w:t>
      </w:r>
      <w:r>
        <w:rPr>
          <w:rFonts w:hint="default" w:ascii="Times New Roman" w:hAnsi="Times New Roman" w:eastAsia="宋体" w:cs="Times New Roman"/>
          <w:color w:val="auto"/>
          <w:sz w:val="24"/>
          <w:szCs w:val="32"/>
          <w:highlight w:val="none"/>
          <w:lang w:val="en-US" w:eastAsia="zh-CN"/>
        </w:rPr>
        <w:t>9</w:t>
      </w:r>
      <w:r>
        <w:rPr>
          <w:rFonts w:hint="default" w:ascii="Times New Roman" w:hAnsi="Times New Roman" w:eastAsia="宋体" w:cs="Times New Roman"/>
          <w:color w:val="auto"/>
          <w:sz w:val="24"/>
          <w:szCs w:val="32"/>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表3.1-</w:t>
      </w:r>
      <w:r>
        <w:rPr>
          <w:rFonts w:hint="default" w:ascii="Times New Roman" w:hAnsi="Times New Roman" w:eastAsia="宋体" w:cs="Times New Roman"/>
          <w:b/>
          <w:color w:val="auto"/>
          <w:sz w:val="24"/>
          <w:highlight w:val="none"/>
          <w:lang w:val="en-US" w:eastAsia="zh-CN"/>
        </w:rPr>
        <w:t>9</w:t>
      </w:r>
      <w:r>
        <w:rPr>
          <w:rFonts w:hint="default" w:ascii="Times New Roman" w:hAnsi="Times New Roman" w:eastAsia="宋体" w:cs="Times New Roman"/>
          <w:b/>
          <w:color w:val="auto"/>
          <w:sz w:val="24"/>
          <w:highlight w:val="none"/>
        </w:rPr>
        <w:t xml:space="preserve">   项目生产设备表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593"/>
        <w:gridCol w:w="2823"/>
        <w:gridCol w:w="81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593" w:type="dxa"/>
            <w:vAlign w:val="center"/>
          </w:tcPr>
          <w:p>
            <w:pPr>
              <w:pStyle w:val="22"/>
              <w:shd w:val="clea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设备名称</w:t>
            </w:r>
          </w:p>
        </w:tc>
        <w:tc>
          <w:tcPr>
            <w:tcW w:w="2823" w:type="dxa"/>
            <w:vAlign w:val="center"/>
          </w:tcPr>
          <w:p>
            <w:pPr>
              <w:pStyle w:val="22"/>
              <w:shd w:val="clea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型号及规格</w:t>
            </w:r>
          </w:p>
        </w:tc>
        <w:tc>
          <w:tcPr>
            <w:tcW w:w="816" w:type="dxa"/>
            <w:vAlign w:val="center"/>
          </w:tcPr>
          <w:p>
            <w:pPr>
              <w:pStyle w:val="22"/>
              <w:shd w:val="clea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976" w:type="dxa"/>
            <w:vAlign w:val="center"/>
          </w:tcPr>
          <w:p>
            <w:pPr>
              <w:pStyle w:val="22"/>
              <w:shd w:val="clea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208" w:type="dxa"/>
            <w:gridSpan w:val="4"/>
            <w:vAlign w:val="center"/>
          </w:tcPr>
          <w:p>
            <w:pPr>
              <w:pStyle w:val="22"/>
              <w:shd w:val="clea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破碎区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GB"/>
              </w:rPr>
              <w:t>破碎机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YZ-10HP</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GB"/>
              </w:rPr>
              <w:t>清洗机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1.3</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lang w:val="en-GB"/>
              </w:rPr>
              <w:t>提料机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1.4</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lang w:val="en-GB"/>
              </w:rPr>
              <w:t>甩干机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7208" w:type="dxa"/>
            <w:gridSpan w:val="4"/>
            <w:vAlign w:val="center"/>
          </w:tcPr>
          <w:p>
            <w:pPr>
              <w:pStyle w:val="22"/>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造粒</w:t>
            </w:r>
            <w:r>
              <w:rPr>
                <w:rFonts w:hint="default" w:ascii="Times New Roman" w:hAnsi="Times New Roman" w:eastAsia="宋体" w:cs="Times New Roman"/>
                <w:color w:val="auto"/>
                <w:sz w:val="21"/>
                <w:szCs w:val="21"/>
                <w:highlight w:val="none"/>
                <w:lang w:eastAsia="zh-CN"/>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lang w:val="en-GB"/>
              </w:rPr>
              <w:t>上料机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HJS-102</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lang w:val="en-GB"/>
              </w:rPr>
              <w:t>挤出机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ZL-1</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lang w:val="en-GB"/>
              </w:rPr>
              <w:t>水冷却槽</w:t>
            </w:r>
          </w:p>
        </w:tc>
        <w:tc>
          <w:tcPr>
            <w:tcW w:w="2823"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个</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lang w:val="en-GB" w:eastAsia="zh-CN"/>
              </w:rPr>
              <w:t>切粒机</w:t>
            </w:r>
          </w:p>
        </w:tc>
        <w:tc>
          <w:tcPr>
            <w:tcW w:w="2823"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LQ-100</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lang w:val="en-GB"/>
              </w:rPr>
              <w:t>料仓</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个</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7208" w:type="dxa"/>
            <w:gridSpan w:val="4"/>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GB" w:eastAsia="zh-CN"/>
              </w:rPr>
              <w:t>滴管带</w:t>
            </w:r>
            <w:r>
              <w:rPr>
                <w:rFonts w:hint="default" w:ascii="Times New Roman" w:hAnsi="Times New Roman" w:eastAsia="宋体" w:cs="Times New Roman"/>
                <w:color w:val="auto"/>
                <w:sz w:val="21"/>
                <w:szCs w:val="21"/>
                <w:highlight w:val="none"/>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w:t>
            </w:r>
          </w:p>
        </w:tc>
        <w:tc>
          <w:tcPr>
            <w:tcW w:w="2593" w:type="dxa"/>
            <w:vAlign w:val="center"/>
          </w:tcPr>
          <w:p>
            <w:pPr>
              <w:shd w:val="clear"/>
              <w:jc w:val="center"/>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lang w:val="en-GB" w:eastAsia="zh-CN"/>
              </w:rPr>
              <w:t>混料机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个</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pStyle w:val="22"/>
              <w:shd w:val="clear"/>
              <w:rPr>
                <w:rFonts w:hint="default" w:ascii="Times New Roman" w:hAnsi="Times New Roman" w:eastAsia="宋体" w:cs="Times New Roman"/>
                <w:color w:val="auto"/>
                <w:sz w:val="21"/>
                <w:szCs w:val="21"/>
                <w:highlight w:val="none"/>
                <w:lang w:val="en-US" w:eastAsia="zh-CN"/>
              </w:rPr>
            </w:pPr>
          </w:p>
        </w:tc>
        <w:tc>
          <w:tcPr>
            <w:tcW w:w="7208" w:type="dxa"/>
            <w:gridSpan w:val="4"/>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单翼迷宫式滴灌带生产线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3.2</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自动上料系统</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套</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单螺杆挤出机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HX-65</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3.4</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挤出模具</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套</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3.5</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成型牵引机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SJDY65</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收卷机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SJDY60</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szCs w:val="21"/>
                <w:highlight w:val="none"/>
                <w:lang w:val="en-US"/>
              </w:rPr>
            </w:pPr>
          </w:p>
        </w:tc>
        <w:tc>
          <w:tcPr>
            <w:tcW w:w="7208" w:type="dxa"/>
            <w:gridSpan w:val="4"/>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rPr>
              <w:t>PE管材管件</w:t>
            </w:r>
            <w:r>
              <w:rPr>
                <w:rFonts w:hint="default" w:ascii="Times New Roman" w:hAnsi="Times New Roman" w:eastAsia="宋体" w:cs="Times New Roman"/>
                <w:color w:val="auto"/>
                <w:sz w:val="21"/>
                <w:szCs w:val="21"/>
                <w:highlight w:val="none"/>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3.7</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自动上料系统</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套</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w:t>
            </w:r>
          </w:p>
        </w:tc>
        <w:tc>
          <w:tcPr>
            <w:tcW w:w="2593" w:type="dxa"/>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挤出机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HX-45</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w:t>
            </w:r>
          </w:p>
        </w:tc>
        <w:tc>
          <w:tcPr>
            <w:tcW w:w="2593" w:type="dxa"/>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挤出模具</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套</w:t>
            </w:r>
          </w:p>
        </w:tc>
        <w:tc>
          <w:tcPr>
            <w:tcW w:w="976"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3.10</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成型牵引机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SJDY</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5</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3.11</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收卷机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SJDY</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szCs w:val="21"/>
                <w:highlight w:val="none"/>
                <w:lang w:val="en-US"/>
              </w:rPr>
            </w:pPr>
          </w:p>
        </w:tc>
        <w:tc>
          <w:tcPr>
            <w:tcW w:w="7208" w:type="dxa"/>
            <w:gridSpan w:val="4"/>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rPr>
              <w:t>地膜</w:t>
            </w:r>
            <w:r>
              <w:rPr>
                <w:rFonts w:hint="default" w:ascii="Times New Roman" w:hAnsi="Times New Roman" w:eastAsia="宋体" w:cs="Times New Roman"/>
                <w:color w:val="auto"/>
                <w:sz w:val="21"/>
                <w:szCs w:val="21"/>
                <w:highlight w:val="none"/>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3.12</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自动上料系统</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套</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3.13</w:t>
            </w:r>
          </w:p>
        </w:tc>
        <w:tc>
          <w:tcPr>
            <w:tcW w:w="2593"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挤出机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HX-65</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3.14</w:t>
            </w:r>
          </w:p>
        </w:tc>
        <w:tc>
          <w:tcPr>
            <w:tcW w:w="2593" w:type="dxa"/>
            <w:vAlign w:val="center"/>
          </w:tcPr>
          <w:p>
            <w:pPr>
              <w:widowControl/>
              <w:shd w:val="clear"/>
              <w:jc w:val="center"/>
              <w:rPr>
                <w:rFonts w:hint="default" w:ascii="Times New Roman" w:hAnsi="Times New Roman" w:eastAsia="宋体" w:cs="Times New Roman"/>
                <w:color w:val="auto"/>
                <w:kern w:val="0"/>
                <w:sz w:val="21"/>
                <w:szCs w:val="21"/>
                <w:highlight w:val="none"/>
                <w:lang w:val="en-GB" w:eastAsia="zh-CN" w:bidi="ar-SA"/>
              </w:rPr>
            </w:pPr>
            <w:r>
              <w:rPr>
                <w:rFonts w:hint="default" w:ascii="Times New Roman" w:hAnsi="Times New Roman" w:eastAsia="宋体" w:cs="Times New Roman"/>
                <w:color w:val="auto"/>
                <w:sz w:val="21"/>
                <w:szCs w:val="21"/>
                <w:highlight w:val="none"/>
              </w:rPr>
              <w:t>挤出模具</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套</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3.15</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成型牵引机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SJDY65</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3.16</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收卷机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SJDY60</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c>
          <w:tcPr>
            <w:tcW w:w="7208" w:type="dxa"/>
            <w:gridSpan w:val="4"/>
            <w:vAlign w:val="center"/>
          </w:tcPr>
          <w:p>
            <w:pPr>
              <w:shd w:val="clea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废气处置装置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4.1</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Cs w:val="21"/>
                <w:highlight w:val="none"/>
                <w:lang w:val="en-GB"/>
              </w:rPr>
              <w:t>集气罩</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套</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4.2</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Cs w:val="21"/>
                <w:highlight w:val="none"/>
                <w:lang w:val="en-GB"/>
              </w:rPr>
              <w:t>风机</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100</w:t>
            </w:r>
            <w:r>
              <w:rPr>
                <w:rFonts w:hint="default" w:ascii="Times New Roman" w:hAnsi="Times New Roman" w:eastAsia="宋体" w:cs="Times New Roman"/>
                <w:color w:val="auto"/>
                <w:szCs w:val="21"/>
                <w:highlight w:val="none"/>
              </w:rPr>
              <w:t>00m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/h</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台</w:t>
            </w:r>
          </w:p>
        </w:tc>
        <w:tc>
          <w:tcPr>
            <w:tcW w:w="976" w:type="dxa"/>
            <w:vAlign w:val="center"/>
          </w:tcPr>
          <w:p>
            <w:pPr>
              <w:shd w:val="clea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4.3</w:t>
            </w:r>
          </w:p>
        </w:tc>
        <w:tc>
          <w:tcPr>
            <w:tcW w:w="2593" w:type="dxa"/>
            <w:vAlign w:val="center"/>
          </w:tcPr>
          <w:p>
            <w:pPr>
              <w:shd w:val="clear"/>
              <w:jc w:val="center"/>
              <w:rPr>
                <w:rFonts w:hint="default" w:ascii="Times New Roman" w:hAnsi="Times New Roman" w:eastAsia="宋体" w:cs="Times New Roman"/>
                <w:color w:val="auto"/>
                <w:szCs w:val="21"/>
                <w:highlight w:val="none"/>
                <w:lang w:val="en-GB"/>
              </w:rPr>
            </w:pPr>
            <w:r>
              <w:rPr>
                <w:rFonts w:hint="default" w:ascii="Times New Roman" w:hAnsi="Times New Roman" w:eastAsia="宋体" w:cs="Times New Roman"/>
                <w:color w:val="auto"/>
                <w:szCs w:val="21"/>
                <w:highlight w:val="none"/>
                <w:lang w:val="en-GB"/>
              </w:rPr>
              <w:t>风机</w:t>
            </w:r>
          </w:p>
        </w:tc>
        <w:tc>
          <w:tcPr>
            <w:tcW w:w="2823"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00m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/h</w:t>
            </w:r>
          </w:p>
        </w:tc>
        <w:tc>
          <w:tcPr>
            <w:tcW w:w="816"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台</w:t>
            </w:r>
          </w:p>
        </w:tc>
        <w:tc>
          <w:tcPr>
            <w:tcW w:w="976" w:type="dxa"/>
            <w:vAlign w:val="center"/>
          </w:tcPr>
          <w:p>
            <w:pPr>
              <w:shd w:val="clea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4.4</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Cs w:val="21"/>
                <w:highlight w:val="none"/>
                <w:lang w:val="en-GB"/>
              </w:rPr>
              <w:t>耐高温过滤棉</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套</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w:t>
            </w:r>
            <w:r>
              <w:rPr>
                <w:rFonts w:hint="eastAsia" w:cs="Times New Roman"/>
                <w:color w:val="auto"/>
                <w:szCs w:val="21"/>
                <w:highlight w:val="none"/>
                <w:lang w:val="en-US" w:eastAsia="zh-CN"/>
              </w:rPr>
              <w:t>5</w:t>
            </w:r>
          </w:p>
        </w:tc>
        <w:tc>
          <w:tcPr>
            <w:tcW w:w="2593" w:type="dxa"/>
            <w:vAlign w:val="center"/>
          </w:tcPr>
          <w:p>
            <w:pP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lang w:val="en-GB"/>
              </w:rPr>
              <w:t>UV光氧催化装置</w:t>
            </w:r>
          </w:p>
        </w:tc>
        <w:tc>
          <w:tcPr>
            <w:tcW w:w="2823"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1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套</w:t>
            </w:r>
          </w:p>
        </w:tc>
        <w:tc>
          <w:tcPr>
            <w:tcW w:w="97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dxa"/>
            <w:tcMar>
              <w:left w:w="57" w:type="dxa"/>
              <w:right w:w="57" w:type="dxa"/>
            </w:tcMar>
            <w:vAlign w:val="center"/>
          </w:tcPr>
          <w:p>
            <w:pPr>
              <w:shd w:val="clea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4.6</w:t>
            </w:r>
          </w:p>
        </w:tc>
        <w:tc>
          <w:tcPr>
            <w:tcW w:w="2593" w:type="dxa"/>
            <w:vAlign w:val="center"/>
          </w:tcPr>
          <w:p>
            <w:pPr>
              <w:shd w:val="clear"/>
              <w:jc w:val="center"/>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Cs w:val="21"/>
                <w:highlight w:val="none"/>
                <w:lang w:val="en-GB"/>
              </w:rPr>
              <w:t>活性炭吸附装置</w:t>
            </w:r>
          </w:p>
        </w:tc>
        <w:tc>
          <w:tcPr>
            <w:tcW w:w="2823"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w:t>
            </w:r>
          </w:p>
        </w:tc>
        <w:tc>
          <w:tcPr>
            <w:tcW w:w="81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套</w:t>
            </w:r>
          </w:p>
        </w:tc>
        <w:tc>
          <w:tcPr>
            <w:tcW w:w="97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r>
    </w:tbl>
    <w:p>
      <w:pPr>
        <w:pStyle w:val="6"/>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3.1.8公用工程</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给水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生活用水均由</w:t>
      </w:r>
      <w:r>
        <w:rPr>
          <w:rFonts w:hint="default" w:ascii="Times New Roman" w:hAnsi="Times New Roman" w:eastAsia="宋体" w:cs="Times New Roman"/>
          <w:color w:val="auto"/>
          <w:sz w:val="24"/>
          <w:szCs w:val="24"/>
          <w:highlight w:val="none"/>
          <w:lang w:val="en-US" w:eastAsia="zh-CN"/>
        </w:rPr>
        <w:t>自来水管网</w:t>
      </w:r>
      <w:r>
        <w:rPr>
          <w:rFonts w:hint="default" w:ascii="Times New Roman" w:hAnsi="Times New Roman" w:eastAsia="宋体" w:cs="Times New Roman"/>
          <w:color w:val="auto"/>
          <w:sz w:val="24"/>
          <w:szCs w:val="24"/>
          <w:highlight w:val="none"/>
        </w:rPr>
        <w:t>供给。</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湿法破碎用水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w:t>
      </w:r>
      <w:r>
        <w:rPr>
          <w:rFonts w:hint="default" w:ascii="Times New Roman" w:hAnsi="Times New Roman" w:eastAsia="宋体" w:cs="Times New Roman"/>
          <w:color w:val="auto"/>
          <w:sz w:val="24"/>
          <w:highlight w:val="none"/>
        </w:rPr>
        <w:t>项目运营期造粒生产车间原料破碎</w:t>
      </w:r>
      <w:r>
        <w:rPr>
          <w:rFonts w:hint="default" w:ascii="Times New Roman" w:hAnsi="Times New Roman" w:eastAsia="宋体" w:cs="Times New Roman"/>
          <w:color w:val="auto"/>
          <w:sz w:val="24"/>
          <w:highlight w:val="none"/>
          <w:lang w:eastAsia="zh-CN"/>
        </w:rPr>
        <w:t>工序</w:t>
      </w:r>
      <w:r>
        <w:rPr>
          <w:rFonts w:hint="default" w:ascii="Times New Roman" w:hAnsi="Times New Roman" w:eastAsia="宋体" w:cs="Times New Roman"/>
          <w:color w:val="auto"/>
          <w:sz w:val="24"/>
          <w:highlight w:val="none"/>
        </w:rPr>
        <w:t>采用湿法破碎，破碎</w:t>
      </w:r>
      <w:r>
        <w:rPr>
          <w:rFonts w:hint="default" w:ascii="Times New Roman" w:hAnsi="Times New Roman" w:eastAsia="宋体" w:cs="Times New Roman"/>
          <w:color w:val="auto"/>
          <w:sz w:val="24"/>
          <w:highlight w:val="none"/>
          <w:lang w:eastAsia="zh-CN"/>
        </w:rPr>
        <w:t>颗粒物</w:t>
      </w:r>
      <w:r>
        <w:rPr>
          <w:rFonts w:hint="default" w:ascii="Times New Roman" w:hAnsi="Times New Roman" w:eastAsia="宋体" w:cs="Times New Roman"/>
          <w:color w:val="auto"/>
          <w:sz w:val="24"/>
          <w:highlight w:val="none"/>
        </w:rPr>
        <w:t>直接随湿法破碎废水进入造粒生产车间</w:t>
      </w:r>
      <w:r>
        <w:rPr>
          <w:rFonts w:hint="default" w:ascii="Times New Roman" w:hAnsi="Times New Roman" w:eastAsia="宋体" w:cs="Times New Roman"/>
          <w:color w:val="auto"/>
          <w:sz w:val="24"/>
          <w:highlight w:val="none"/>
          <w:lang w:eastAsia="zh-CN"/>
        </w:rPr>
        <w:t>西侧的三级沉淀池</w:t>
      </w:r>
      <w:r>
        <w:rPr>
          <w:rFonts w:hint="default" w:ascii="Times New Roman" w:hAnsi="Times New Roman" w:eastAsia="宋体" w:cs="Times New Roman"/>
          <w:color w:val="auto"/>
          <w:sz w:val="24"/>
          <w:highlight w:val="none"/>
        </w:rPr>
        <w:t>进行沉淀，破碎废水中污染物主要为SS，经</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沉淀后，上清液回用于湿法破碎用水和清洗用水、造粒冷却水，循环使用，不外排</w:t>
      </w:r>
      <w:r>
        <w:rPr>
          <w:rFonts w:hint="default" w:ascii="Times New Roman" w:hAnsi="Times New Roman" w:eastAsia="宋体" w:cs="Times New Roman"/>
          <w:color w:val="auto"/>
          <w:sz w:val="24"/>
          <w:highlight w:val="none"/>
          <w:lang w:eastAsia="zh-CN"/>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原料破碎用水量为</w:t>
      </w:r>
      <w:r>
        <w:rPr>
          <w:rFonts w:hint="default" w:ascii="Times New Roman" w:hAnsi="Times New Roman" w:eastAsia="宋体" w:cs="Times New Roman"/>
          <w:color w:val="auto"/>
          <w:sz w:val="24"/>
          <w:highlight w:val="none"/>
          <w:lang w:val="en-US" w:eastAsia="zh-CN"/>
        </w:rPr>
        <w:t>0.3</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/t原料，本项目年回收处理废旧塑料9000吨，需要原料破碎用水量为</w:t>
      </w:r>
      <w:r>
        <w:rPr>
          <w:rFonts w:hint="default" w:ascii="Times New Roman" w:hAnsi="Times New Roman" w:eastAsia="宋体" w:cs="Times New Roman"/>
          <w:color w:val="auto"/>
          <w:sz w:val="24"/>
          <w:highlight w:val="none"/>
          <w:lang w:val="en-US" w:eastAsia="zh-CN"/>
        </w:rPr>
        <w:t>11.25</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2700</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）；本项目</w:t>
      </w:r>
      <w:r>
        <w:rPr>
          <w:rFonts w:hint="default" w:ascii="Times New Roman" w:hAnsi="Times New Roman" w:eastAsia="宋体" w:cs="Times New Roman"/>
          <w:color w:val="auto"/>
          <w:sz w:val="24"/>
          <w:highlight w:val="none"/>
          <w:lang w:val="en-US" w:eastAsia="zh-CN"/>
        </w:rPr>
        <w:t>2台</w:t>
      </w:r>
      <w:r>
        <w:rPr>
          <w:rFonts w:hint="default" w:ascii="Times New Roman" w:hAnsi="Times New Roman" w:eastAsia="宋体" w:cs="Times New Roman"/>
          <w:color w:val="auto"/>
          <w:sz w:val="24"/>
          <w:highlight w:val="none"/>
        </w:rPr>
        <w:t>破碎</w:t>
      </w:r>
      <w:r>
        <w:rPr>
          <w:rFonts w:hint="default" w:ascii="Times New Roman" w:hAnsi="Times New Roman" w:eastAsia="宋体" w:cs="Times New Roman"/>
          <w:color w:val="auto"/>
          <w:sz w:val="24"/>
          <w:highlight w:val="none"/>
          <w:lang w:eastAsia="zh-CN"/>
        </w:rPr>
        <w:t>机破碎</w:t>
      </w:r>
      <w:r>
        <w:rPr>
          <w:rFonts w:hint="default" w:ascii="Times New Roman" w:hAnsi="Times New Roman" w:eastAsia="宋体" w:cs="Times New Roman"/>
          <w:color w:val="auto"/>
          <w:sz w:val="24"/>
          <w:highlight w:val="none"/>
        </w:rPr>
        <w:t>过程</w:t>
      </w:r>
      <w:r>
        <w:rPr>
          <w:rFonts w:hint="default" w:ascii="Times New Roman" w:hAnsi="Times New Roman" w:eastAsia="宋体" w:cs="Times New Roman"/>
          <w:color w:val="auto"/>
          <w:sz w:val="24"/>
          <w:highlight w:val="none"/>
          <w:lang w:eastAsia="zh-CN"/>
        </w:rPr>
        <w:t>中</w:t>
      </w:r>
      <w:r>
        <w:rPr>
          <w:rFonts w:hint="default" w:ascii="Times New Roman" w:hAnsi="Times New Roman" w:eastAsia="宋体" w:cs="Times New Roman"/>
          <w:color w:val="auto"/>
          <w:sz w:val="24"/>
          <w:highlight w:val="none"/>
        </w:rPr>
        <w:t>会有少量</w:t>
      </w:r>
      <w:r>
        <w:rPr>
          <w:rFonts w:hint="default" w:ascii="Times New Roman" w:hAnsi="Times New Roman" w:eastAsia="宋体" w:cs="Times New Roman"/>
          <w:color w:val="auto"/>
          <w:sz w:val="24"/>
          <w:highlight w:val="none"/>
          <w:lang w:eastAsia="zh-CN"/>
        </w:rPr>
        <w:t>水分</w:t>
      </w:r>
      <w:r>
        <w:rPr>
          <w:rFonts w:hint="default" w:ascii="Times New Roman" w:hAnsi="Times New Roman" w:eastAsia="宋体" w:cs="Times New Roman"/>
          <w:color w:val="auto"/>
          <w:sz w:val="24"/>
          <w:highlight w:val="none"/>
        </w:rPr>
        <w:t>损耗</w:t>
      </w:r>
      <w:r>
        <w:rPr>
          <w:rFonts w:hint="default" w:ascii="Times New Roman" w:hAnsi="Times New Roman" w:eastAsia="宋体" w:cs="Times New Roman"/>
          <w:color w:val="auto"/>
          <w:sz w:val="24"/>
          <w:highlight w:val="none"/>
          <w:lang w:eastAsia="zh-CN"/>
        </w:rPr>
        <w:t>，水分损失量按</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0%计，则</w:t>
      </w:r>
      <w:r>
        <w:rPr>
          <w:rFonts w:hint="default" w:ascii="Times New Roman" w:hAnsi="Times New Roman" w:eastAsia="宋体" w:cs="Times New Roman"/>
          <w:color w:val="auto"/>
          <w:sz w:val="24"/>
          <w:highlight w:val="none"/>
        </w:rPr>
        <w:t>每日补充水量约为</w:t>
      </w:r>
      <w:r>
        <w:rPr>
          <w:rFonts w:hint="default" w:ascii="Times New Roman" w:hAnsi="Times New Roman" w:eastAsia="宋体" w:cs="Times New Roman"/>
          <w:color w:val="auto"/>
          <w:sz w:val="24"/>
          <w:highlight w:val="none"/>
          <w:lang w:val="en-US" w:eastAsia="zh-CN"/>
        </w:rPr>
        <w:t>1.125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270</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清洗用水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w:t>
      </w:r>
      <w:r>
        <w:rPr>
          <w:rFonts w:hint="default" w:ascii="Times New Roman" w:hAnsi="Times New Roman" w:eastAsia="宋体" w:cs="Times New Roman"/>
          <w:color w:val="auto"/>
          <w:sz w:val="24"/>
          <w:highlight w:val="none"/>
        </w:rPr>
        <w:t>项目运营期废旧塑料清洗用水主要来源于</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沉淀后回用水。本项目所用原料以废旧地膜、棚膜、滴灌带及水带为主，这些物料本身携带污染物以泥土为主，且回收时执行企业内部质量管控要求，因此物料在清洗工序中仅需清洗表面泥土即可，清洗过程不添加任何清洗剂，故本项目清洗废水中主要污染物为悬浮物。清洗废水进入造粒生产车间</w:t>
      </w:r>
      <w:r>
        <w:rPr>
          <w:rFonts w:hint="default" w:ascii="Times New Roman" w:hAnsi="Times New Roman" w:eastAsia="宋体" w:cs="Times New Roman"/>
          <w:color w:val="auto"/>
          <w:sz w:val="24"/>
          <w:highlight w:val="none"/>
          <w:lang w:eastAsia="zh-CN"/>
        </w:rPr>
        <w:t>西侧的三级沉淀池</w:t>
      </w:r>
      <w:r>
        <w:rPr>
          <w:rFonts w:hint="default" w:ascii="Times New Roman" w:hAnsi="Times New Roman" w:eastAsia="宋体" w:cs="Times New Roman"/>
          <w:color w:val="auto"/>
          <w:sz w:val="24"/>
          <w:highlight w:val="none"/>
        </w:rPr>
        <w:t>进行沉淀</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清洗废水中污染物主要为SS，经</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沉淀后，上清液回用于湿法破碎用水和清洗用水、造粒冷却水，循环使用，不外排</w:t>
      </w:r>
      <w:r>
        <w:rPr>
          <w:rFonts w:hint="default" w:ascii="Times New Roman" w:hAnsi="Times New Roman" w:eastAsia="宋体" w:cs="Times New Roman"/>
          <w:color w:val="auto"/>
          <w:sz w:val="24"/>
          <w:highlight w:val="none"/>
          <w:lang w:eastAsia="zh-CN"/>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原料清洗用水量为</w:t>
      </w:r>
      <w:r>
        <w:rPr>
          <w:rFonts w:hint="default"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/t原料，本项目年回收处理废旧塑料9000吨，需要原料清洗用水量为</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7200</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）；本项目</w:t>
      </w:r>
      <w:r>
        <w:rPr>
          <w:rFonts w:hint="default" w:ascii="Times New Roman" w:hAnsi="Times New Roman" w:eastAsia="宋体" w:cs="Times New Roman"/>
          <w:color w:val="auto"/>
          <w:sz w:val="24"/>
          <w:highlight w:val="none"/>
          <w:lang w:val="en-US" w:eastAsia="zh-CN"/>
        </w:rPr>
        <w:t>2台</w:t>
      </w:r>
      <w:r>
        <w:rPr>
          <w:rFonts w:hint="default" w:ascii="Times New Roman" w:hAnsi="Times New Roman" w:eastAsia="宋体" w:cs="Times New Roman"/>
          <w:color w:val="auto"/>
          <w:sz w:val="24"/>
          <w:highlight w:val="none"/>
          <w:lang w:eastAsia="zh-CN"/>
        </w:rPr>
        <w:t>清洗机清洗</w:t>
      </w:r>
      <w:r>
        <w:rPr>
          <w:rFonts w:hint="default" w:ascii="Times New Roman" w:hAnsi="Times New Roman" w:eastAsia="宋体" w:cs="Times New Roman"/>
          <w:color w:val="auto"/>
          <w:sz w:val="24"/>
          <w:highlight w:val="none"/>
        </w:rPr>
        <w:t>过程</w:t>
      </w:r>
      <w:r>
        <w:rPr>
          <w:rFonts w:hint="default" w:ascii="Times New Roman" w:hAnsi="Times New Roman" w:eastAsia="宋体" w:cs="Times New Roman"/>
          <w:color w:val="auto"/>
          <w:sz w:val="24"/>
          <w:highlight w:val="none"/>
          <w:lang w:eastAsia="zh-CN"/>
        </w:rPr>
        <w:t>中</w:t>
      </w:r>
      <w:r>
        <w:rPr>
          <w:rFonts w:hint="default" w:ascii="Times New Roman" w:hAnsi="Times New Roman" w:eastAsia="宋体" w:cs="Times New Roman"/>
          <w:color w:val="auto"/>
          <w:sz w:val="24"/>
          <w:highlight w:val="none"/>
        </w:rPr>
        <w:t>会有少量</w:t>
      </w:r>
      <w:r>
        <w:rPr>
          <w:rFonts w:hint="default" w:ascii="Times New Roman" w:hAnsi="Times New Roman" w:eastAsia="宋体" w:cs="Times New Roman"/>
          <w:color w:val="auto"/>
          <w:sz w:val="24"/>
          <w:highlight w:val="none"/>
          <w:lang w:eastAsia="zh-CN"/>
        </w:rPr>
        <w:t>水分</w:t>
      </w:r>
      <w:r>
        <w:rPr>
          <w:rFonts w:hint="default" w:ascii="Times New Roman" w:hAnsi="Times New Roman" w:eastAsia="宋体" w:cs="Times New Roman"/>
          <w:color w:val="auto"/>
          <w:sz w:val="24"/>
          <w:highlight w:val="none"/>
        </w:rPr>
        <w:t>损耗</w:t>
      </w:r>
      <w:r>
        <w:rPr>
          <w:rFonts w:hint="default" w:ascii="Times New Roman" w:hAnsi="Times New Roman" w:eastAsia="宋体" w:cs="Times New Roman"/>
          <w:color w:val="auto"/>
          <w:sz w:val="24"/>
          <w:highlight w:val="none"/>
          <w:lang w:eastAsia="zh-CN"/>
        </w:rPr>
        <w:t>，水分损失量按</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0%计，则</w:t>
      </w:r>
      <w:r>
        <w:rPr>
          <w:rFonts w:hint="default" w:ascii="Times New Roman" w:hAnsi="Times New Roman" w:eastAsia="宋体" w:cs="Times New Roman"/>
          <w:color w:val="auto"/>
          <w:sz w:val="24"/>
          <w:highlight w:val="none"/>
        </w:rPr>
        <w:t>每日补充水量约为</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720</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）造粒生产车间</w:t>
      </w:r>
      <w:r>
        <w:rPr>
          <w:rFonts w:hint="default" w:ascii="Times New Roman" w:hAnsi="Times New Roman" w:eastAsia="宋体" w:cs="Times New Roman"/>
          <w:color w:val="auto"/>
          <w:sz w:val="24"/>
          <w:highlight w:val="none"/>
        </w:rPr>
        <w:t>冷却用水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在塑料挤塑中需要对塑料进行冷却，该冷却废水的水质基本没有受到污染，仅水温升高；每条生产线中设置有冷却水槽，部分水因接触高温产品立即蒸发，以水蒸气的形式散发至空气中。造粒冷却水经三级沉淀池沉淀后，上清液回用于湿法破碎用水和清洗用水、造粒冷却水，循环使用，不外排</w:t>
      </w:r>
      <w:r>
        <w:rPr>
          <w:rFonts w:hint="default" w:ascii="Times New Roman" w:hAnsi="Times New Roman" w:eastAsia="宋体" w:cs="Times New Roman"/>
          <w:color w:val="auto"/>
          <w:sz w:val="24"/>
          <w:highlight w:val="none"/>
          <w:lang w:eastAsia="zh-CN"/>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highlight w:val="none"/>
          <w:lang w:val="en-US" w:eastAsia="zh-CN"/>
        </w:rPr>
        <w:t>本项目2条再生塑料颗粒生产线</w:t>
      </w:r>
      <w:r>
        <w:rPr>
          <w:rFonts w:hint="default" w:ascii="Times New Roman" w:hAnsi="Times New Roman" w:eastAsia="宋体" w:cs="Times New Roman"/>
          <w:color w:val="auto"/>
          <w:sz w:val="24"/>
          <w:szCs w:val="24"/>
          <w:lang w:val="en-US" w:eastAsia="zh-CN"/>
        </w:rPr>
        <w:t>各设置1个冷却水槽，每个冷却水槽的容积大小为1.0m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，总容积为2m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，部分水因接触高温产品立即蒸发，以水蒸气的形式散发至空气中，水分损失量按10%计，需补充新鲜水量0.2m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/d（48m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）塑料制品生产车间</w:t>
      </w:r>
      <w:r>
        <w:rPr>
          <w:rFonts w:hint="default" w:ascii="Times New Roman" w:hAnsi="Times New Roman" w:eastAsia="宋体" w:cs="Times New Roman"/>
          <w:color w:val="auto"/>
          <w:sz w:val="24"/>
          <w:highlight w:val="none"/>
        </w:rPr>
        <w:t>冷却用水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在塑料挤塑中需要对塑料进行冷却，该冷却废水的水质基本没有受到污染，仅水温升高；每条生产线中设置有冷却水槽，部分水因接触高温产品立即蒸发，以水蒸气的形式散发至空气中。冷却水槽内废水收集于冷却水池，经风冷却塔冷却后，回用于</w:t>
      </w:r>
      <w:r>
        <w:rPr>
          <w:rFonts w:hint="default" w:ascii="Times New Roman" w:hAnsi="Times New Roman" w:eastAsia="宋体" w:cs="Times New Roman"/>
          <w:color w:val="auto"/>
          <w:sz w:val="24"/>
          <w:highlight w:val="none"/>
          <w:lang w:eastAsia="zh-CN"/>
        </w:rPr>
        <w:t>6条滴灌带生产线，4条PE管材管件生产线的</w:t>
      </w:r>
      <w:r>
        <w:rPr>
          <w:rFonts w:hint="default" w:ascii="Times New Roman" w:hAnsi="Times New Roman" w:eastAsia="宋体" w:cs="Times New Roman"/>
          <w:color w:val="auto"/>
          <w:sz w:val="24"/>
          <w:highlight w:val="none"/>
        </w:rPr>
        <w:t>冷却水槽内，循环使用，不外排</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suppressLineNumbers w:val="0"/>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eastAsia="zh-CN"/>
        </w:rPr>
        <w:t>6条滴灌带生产线，4条PE管材管件生产线</w:t>
      </w:r>
      <w:r>
        <w:rPr>
          <w:rFonts w:hint="default" w:ascii="Times New Roman" w:hAnsi="Times New Roman" w:eastAsia="宋体" w:cs="Times New Roman"/>
          <w:color w:val="auto"/>
          <w:sz w:val="24"/>
          <w:szCs w:val="24"/>
          <w:lang w:val="en-US" w:eastAsia="zh-CN"/>
        </w:rPr>
        <w:t>各设置1个冷却水槽，每个冷却水槽的容积大小为1.0m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，总容积为10m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，部分水因接触高温产品立即蒸发，以水蒸气的形式散发至空气中，水分损失量按10%计，需补充新鲜水量1.0m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/d（240m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highlight w:val="none"/>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生活用水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项目劳动定员</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人，厂区不设员工餐厅，项目地处农村地区。根据《内蒙古自治区地方标准行业用水定额》（DB15/T385-2015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，员工生活用水按60L/</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人. 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计，则生活用水量为0.</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本项目产生的废水主要为生产废水和生活污水。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生产废水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根据《废塑料回收与再生利用污染控制技术规范》（HJ/T364-2007）、《废塑料加工利用污染防治管理规定》（环境保护部、发展改革委、商务部公告2012年第55号）的相关要求</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lang w:eastAsia="zh-TW"/>
        </w:rPr>
        <w:t>造粒生产车间</w:t>
      </w:r>
      <w:r>
        <w:rPr>
          <w:rFonts w:hint="default" w:ascii="Times New Roman" w:hAnsi="Times New Roman" w:eastAsia="宋体" w:cs="Times New Roman"/>
          <w:color w:val="auto"/>
          <w:sz w:val="24"/>
          <w:szCs w:val="24"/>
          <w:lang w:eastAsia="zh-CN"/>
        </w:rPr>
        <w:t>内</w:t>
      </w:r>
      <w:r>
        <w:rPr>
          <w:rFonts w:hint="default" w:ascii="Times New Roman" w:hAnsi="Times New Roman" w:eastAsia="宋体" w:cs="Times New Roman"/>
          <w:color w:val="auto"/>
          <w:sz w:val="24"/>
          <w:szCs w:val="24"/>
          <w:lang w:eastAsia="zh-TW"/>
        </w:rPr>
        <w:t>湿法破碎废水、清洗废水</w:t>
      </w:r>
      <w:r>
        <w:rPr>
          <w:rFonts w:hint="default" w:ascii="Times New Roman" w:hAnsi="Times New Roman" w:eastAsia="宋体" w:cs="Times New Roman"/>
          <w:color w:val="auto"/>
          <w:sz w:val="24"/>
          <w:szCs w:val="24"/>
          <w:lang w:eastAsia="zh-CN"/>
        </w:rPr>
        <w:t>、甩干废水和</w:t>
      </w:r>
      <w:r>
        <w:rPr>
          <w:rFonts w:hint="default" w:ascii="Times New Roman" w:hAnsi="Times New Roman" w:eastAsia="宋体" w:cs="Times New Roman"/>
          <w:color w:val="auto"/>
          <w:sz w:val="24"/>
          <w:szCs w:val="24"/>
          <w:lang w:val="en-US" w:eastAsia="zh-CN"/>
        </w:rPr>
        <w:t>造粒冷却水</w:t>
      </w:r>
      <w:r>
        <w:rPr>
          <w:rFonts w:hint="default" w:ascii="Times New Roman" w:hAnsi="Times New Roman" w:eastAsia="宋体" w:cs="Times New Roman"/>
          <w:color w:val="auto"/>
          <w:sz w:val="24"/>
          <w:szCs w:val="24"/>
          <w:lang w:eastAsia="zh-TW"/>
        </w:rPr>
        <w:t>经</w:t>
      </w:r>
      <w:r>
        <w:rPr>
          <w:rFonts w:hint="default" w:ascii="Times New Roman" w:hAnsi="Times New Roman" w:eastAsia="宋体" w:cs="Times New Roman"/>
          <w:color w:val="auto"/>
          <w:sz w:val="24"/>
          <w:szCs w:val="24"/>
          <w:lang w:val="en-US" w:eastAsia="zh-CN"/>
        </w:rPr>
        <w:t>三级沉淀池</w:t>
      </w:r>
      <w:r>
        <w:rPr>
          <w:rFonts w:hint="default" w:ascii="Times New Roman" w:hAnsi="Times New Roman" w:eastAsia="宋体" w:cs="Times New Roman"/>
          <w:color w:val="auto"/>
          <w:sz w:val="24"/>
          <w:szCs w:val="24"/>
          <w:lang w:eastAsia="zh-TW"/>
        </w:rPr>
        <w:t>沉淀后</w:t>
      </w:r>
      <w:r>
        <w:rPr>
          <w:rFonts w:hint="default" w:ascii="Times New Roman" w:hAnsi="Times New Roman" w:eastAsia="宋体" w:cs="Times New Roman"/>
          <w:color w:val="auto"/>
          <w:sz w:val="24"/>
          <w:szCs w:val="24"/>
          <w:lang w:eastAsia="zh-CN"/>
        </w:rPr>
        <w:t>，上清液回用于湿法破碎用水和清洗用水</w:t>
      </w:r>
      <w:r>
        <w:rPr>
          <w:rFonts w:hint="default" w:ascii="Times New Roman" w:hAnsi="Times New Roman" w:eastAsia="宋体" w:cs="Times New Roman"/>
          <w:color w:val="auto"/>
          <w:sz w:val="24"/>
          <w:highlight w:val="none"/>
        </w:rPr>
        <w:t>、造粒冷却水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TW"/>
        </w:rPr>
        <w:t>循环使用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TW"/>
        </w:rPr>
        <w:t>不外排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lang w:eastAsia="zh-CN"/>
        </w:rPr>
        <w:t>塑料制品生产车间内6条滴灌带生产线，4条PE管材管件生产线冷却水槽内废水收集于冷却水池，经风冷却塔冷却后，回用于冷却水槽内，</w:t>
      </w:r>
      <w:r>
        <w:rPr>
          <w:rFonts w:hint="default" w:ascii="Times New Roman" w:hAnsi="Times New Roman" w:eastAsia="宋体" w:cs="Times New Roman"/>
          <w:color w:val="auto"/>
          <w:sz w:val="24"/>
          <w:szCs w:val="24"/>
          <w:lang w:eastAsia="zh-TW"/>
        </w:rPr>
        <w:t>循环使用，不外排</w:t>
      </w:r>
      <w:r>
        <w:rPr>
          <w:rFonts w:hint="default" w:ascii="Times New Roman" w:hAnsi="Times New Roman" w:eastAsia="宋体" w:cs="Times New Roman"/>
          <w:color w:val="auto"/>
          <w:sz w:val="24"/>
          <w:szCs w:val="24"/>
          <w:highlight w:val="none"/>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生活污水</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本项目生活用水量为0.</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44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，生活污水按员工生活用水量的80%计算，产生量为0.4</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115.2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生活污水排入防渗化粪池，定期清掏</w:t>
      </w:r>
      <w:r>
        <w:rPr>
          <w:rFonts w:hint="default" w:ascii="Times New Roman" w:hAnsi="Times New Roman" w:eastAsia="宋体" w:cs="Times New Roman"/>
          <w:color w:val="auto"/>
          <w:sz w:val="24"/>
          <w:szCs w:val="24"/>
          <w:highlight w:val="none"/>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项目水平衡见表3.</w:t>
      </w:r>
      <w:r>
        <w:rPr>
          <w:rFonts w:hint="default" w:ascii="Times New Roman" w:hAnsi="Times New Roman" w:eastAsia="宋体" w:cs="Times New Roman"/>
          <w:color w:val="auto"/>
          <w:sz w:val="24"/>
          <w:highlight w:val="none"/>
          <w:lang w:val="en-US" w:eastAsia="zh-CN"/>
        </w:rPr>
        <w:t>1-10</w:t>
      </w:r>
      <w:r>
        <w:rPr>
          <w:rFonts w:hint="default" w:ascii="Times New Roman" w:hAnsi="Times New Roman" w:eastAsia="宋体" w:cs="Times New Roman"/>
          <w:color w:val="auto"/>
          <w:sz w:val="24"/>
          <w:highlight w:val="none"/>
        </w:rPr>
        <w:t>。项目水平衡图见图3.</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default" w:ascii="Times New Roman" w:hAnsi="Times New Roman" w:eastAsia="宋体" w:cs="Times New Roman"/>
          <w:b/>
          <w:color w:val="auto"/>
          <w:sz w:val="24"/>
          <w:highlight w:val="none"/>
          <w:lang w:val="en-US" w:eastAsia="zh-CN"/>
        </w:rPr>
        <w:t xml:space="preserve">1-10  </w:t>
      </w:r>
      <w:r>
        <w:rPr>
          <w:rFonts w:hint="default" w:ascii="Times New Roman" w:hAnsi="Times New Roman" w:eastAsia="宋体" w:cs="Times New Roman"/>
          <w:b/>
          <w:color w:val="auto"/>
          <w:sz w:val="24"/>
          <w:highlight w:val="none"/>
        </w:rPr>
        <w:t xml:space="preserve"> 项目水平衡表</w:t>
      </w:r>
    </w:p>
    <w:tbl>
      <w:tblPr>
        <w:tblStyle w:val="90"/>
        <w:tblW w:w="8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47"/>
        <w:gridCol w:w="1376"/>
        <w:gridCol w:w="1147"/>
        <w:gridCol w:w="1147"/>
        <w:gridCol w:w="1147"/>
        <w:gridCol w:w="1148"/>
        <w:gridCol w:w="114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类型</w:t>
            </w:r>
          </w:p>
        </w:tc>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规模</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用水标准</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用水量</w:t>
            </w:r>
          </w:p>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/d</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用水量</w:t>
            </w:r>
          </w:p>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排水量</w:t>
            </w:r>
          </w:p>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/d</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排水量</w:t>
            </w:r>
          </w:p>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湿法破碎</w:t>
            </w:r>
            <w:r>
              <w:rPr>
                <w:rFonts w:hint="default" w:ascii="Times New Roman" w:hAnsi="Times New Roman" w:eastAsia="宋体" w:cs="Times New Roman"/>
                <w:color w:val="auto"/>
                <w:kern w:val="0"/>
                <w:sz w:val="21"/>
                <w:szCs w:val="21"/>
                <w:highlight w:val="none"/>
                <w:lang w:eastAsia="zh-TW"/>
              </w:rPr>
              <w:t>用水</w:t>
            </w:r>
          </w:p>
        </w:tc>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37.5</w:t>
            </w:r>
            <w:r>
              <w:rPr>
                <w:rFonts w:hint="default" w:ascii="Times New Roman" w:hAnsi="Times New Roman" w:eastAsia="宋体" w:cs="Times New Roman"/>
                <w:color w:val="auto"/>
                <w:sz w:val="21"/>
                <w:szCs w:val="21"/>
                <w:highlight w:val="none"/>
                <w:lang w:eastAsia="zh-CN"/>
              </w:rPr>
              <w:t>t</w:t>
            </w:r>
            <w:r>
              <w:rPr>
                <w:rFonts w:hint="default" w:ascii="Times New Roman" w:hAnsi="Times New Roman" w:eastAsia="宋体" w:cs="Times New Roman"/>
                <w:color w:val="auto"/>
                <w:sz w:val="21"/>
                <w:szCs w:val="21"/>
                <w:highlight w:val="none"/>
                <w:lang w:val="en-US" w:eastAsia="zh-CN"/>
              </w:rPr>
              <w:t>/d（</w:t>
            </w:r>
            <w:r>
              <w:rPr>
                <w:rFonts w:hint="default" w:ascii="Times New Roman" w:hAnsi="Times New Roman" w:eastAsia="宋体" w:cs="Times New Roman"/>
                <w:color w:val="auto"/>
                <w:kern w:val="0"/>
                <w:sz w:val="21"/>
                <w:szCs w:val="21"/>
                <w:highlight w:val="none"/>
                <w:lang w:val="en-US" w:eastAsia="zh-CN"/>
              </w:rPr>
              <w:t>9000t/a</w:t>
            </w:r>
            <w:r>
              <w:rPr>
                <w:rFonts w:hint="default" w:ascii="Times New Roman" w:hAnsi="Times New Roman" w:eastAsia="宋体" w:cs="Times New Roman"/>
                <w:color w:val="auto"/>
                <w:sz w:val="21"/>
                <w:szCs w:val="21"/>
                <w:highlight w:val="none"/>
                <w:lang w:val="en-US" w:eastAsia="zh-CN"/>
              </w:rPr>
              <w:t>）</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/t原料</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1.125</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270</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清洗用水</w:t>
            </w:r>
          </w:p>
        </w:tc>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sz w:val="21"/>
                <w:szCs w:val="21"/>
                <w:highlight w:val="none"/>
                <w:lang w:val="en-US" w:eastAsia="zh-CN"/>
              </w:rPr>
              <w:t>37.5</w:t>
            </w:r>
            <w:r>
              <w:rPr>
                <w:rFonts w:hint="default" w:ascii="Times New Roman" w:hAnsi="Times New Roman" w:eastAsia="宋体" w:cs="Times New Roman"/>
                <w:color w:val="auto"/>
                <w:sz w:val="21"/>
                <w:szCs w:val="21"/>
                <w:highlight w:val="none"/>
                <w:lang w:eastAsia="zh-CN"/>
              </w:rPr>
              <w:t>t</w:t>
            </w:r>
            <w:r>
              <w:rPr>
                <w:rFonts w:hint="default" w:ascii="Times New Roman" w:hAnsi="Times New Roman" w:eastAsia="宋体" w:cs="Times New Roman"/>
                <w:color w:val="auto"/>
                <w:sz w:val="21"/>
                <w:szCs w:val="21"/>
                <w:highlight w:val="none"/>
                <w:lang w:val="en-US" w:eastAsia="zh-CN"/>
              </w:rPr>
              <w:t>/d（</w:t>
            </w:r>
            <w:r>
              <w:rPr>
                <w:rFonts w:hint="default" w:ascii="Times New Roman" w:hAnsi="Times New Roman" w:eastAsia="宋体" w:cs="Times New Roman"/>
                <w:color w:val="auto"/>
                <w:kern w:val="0"/>
                <w:sz w:val="21"/>
                <w:szCs w:val="21"/>
                <w:highlight w:val="none"/>
                <w:lang w:val="en-US" w:eastAsia="zh-CN"/>
              </w:rPr>
              <w:t>9000t/a</w:t>
            </w:r>
            <w:r>
              <w:rPr>
                <w:rFonts w:hint="default" w:ascii="Times New Roman" w:hAnsi="Times New Roman" w:eastAsia="宋体" w:cs="Times New Roman"/>
                <w:color w:val="auto"/>
                <w:sz w:val="21"/>
                <w:szCs w:val="21"/>
                <w:highlight w:val="none"/>
                <w:lang w:val="en-US" w:eastAsia="zh-CN"/>
              </w:rPr>
              <w:t>）</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sz w:val="21"/>
                <w:szCs w:val="21"/>
                <w:highlight w:val="none"/>
                <w:lang w:val="en-US" w:eastAsia="zh-CN"/>
              </w:rPr>
              <w:t>0.8</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/t原料</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720</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eastAsia="zh-CN"/>
              </w:rPr>
              <w:t>造粒生产车间</w:t>
            </w:r>
            <w:r>
              <w:rPr>
                <w:rFonts w:hint="default" w:ascii="Times New Roman" w:hAnsi="Times New Roman" w:eastAsia="宋体" w:cs="Times New Roman"/>
                <w:color w:val="auto"/>
                <w:sz w:val="21"/>
                <w:szCs w:val="21"/>
                <w:highlight w:val="none"/>
              </w:rPr>
              <w:t>冷却用水</w:t>
            </w:r>
          </w:p>
        </w:tc>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sz w:val="21"/>
                <w:szCs w:val="21"/>
                <w:lang w:val="en-US" w:eastAsia="zh-CN"/>
              </w:rPr>
              <w:t>总容积为2m</w:t>
            </w:r>
            <w:r>
              <w:rPr>
                <w:rFonts w:hint="default" w:ascii="Times New Roman" w:hAnsi="Times New Roman" w:eastAsia="宋体" w:cs="Times New Roman"/>
                <w:color w:val="auto"/>
                <w:sz w:val="21"/>
                <w:szCs w:val="21"/>
                <w:vertAlign w:val="superscript"/>
                <w:lang w:val="en-US" w:eastAsia="zh-CN"/>
              </w:rPr>
              <w:t>3</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10%</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0.2</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48</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塑料制品生产车间</w:t>
            </w:r>
            <w:r>
              <w:rPr>
                <w:rFonts w:hint="default" w:ascii="Times New Roman" w:hAnsi="Times New Roman" w:eastAsia="宋体" w:cs="Times New Roman"/>
                <w:color w:val="auto"/>
                <w:sz w:val="21"/>
                <w:szCs w:val="21"/>
                <w:highlight w:val="none"/>
              </w:rPr>
              <w:t>冷却用水</w:t>
            </w:r>
          </w:p>
        </w:tc>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sz w:val="21"/>
                <w:szCs w:val="21"/>
                <w:lang w:val="en-US" w:eastAsia="zh-CN"/>
              </w:rPr>
              <w:t>总容积为10m</w:t>
            </w:r>
            <w:r>
              <w:rPr>
                <w:rFonts w:hint="default" w:ascii="Times New Roman" w:hAnsi="Times New Roman" w:eastAsia="宋体" w:cs="Times New Roman"/>
                <w:color w:val="auto"/>
                <w:sz w:val="21"/>
                <w:szCs w:val="21"/>
                <w:vertAlign w:val="superscript"/>
                <w:lang w:val="en-US" w:eastAsia="zh-CN"/>
              </w:rPr>
              <w:t>3</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10%</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1.0</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240</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生活用水</w:t>
            </w:r>
          </w:p>
        </w:tc>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lang w:eastAsia="zh-TW"/>
              </w:rPr>
              <w:t>人</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60L/人</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d</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144</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0.48</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670"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总计</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5.925</w:t>
            </w:r>
          </w:p>
        </w:tc>
        <w:tc>
          <w:tcPr>
            <w:tcW w:w="114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1422</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0.48</w:t>
            </w:r>
          </w:p>
        </w:tc>
        <w:tc>
          <w:tcPr>
            <w:tcW w:w="114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115.2</w:t>
            </w:r>
          </w:p>
        </w:tc>
      </w:tr>
    </w:tbl>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highlight w:val="none"/>
        </w:rPr>
        <w:object>
          <v:shape id="_x0000_i1026" o:spt="75" type="#_x0000_t75" style="height:333.25pt;width:413.85pt;" o:ole="t" filled="f" o:preferrelative="t" stroked="f" coordsize="21600,21600">
            <v:path/>
            <v:fill on="f" focussize="0,0"/>
            <v:stroke on="f"/>
            <v:imagedata r:id="rId24" o:title=""/>
            <o:lock v:ext="edit" aspectratio="t"/>
            <w10:wrap type="none"/>
            <w10:anchorlock/>
          </v:shape>
          <o:OLEObject Type="Embed" ProgID="Visio.Drawing.11" ShapeID="_x0000_i1026" DrawAspect="Content" ObjectID="_1468075726" r:id="rId23">
            <o:LockedField>false</o:LockedField>
          </o:OLEObject>
        </w:object>
      </w:r>
      <w:r>
        <w:rPr>
          <w:rFonts w:hint="default" w:ascii="Times New Roman" w:hAnsi="Times New Roman" w:eastAsia="宋体" w:cs="Times New Roman"/>
          <w:b/>
          <w:color w:val="auto"/>
          <w:sz w:val="24"/>
          <w:highlight w:val="none"/>
          <w:lang w:eastAsia="zh-CN"/>
        </w:rPr>
        <w:t>图</w:t>
      </w:r>
      <w:r>
        <w:rPr>
          <w:rFonts w:hint="default" w:ascii="Times New Roman" w:hAnsi="Times New Roman" w:eastAsia="宋体" w:cs="Times New Roman"/>
          <w:b/>
          <w:color w:val="auto"/>
          <w:sz w:val="24"/>
          <w:highlight w:val="none"/>
        </w:rPr>
        <w:t>3.</w:t>
      </w:r>
      <w:r>
        <w:rPr>
          <w:rFonts w:hint="default" w:ascii="Times New Roman" w:hAnsi="Times New Roman" w:eastAsia="宋体" w:cs="Times New Roman"/>
          <w:b/>
          <w:color w:val="auto"/>
          <w:sz w:val="24"/>
          <w:highlight w:val="none"/>
          <w:lang w:val="en-US" w:eastAsia="zh-CN"/>
        </w:rPr>
        <w:t>1-5</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项目水平衡图（单位：m</w:t>
      </w:r>
      <w:r>
        <w:rPr>
          <w:rFonts w:hint="default" w:ascii="Times New Roman" w:hAnsi="Times New Roman" w:eastAsia="宋体" w:cs="Times New Roman"/>
          <w:b/>
          <w:color w:val="auto"/>
          <w:sz w:val="24"/>
          <w:highlight w:val="none"/>
          <w:vertAlign w:val="superscript"/>
        </w:rPr>
        <w:t>3</w:t>
      </w:r>
      <w:r>
        <w:rPr>
          <w:rFonts w:hint="default" w:ascii="Times New Roman" w:hAnsi="Times New Roman" w:eastAsia="宋体" w:cs="Times New Roman"/>
          <w:b/>
          <w:color w:val="auto"/>
          <w:sz w:val="24"/>
          <w:highlight w:val="none"/>
        </w:rPr>
        <w:t>/d</w:t>
      </w:r>
      <w:r>
        <w:rPr>
          <w:rFonts w:hint="default" w:ascii="Times New Roman" w:hAnsi="Times New Roman" w:eastAsia="宋体" w:cs="Times New Roman"/>
          <w:b/>
          <w:color w:val="auto"/>
          <w:sz w:val="24"/>
          <w:highlight w:val="none"/>
          <w:lang w:eastAsia="zh-CN"/>
        </w:rPr>
        <w:t>）</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供电</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本项目所需电源由附近10kV电网供给，厂区设置一台</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kV变压器。</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供暖</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生产车间和办公生活区均采用电暖气供热。</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消防</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室内消防设置手提式干粉灭火器和泡沫灭火器，室外消防采用临时高压系统，消防用水由自备水井供给。</w:t>
      </w:r>
    </w:p>
    <w:p>
      <w:pPr>
        <w:pStyle w:val="6"/>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3.1.9劳动定员、工作制度及建设周期</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劳动定员：项目劳动定员</w:t>
      </w:r>
      <w:r>
        <w:rPr>
          <w:rFonts w:hint="default" w:ascii="Times New Roman" w:hAnsi="Times New Roman" w:eastAsia="宋体" w:cs="Times New Roman"/>
          <w:color w:val="auto"/>
          <w:sz w:val="24"/>
          <w:szCs w:val="32"/>
          <w:highlight w:val="none"/>
          <w:lang w:val="en-US" w:eastAsia="zh-CN"/>
        </w:rPr>
        <w:t>10</w:t>
      </w:r>
      <w:r>
        <w:rPr>
          <w:rFonts w:hint="default" w:ascii="Times New Roman" w:hAnsi="Times New Roman" w:eastAsia="宋体" w:cs="Times New Roman"/>
          <w:color w:val="auto"/>
          <w:sz w:val="24"/>
          <w:szCs w:val="32"/>
          <w:highlight w:val="none"/>
        </w:rPr>
        <w:t>人，其中管理及技术人员1人，生产工人及辅助人员</w:t>
      </w:r>
      <w:r>
        <w:rPr>
          <w:rFonts w:hint="default" w:ascii="Times New Roman" w:hAnsi="Times New Roman" w:eastAsia="宋体" w:cs="Times New Roman"/>
          <w:color w:val="auto"/>
          <w:sz w:val="24"/>
          <w:szCs w:val="32"/>
          <w:highlight w:val="none"/>
          <w:lang w:val="en-US" w:eastAsia="zh-CN"/>
        </w:rPr>
        <w:t>9</w:t>
      </w:r>
      <w:r>
        <w:rPr>
          <w:rFonts w:hint="default" w:ascii="Times New Roman" w:hAnsi="Times New Roman" w:eastAsia="宋体" w:cs="Times New Roman"/>
          <w:color w:val="auto"/>
          <w:sz w:val="24"/>
          <w:szCs w:val="32"/>
          <w:highlight w:val="none"/>
        </w:rPr>
        <w:t>人；</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工作制度：年工作240天</w:t>
      </w:r>
      <w:r>
        <w:rPr>
          <w:rFonts w:hint="default" w:ascii="Times New Roman" w:hAnsi="Times New Roman" w:eastAsia="宋体" w:cs="Times New Roman"/>
          <w:color w:val="auto"/>
          <w:sz w:val="24"/>
          <w:szCs w:val="32"/>
          <w:highlight w:val="none"/>
          <w:lang w:val="en-US" w:eastAsia="zh-CN"/>
        </w:rPr>
        <w:t>，10月~次年6月</w:t>
      </w:r>
      <w:r>
        <w:rPr>
          <w:rFonts w:hint="default" w:ascii="Times New Roman" w:hAnsi="Times New Roman" w:eastAsia="宋体" w:cs="Times New Roman"/>
          <w:color w:val="auto"/>
          <w:sz w:val="24"/>
          <w:szCs w:val="32"/>
          <w:highlight w:val="none"/>
          <w:lang w:eastAsia="zh-CN"/>
        </w:rPr>
        <w:t>，执行</w:t>
      </w:r>
      <w:r>
        <w:rPr>
          <w:rFonts w:hint="default" w:ascii="Times New Roman" w:hAnsi="Times New Roman" w:eastAsia="宋体" w:cs="Times New Roman"/>
          <w:color w:val="auto"/>
          <w:sz w:val="24"/>
          <w:szCs w:val="32"/>
          <w:highlight w:val="none"/>
          <w:lang w:val="en-US" w:eastAsia="zh-CN"/>
        </w:rPr>
        <w:t>三班两倒制</w:t>
      </w:r>
      <w:r>
        <w:rPr>
          <w:rFonts w:hint="default" w:ascii="Times New Roman" w:hAnsi="Times New Roman" w:eastAsia="宋体" w:cs="Times New Roman"/>
          <w:color w:val="auto"/>
          <w:sz w:val="24"/>
          <w:szCs w:val="32"/>
          <w:highlight w:val="none"/>
          <w:lang w:eastAsia="zh-CN"/>
        </w:rPr>
        <w:t>，每班</w:t>
      </w:r>
      <w:r>
        <w:rPr>
          <w:rFonts w:hint="default" w:ascii="Times New Roman" w:hAnsi="Times New Roman" w:eastAsia="宋体" w:cs="Times New Roman"/>
          <w:color w:val="auto"/>
          <w:sz w:val="24"/>
          <w:szCs w:val="32"/>
          <w:highlight w:val="none"/>
        </w:rPr>
        <w:t>1</w:t>
      </w:r>
      <w:r>
        <w:rPr>
          <w:rFonts w:hint="default"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rPr>
        <w:t>小时；</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建设周期：</w:t>
      </w:r>
      <w:bookmarkEnd w:id="137"/>
      <w:r>
        <w:rPr>
          <w:rFonts w:hint="default" w:ascii="Times New Roman" w:hAnsi="Times New Roman" w:eastAsia="宋体" w:cs="Times New Roman"/>
          <w:color w:val="auto"/>
          <w:sz w:val="24"/>
          <w:szCs w:val="32"/>
          <w:highlight w:val="none"/>
        </w:rPr>
        <w:t>项目建设周期为4个月。</w:t>
      </w:r>
    </w:p>
    <w:p>
      <w:pPr>
        <w:pStyle w:val="6"/>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bookmarkStart w:id="138" w:name="_Toc243119311"/>
      <w:bookmarkStart w:id="139" w:name="_Toc327383068"/>
      <w:bookmarkStart w:id="140" w:name="_Toc464475341"/>
      <w:r>
        <w:rPr>
          <w:rFonts w:hint="default" w:ascii="Times New Roman" w:hAnsi="Times New Roman" w:eastAsia="宋体" w:cs="Times New Roman"/>
          <w:color w:val="auto"/>
          <w:highlight w:val="none"/>
        </w:rPr>
        <w:t>3.1.10项目总平面布置</w:t>
      </w:r>
      <w:bookmarkEnd w:id="138"/>
      <w:bookmarkEnd w:id="139"/>
      <w:bookmarkEnd w:id="140"/>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bookmarkStart w:id="141" w:name="_Toc330919933"/>
      <w:bookmarkStart w:id="142" w:name="_Toc243119319"/>
      <w:bookmarkStart w:id="143" w:name="_Toc464475347"/>
      <w:bookmarkStart w:id="144" w:name="_Toc327383075"/>
      <w:r>
        <w:rPr>
          <w:rFonts w:hint="default" w:ascii="Times New Roman" w:hAnsi="Times New Roman" w:eastAsia="宋体" w:cs="Times New Roman"/>
          <w:color w:val="auto"/>
          <w:sz w:val="24"/>
          <w:highlight w:val="none"/>
        </w:rPr>
        <w:t>根据本项目特点和场区各建（构）筑物的功能要求，结合场区地形、气象条件等综合因素，因地制宜地布置本工程建（构）筑物，使场区总图布置符合物流有序、经济合理、安全环保的要求，同时又满足合理紧凑、节省用地的原则，具体布置见下图所示</w:t>
      </w:r>
      <w:r>
        <w:rPr>
          <w:rFonts w:hint="default" w:ascii="Times New Roman" w:hAnsi="Times New Roman" w:eastAsia="宋体" w:cs="Times New Roman"/>
          <w:color w:val="auto"/>
          <w:sz w:val="24"/>
          <w:highlight w:val="none"/>
          <w:lang w:eastAsia="zh-CN"/>
        </w:rPr>
        <w:t>。</w:t>
      </w:r>
    </w:p>
    <w:p>
      <w:pPr>
        <w:keepLines w:val="0"/>
        <w:pageBreakBefore w:val="0"/>
        <w:widowControl w:val="0"/>
        <w:shd w:val="clear"/>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eastAsia="宋体" w:cs="Times New Roman"/>
          <w:color w:val="auto"/>
          <w:sz w:val="24"/>
          <w:highlight w:val="none"/>
        </w:rPr>
      </w:pPr>
    </w:p>
    <w:p>
      <w:pPr>
        <w:keepLines w:val="0"/>
        <w:pageBreakBefore w:val="0"/>
        <w:widowControl w:val="0"/>
        <w:shd w:val="clear"/>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eastAsia="宋体" w:cs="Times New Roman"/>
          <w:color w:val="auto"/>
          <w:sz w:val="24"/>
          <w:highlight w:val="none"/>
        </w:rPr>
        <w:sectPr>
          <w:pgSz w:w="11907" w:h="16840"/>
          <w:pgMar w:top="1440" w:right="1797" w:bottom="1440" w:left="1797" w:header="851" w:footer="992" w:gutter="0"/>
          <w:pgNumType w:fmt="decimal"/>
          <w:cols w:space="425" w:num="1"/>
          <w:titlePg/>
          <w:docGrid w:type="linesAndChars" w:linePitch="312" w:charSpace="0"/>
        </w:sectPr>
      </w:pPr>
    </w:p>
    <w:p>
      <w:pPr>
        <w:shd w:val="clear"/>
        <w:spacing w:line="360" w:lineRule="auto"/>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rPr>
        <w:drawing>
          <wp:anchor distT="0" distB="0" distL="114300" distR="114300" simplePos="0" relativeHeight="251714560" behindDoc="0" locked="0" layoutInCell="1" allowOverlap="1">
            <wp:simplePos x="0" y="0"/>
            <wp:positionH relativeFrom="column">
              <wp:posOffset>4290060</wp:posOffset>
            </wp:positionH>
            <wp:positionV relativeFrom="paragraph">
              <wp:posOffset>4138930</wp:posOffset>
            </wp:positionV>
            <wp:extent cx="567055" cy="624840"/>
            <wp:effectExtent l="0" t="0" r="4445" b="3810"/>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6"/>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4"/>
          <w:highlight w:val="none"/>
          <w:lang w:eastAsia="zh-CN"/>
        </w:rPr>
        <w:object>
          <v:shape id="_x0000_i1027" o:spt="75" type="#_x0000_t75" style="height:650.65pt;width:413.85pt;" o:ole="t" filled="f" o:preferrelative="t" stroked="f" coordsize="21600,21600">
            <v:path/>
            <v:fill on="f" focussize="0,0"/>
            <v:stroke on="f"/>
            <v:imagedata r:id="rId26" o:title=""/>
            <o:lock v:ext="edit" aspectratio="t"/>
            <w10:wrap type="none"/>
            <w10:anchorlock/>
          </v:shape>
          <o:OLEObject Type="Embed" ProgID="Visio.Drawing.11" ShapeID="_x0000_i1027" DrawAspect="Content" ObjectID="_1468075727" r:id="rId25">
            <o:LockedField>false</o:LockedField>
          </o:OLEObject>
        </w:object>
      </w:r>
      <w:r>
        <w:rPr>
          <w:rFonts w:hint="default" w:ascii="Times New Roman" w:hAnsi="Times New Roman" w:eastAsia="宋体" w:cs="Times New Roman"/>
          <w:b/>
          <w:color w:val="auto"/>
          <w:sz w:val="24"/>
          <w:highlight w:val="none"/>
        </w:rPr>
        <w:t>图3.1-</w:t>
      </w:r>
      <w:r>
        <w:rPr>
          <w:rFonts w:hint="default" w:ascii="Times New Roman" w:hAnsi="Times New Roman" w:eastAsia="宋体" w:cs="Times New Roman"/>
          <w:b/>
          <w:color w:val="auto"/>
          <w:sz w:val="24"/>
          <w:highlight w:val="none"/>
          <w:lang w:val="en-US" w:eastAsia="zh-CN"/>
        </w:rPr>
        <w:t>6   厂区</w:t>
      </w:r>
      <w:r>
        <w:rPr>
          <w:rFonts w:hint="default" w:ascii="Times New Roman" w:hAnsi="Times New Roman" w:eastAsia="宋体" w:cs="Times New Roman"/>
          <w:b/>
          <w:color w:val="auto"/>
          <w:sz w:val="24"/>
          <w:highlight w:val="none"/>
        </w:rPr>
        <w:t>平面布置图</w:t>
      </w:r>
    </w:p>
    <w:p>
      <w:pPr>
        <w:pStyle w:val="5"/>
        <w:shd w:val="clear"/>
        <w:spacing w:before="60" w:after="60" w:line="360" w:lineRule="auto"/>
        <w:rPr>
          <w:rFonts w:hint="default" w:ascii="Times New Roman" w:hAnsi="Times New Roman" w:eastAsia="宋体" w:cs="Times New Roman"/>
          <w:color w:val="auto"/>
          <w:highlight w:val="none"/>
        </w:rPr>
        <w:sectPr>
          <w:pgSz w:w="11907" w:h="16840"/>
          <w:pgMar w:top="1440" w:right="1797" w:bottom="1440" w:left="1797" w:header="851" w:footer="992" w:gutter="0"/>
          <w:pgNumType w:fmt="decimal"/>
          <w:cols w:space="425" w:num="1"/>
          <w:titlePg/>
          <w:docGrid w:type="linesAndChars" w:linePitch="312" w:charSpace="0"/>
        </w:sectPr>
      </w:pPr>
    </w:p>
    <w:p>
      <w:pPr>
        <w:pStyle w:val="5"/>
        <w:shd w:val="clear"/>
        <w:spacing w:before="60" w:after="60" w:line="360" w:lineRule="auto"/>
        <w:rPr>
          <w:rFonts w:hint="default" w:ascii="Times New Roman" w:hAnsi="Times New Roman" w:eastAsia="宋体" w:cs="Times New Roman"/>
          <w:color w:val="auto"/>
          <w:highlight w:val="none"/>
        </w:rPr>
      </w:pPr>
      <w:bookmarkStart w:id="145" w:name="_Toc28939"/>
      <w:r>
        <w:rPr>
          <w:rFonts w:hint="default" w:ascii="Times New Roman" w:hAnsi="Times New Roman" w:eastAsia="宋体" w:cs="Times New Roman"/>
          <w:color w:val="auto"/>
          <w:highlight w:val="none"/>
        </w:rPr>
        <w:t>3.</w:t>
      </w:r>
      <w:bookmarkEnd w:id="141"/>
      <w:bookmarkEnd w:id="142"/>
      <w:r>
        <w:rPr>
          <w:rFonts w:hint="default" w:ascii="Times New Roman" w:hAnsi="Times New Roman" w:eastAsia="宋体" w:cs="Times New Roman"/>
          <w:color w:val="auto"/>
          <w:highlight w:val="none"/>
        </w:rPr>
        <w:t>2工程分析</w:t>
      </w:r>
      <w:bookmarkEnd w:id="143"/>
      <w:bookmarkEnd w:id="145"/>
    </w:p>
    <w:p>
      <w:pPr>
        <w:pStyle w:val="6"/>
        <w:keepLines w:val="0"/>
        <w:shd w:val="clear"/>
        <w:spacing w:before="60" w:after="60"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3.2.1生产工艺及产污环节</w:t>
      </w:r>
    </w:p>
    <w:p>
      <w:pPr>
        <w:shd w:val="clear"/>
        <w:spacing w:line="360" w:lineRule="auto"/>
        <w:ind w:firstLine="480" w:firstLineChars="200"/>
        <w:rPr>
          <w:rFonts w:hint="default" w:ascii="Times New Roman" w:hAnsi="Times New Roman" w:eastAsia="宋体" w:cs="Times New Roman"/>
          <w:color w:val="auto"/>
          <w:kern w:val="0"/>
          <w:sz w:val="24"/>
          <w:highlight w:val="none"/>
        </w:rPr>
        <w:sectPr>
          <w:pgSz w:w="11907" w:h="16840"/>
          <w:pgMar w:top="1440" w:right="1797" w:bottom="1440" w:left="1797" w:header="851" w:footer="992" w:gutter="0"/>
          <w:pgNumType w:fmt="decimal"/>
          <w:cols w:space="425" w:num="1"/>
          <w:titlePg/>
          <w:docGrid w:type="linesAndChars" w:linePitch="312" w:charSpace="0"/>
        </w:sectPr>
      </w:pPr>
      <w:r>
        <w:rPr>
          <w:rFonts w:hint="default" w:ascii="Times New Roman" w:hAnsi="Times New Roman" w:eastAsia="宋体" w:cs="Times New Roman"/>
          <w:color w:val="auto"/>
          <w:kern w:val="0"/>
          <w:sz w:val="24"/>
          <w:highlight w:val="none"/>
        </w:rPr>
        <w:t>本项目运营期产生的主要污染物为生产过程产生的废水、废气、噪声和固体废物，运营期产污环节图见图3.2-1。</w:t>
      </w:r>
    </w:p>
    <w:p>
      <w:pPr>
        <w:shd w:val="clear"/>
        <w:spacing w:line="360" w:lineRule="auto"/>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eastAsia="zh-CN"/>
        </w:rPr>
        <w:object>
          <v:shape id="_x0000_i1028" o:spt="75" type="#_x0000_t75" style="height:564.55pt;width:413.85pt;" o:ole="t" filled="f" o:preferrelative="t" stroked="f" coordsize="21600,21600">
            <v:path/>
            <v:fill on="f" focussize="0,0"/>
            <v:stroke on="f"/>
            <v:imagedata r:id="rId28" o:title=""/>
            <o:lock v:ext="edit" aspectratio="t"/>
            <w10:wrap type="none"/>
            <w10:anchorlock/>
          </v:shape>
          <o:OLEObject Type="Embed" ProgID="Visio.Drawing.11" ShapeID="_x0000_i1028" DrawAspect="Content" ObjectID="_1468075728" r:id="rId27">
            <o:LockedField>false</o:LockedField>
          </o:OLEObject>
        </w:object>
      </w:r>
    </w:p>
    <w:p>
      <w:pPr>
        <w:shd w:val="clear"/>
        <w:spacing w:line="360" w:lineRule="auto"/>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图3.2-1 工艺流程及其产污环节图</w:t>
      </w:r>
    </w:p>
    <w:p>
      <w:pPr>
        <w:shd w:val="clear"/>
        <w:spacing w:line="360" w:lineRule="auto"/>
        <w:ind w:firstLine="480" w:firstLineChars="200"/>
        <w:rPr>
          <w:rFonts w:hint="default" w:ascii="Times New Roman" w:hAnsi="Times New Roman" w:eastAsia="宋体" w:cs="Times New Roman"/>
          <w:color w:val="auto"/>
          <w:kern w:val="0"/>
          <w:sz w:val="24"/>
          <w:highlight w:val="none"/>
        </w:rPr>
        <w:sectPr>
          <w:pgSz w:w="11907" w:h="16840"/>
          <w:pgMar w:top="1440" w:right="1797" w:bottom="1440" w:left="1797" w:header="851" w:footer="992" w:gutter="0"/>
          <w:pgNumType w:fmt="decimal"/>
          <w:cols w:space="425" w:num="1"/>
          <w:titlePg/>
          <w:docGrid w:type="lines" w:linePitch="312" w:charSpace="0"/>
        </w:sectPr>
      </w:pP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主要工艺说明：</w:t>
      </w:r>
    </w:p>
    <w:p>
      <w:pPr>
        <w:shd w:val="clear"/>
        <w:spacing w:line="360" w:lineRule="auto"/>
        <w:ind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①聚乙烯再生颗粒生产工艺流程及产污环节</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分拣：本项目采用人工分拣方式。运输入厂的废塑料首先需要进行分拣，将其按用途进行分挑归类，同时清除混在其中的较大的夹杂物，如泥土、杂草、石头等废物，以免破碎设备造成破坏。该过程产生分拣固废S1。</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破碎清洗：由于部分塑料粘附尘土等，为了避免杂质影响再生塑料粒质量，</w:t>
      </w:r>
      <w:r>
        <w:rPr>
          <w:rFonts w:hint="default" w:ascii="Times New Roman" w:hAnsi="Times New Roman" w:eastAsia="宋体" w:cs="Times New Roman"/>
          <w:color w:val="auto"/>
          <w:kern w:val="0"/>
          <w:sz w:val="24"/>
          <w:highlight w:val="none"/>
          <w:lang w:val="en-US" w:eastAsia="zh-CN"/>
        </w:rPr>
        <w:t>采用水管喷淋在</w:t>
      </w:r>
      <w:r>
        <w:rPr>
          <w:rFonts w:hint="default" w:ascii="Times New Roman" w:hAnsi="Times New Roman" w:eastAsia="宋体" w:cs="Times New Roman"/>
          <w:color w:val="auto"/>
          <w:kern w:val="0"/>
          <w:sz w:val="24"/>
          <w:highlight w:val="none"/>
        </w:rPr>
        <w:t>粉碎机</w:t>
      </w:r>
      <w:r>
        <w:rPr>
          <w:rFonts w:hint="default" w:ascii="Times New Roman" w:hAnsi="Times New Roman" w:eastAsia="宋体" w:cs="Times New Roman"/>
          <w:color w:val="auto"/>
          <w:kern w:val="0"/>
          <w:sz w:val="24"/>
          <w:highlight w:val="none"/>
          <w:lang w:val="en-US" w:eastAsia="zh-CN"/>
        </w:rPr>
        <w:t>入口注水，</w:t>
      </w:r>
      <w:r>
        <w:rPr>
          <w:rFonts w:hint="default" w:ascii="Times New Roman" w:hAnsi="Times New Roman" w:eastAsia="宋体" w:cs="Times New Roman"/>
          <w:color w:val="auto"/>
          <w:kern w:val="0"/>
          <w:sz w:val="24"/>
          <w:highlight w:val="none"/>
        </w:rPr>
        <w:t>废旧塑料</w:t>
      </w:r>
      <w:r>
        <w:rPr>
          <w:rFonts w:hint="default" w:ascii="Times New Roman" w:hAnsi="Times New Roman" w:eastAsia="宋体" w:cs="Times New Roman"/>
          <w:color w:val="auto"/>
          <w:kern w:val="0"/>
          <w:sz w:val="24"/>
          <w:highlight w:val="none"/>
          <w:lang w:val="en-US" w:eastAsia="zh-CN"/>
        </w:rPr>
        <w:t>在</w:t>
      </w:r>
      <w:r>
        <w:rPr>
          <w:rFonts w:hint="default" w:ascii="Times New Roman" w:hAnsi="Times New Roman" w:eastAsia="宋体" w:cs="Times New Roman"/>
          <w:color w:val="auto"/>
          <w:kern w:val="0"/>
          <w:sz w:val="24"/>
          <w:highlight w:val="none"/>
        </w:rPr>
        <w:t>粉碎机</w:t>
      </w:r>
      <w:r>
        <w:rPr>
          <w:rFonts w:hint="default" w:ascii="Times New Roman" w:hAnsi="Times New Roman" w:eastAsia="宋体" w:cs="Times New Roman"/>
          <w:color w:val="auto"/>
          <w:kern w:val="0"/>
          <w:sz w:val="24"/>
          <w:highlight w:val="none"/>
          <w:lang w:val="en-US" w:eastAsia="zh-CN"/>
        </w:rPr>
        <w:t>内进行湿法破碎，</w:t>
      </w:r>
      <w:r>
        <w:rPr>
          <w:rFonts w:hint="default" w:ascii="Times New Roman" w:hAnsi="Times New Roman" w:eastAsia="宋体" w:cs="Times New Roman"/>
          <w:color w:val="auto"/>
          <w:kern w:val="0"/>
          <w:sz w:val="24"/>
          <w:highlight w:val="none"/>
        </w:rPr>
        <w:t>破碎成直径约5cm，然后再进行二级清洗（塑料采用清水清洗，清洗工序不需添加清洗剂），通过二级清洗使农（地）膜彻底清除杂质，达到熔融造粒原料标准。清洗槽内配套设置旋臂式转轴，辅助物料在清洗池内向前推动，保证地膜等轻物料在清洗池内正常清洗。</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此工序用水均循环使用，所有水不断流动，与车间外</w:t>
      </w:r>
      <w:r>
        <w:rPr>
          <w:rFonts w:hint="default" w:ascii="Times New Roman" w:hAnsi="Times New Roman" w:eastAsia="宋体" w:cs="Times New Roman"/>
          <w:color w:val="auto"/>
          <w:kern w:val="0"/>
          <w:sz w:val="24"/>
          <w:highlight w:val="none"/>
          <w:lang w:eastAsia="zh-CN"/>
        </w:rPr>
        <w:t>三级沉淀池</w:t>
      </w:r>
      <w:r>
        <w:rPr>
          <w:rFonts w:hint="default" w:ascii="Times New Roman" w:hAnsi="Times New Roman" w:eastAsia="宋体" w:cs="Times New Roman"/>
          <w:color w:val="auto"/>
          <w:kern w:val="0"/>
          <w:sz w:val="24"/>
          <w:highlight w:val="none"/>
        </w:rPr>
        <w:t>连接，清洗废水全部至</w:t>
      </w:r>
      <w:r>
        <w:rPr>
          <w:rFonts w:hint="default" w:ascii="Times New Roman" w:hAnsi="Times New Roman" w:eastAsia="宋体" w:cs="Times New Roman"/>
          <w:color w:val="auto"/>
          <w:kern w:val="0"/>
          <w:sz w:val="24"/>
          <w:highlight w:val="none"/>
          <w:lang w:eastAsia="zh-CN"/>
        </w:rPr>
        <w:t>三级沉淀池</w:t>
      </w:r>
      <w:r>
        <w:rPr>
          <w:rFonts w:hint="default" w:ascii="Times New Roman" w:hAnsi="Times New Roman" w:eastAsia="宋体" w:cs="Times New Roman"/>
          <w:color w:val="auto"/>
          <w:kern w:val="0"/>
          <w:sz w:val="24"/>
          <w:highlight w:val="none"/>
        </w:rPr>
        <w:t>进行沉淀处理，经沉淀后的清水流入清水池，废水不外排，定期补充新水。该工序产生湿法破碎废水W1，清洗废水W2，设备运行噪声N1，</w:t>
      </w:r>
      <w:r>
        <w:rPr>
          <w:rFonts w:hint="default" w:ascii="Times New Roman" w:hAnsi="Times New Roman" w:eastAsia="宋体" w:cs="Times New Roman"/>
          <w:color w:val="auto"/>
          <w:kern w:val="0"/>
          <w:sz w:val="24"/>
          <w:highlight w:val="none"/>
          <w:lang w:eastAsia="zh-CN"/>
        </w:rPr>
        <w:t>三级沉淀池沉渣</w:t>
      </w:r>
      <w:r>
        <w:rPr>
          <w:rFonts w:hint="default" w:ascii="Times New Roman" w:hAnsi="Times New Roman" w:eastAsia="宋体" w:cs="Times New Roman"/>
          <w:color w:val="auto"/>
          <w:kern w:val="0"/>
          <w:sz w:val="24"/>
          <w:highlight w:val="none"/>
        </w:rPr>
        <w:t>S2。</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在粉碎机入口处接入水管喷淋，一是为了对废料的初步清洗、二是为了抑制粉尘。加之废旧塑料滴灌带本身带有残留水分，所以破碎工段不会产生扬尘。</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甩干：湿物料用输料机送至大型甩干机中，利用甩干机脱去物料中残存的水分，保证后续造粒工序节省能源。甩干后的物料，采用上料机，将物料送至</w:t>
      </w:r>
      <w:r>
        <w:rPr>
          <w:rFonts w:hint="default" w:ascii="Times New Roman" w:hAnsi="Times New Roman" w:eastAsia="宋体" w:cs="Times New Roman"/>
          <w:color w:val="auto"/>
          <w:kern w:val="0"/>
          <w:sz w:val="24"/>
          <w:highlight w:val="none"/>
          <w:lang w:val="en-US" w:eastAsia="zh-CN"/>
        </w:rPr>
        <w:t>半封闭</w:t>
      </w:r>
      <w:r>
        <w:rPr>
          <w:rFonts w:hint="default" w:ascii="Times New Roman" w:hAnsi="Times New Roman" w:eastAsia="宋体" w:cs="Times New Roman"/>
          <w:color w:val="auto"/>
          <w:kern w:val="0"/>
          <w:sz w:val="24"/>
          <w:highlight w:val="none"/>
        </w:rPr>
        <w:t>料仓中，</w:t>
      </w:r>
      <w:r>
        <w:rPr>
          <w:rFonts w:hint="default" w:ascii="Times New Roman" w:hAnsi="Times New Roman" w:eastAsia="宋体" w:cs="Times New Roman"/>
          <w:color w:val="auto"/>
          <w:kern w:val="0"/>
          <w:sz w:val="24"/>
          <w:highlight w:val="none"/>
          <w:lang w:val="en-US" w:eastAsia="zh-CN"/>
        </w:rPr>
        <w:t>此时</w:t>
      </w:r>
      <w:r>
        <w:rPr>
          <w:rFonts w:hint="default" w:ascii="Times New Roman" w:hAnsi="Times New Roman" w:eastAsia="宋体" w:cs="Times New Roman"/>
          <w:color w:val="auto"/>
          <w:kern w:val="0"/>
          <w:sz w:val="24"/>
          <w:highlight w:val="none"/>
        </w:rPr>
        <w:t>物料</w:t>
      </w:r>
      <w:r>
        <w:rPr>
          <w:rFonts w:hint="default" w:ascii="Times New Roman" w:hAnsi="Times New Roman" w:eastAsia="宋体" w:cs="Times New Roman"/>
          <w:color w:val="auto"/>
          <w:kern w:val="0"/>
          <w:sz w:val="24"/>
          <w:highlight w:val="none"/>
          <w:lang w:val="en-US" w:eastAsia="zh-CN"/>
        </w:rPr>
        <w:t>为</w:t>
      </w:r>
      <w:r>
        <w:rPr>
          <w:rFonts w:hint="default" w:ascii="Times New Roman" w:hAnsi="Times New Roman" w:eastAsia="宋体" w:cs="Times New Roman"/>
          <w:color w:val="auto"/>
          <w:kern w:val="0"/>
          <w:sz w:val="24"/>
          <w:highlight w:val="none"/>
        </w:rPr>
        <w:t>直径约5cm</w:t>
      </w:r>
      <w:r>
        <w:rPr>
          <w:rFonts w:hint="default" w:ascii="Times New Roman" w:hAnsi="Times New Roman" w:eastAsia="宋体" w:cs="Times New Roman"/>
          <w:color w:val="auto"/>
          <w:kern w:val="0"/>
          <w:sz w:val="24"/>
          <w:highlight w:val="none"/>
          <w:lang w:val="en-US" w:eastAsia="zh-CN"/>
        </w:rPr>
        <w:t>的块状，不产生粉尘</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再</w:t>
      </w:r>
      <w:r>
        <w:rPr>
          <w:rFonts w:hint="default" w:ascii="Times New Roman" w:hAnsi="Times New Roman" w:eastAsia="宋体" w:cs="Times New Roman"/>
          <w:color w:val="auto"/>
          <w:kern w:val="0"/>
          <w:sz w:val="24"/>
          <w:highlight w:val="none"/>
        </w:rPr>
        <w:t>经输送带，从料仓中转入挤塑机内；甩干产生的废水被甩干机外筒壁截留至底部最终排放至清洗池内，最终进入</w:t>
      </w:r>
      <w:r>
        <w:rPr>
          <w:rFonts w:hint="default" w:ascii="Times New Roman" w:hAnsi="Times New Roman" w:eastAsia="宋体" w:cs="Times New Roman"/>
          <w:color w:val="auto"/>
          <w:kern w:val="0"/>
          <w:sz w:val="24"/>
          <w:highlight w:val="none"/>
          <w:lang w:eastAsia="zh-CN"/>
        </w:rPr>
        <w:t>三级沉淀池</w:t>
      </w:r>
      <w:r>
        <w:rPr>
          <w:rFonts w:hint="default" w:ascii="Times New Roman" w:hAnsi="Times New Roman" w:eastAsia="宋体" w:cs="Times New Roman"/>
          <w:color w:val="auto"/>
          <w:kern w:val="0"/>
          <w:sz w:val="24"/>
          <w:highlight w:val="none"/>
        </w:rPr>
        <w:t>进行沉淀处理。该工序产生甩干废水W3，设备运行噪声N2。</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挤塑：将甩干后的原料通过挤塑机上部的加料口加入挤塑机，在挤塑机内部熔化并挤出。本项目加热系统采用电加热，热熔温度约170-190°C，熔融的原料通过双螺杆挤出成条状。</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塑料碎片在熔融造粒过程中由于操作温度的增加，使得物料表面携带的水分汽化以及少量物料分解会导致造粒机械内部压强增大，熔融挤塑工序不添加任何阻燃剂、增塑剂等添加剂，采用直接再生方式，热熔挤出过程为单纯物理熔融变化过程，聚乙烯加热温度控制在170-190℃左右，聚乙烯裂解温度为</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24</w:t>
      </w:r>
      <w:r>
        <w:rPr>
          <w:rFonts w:hint="default" w:ascii="Times New Roman" w:hAnsi="Times New Roman" w:eastAsia="宋体" w:cs="Times New Roman"/>
          <w:color w:val="auto"/>
          <w:kern w:val="0"/>
          <w:sz w:val="24"/>
          <w:highlight w:val="none"/>
        </w:rPr>
        <w:t>0℃</w:t>
      </w:r>
      <w:r>
        <w:rPr>
          <w:rFonts w:hint="default" w:ascii="Times New Roman" w:hAnsi="Times New Roman" w:eastAsia="宋体" w:cs="Times New Roman"/>
          <w:color w:val="auto"/>
          <w:kern w:val="0"/>
          <w:sz w:val="24"/>
          <w:highlight w:val="none"/>
        </w:rPr>
        <w:t>，故无裂解废气产生，但在实际操作过程中，因料筒局部过热等其它原因，会有少量废气产生，排放污染物为非甲烷总烃，在此工序设置集气罩对废气进行收集，收集后的气体经耐高温过滤棉</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UV光氧催化</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活性炭净化装置处理后通过15m高排气筒</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P1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排放。该工序会产生挤塑废气G1，设备运行噪声N3。</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挤塑机主要利用出口处模头滤网挤出成型，挤出塑料呈圆柱长条状，滤网需进行更换清理，废滤网S3交由生产厂家回收进行再生利用。</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冷却、切粒：原料通过挤塑机前部的模头挤出成条状，挤压出的条状塑料温度达</w:t>
      </w:r>
      <w:r>
        <w:rPr>
          <w:rFonts w:hint="default" w:ascii="Times New Roman" w:hAnsi="Times New Roman" w:eastAsia="宋体" w:cs="Times New Roman"/>
          <w:color w:val="auto"/>
          <w:kern w:val="0"/>
          <w:sz w:val="24"/>
          <w:highlight w:val="none"/>
          <w:lang w:val="en-US" w:eastAsia="zh-CN"/>
        </w:rPr>
        <w:t>19</w:t>
      </w:r>
      <w:r>
        <w:rPr>
          <w:rFonts w:hint="default" w:ascii="Times New Roman" w:hAnsi="Times New Roman" w:eastAsia="宋体" w:cs="Times New Roman"/>
          <w:color w:val="auto"/>
          <w:kern w:val="0"/>
          <w:sz w:val="24"/>
          <w:highlight w:val="none"/>
        </w:rPr>
        <w:t>0℃，且粘性很强，为便于切料需进行冷却固化，通过冷却水槽进行冷却，最后进入切粒机切成小颗粒</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送入下一工序。再生塑料颗粒的粒径在0.7～1.5mm范围内，塑料颗粒由于粒径较大，因此不会浮散到空气中。水冷却槽用水不外排，定期补充新水，水冷却槽用水与室外</w:t>
      </w:r>
      <w:r>
        <w:rPr>
          <w:rFonts w:hint="default" w:ascii="Times New Roman" w:hAnsi="Times New Roman" w:eastAsia="宋体" w:cs="Times New Roman"/>
          <w:color w:val="auto"/>
          <w:kern w:val="0"/>
          <w:sz w:val="24"/>
          <w:highlight w:val="none"/>
          <w:lang w:eastAsia="zh-CN"/>
        </w:rPr>
        <w:t>三级沉淀池</w:t>
      </w:r>
      <w:r>
        <w:rPr>
          <w:rFonts w:hint="default" w:ascii="Times New Roman" w:hAnsi="Times New Roman" w:eastAsia="宋体" w:cs="Times New Roman"/>
          <w:color w:val="auto"/>
          <w:kern w:val="0"/>
          <w:sz w:val="24"/>
          <w:highlight w:val="none"/>
        </w:rPr>
        <w:t>配套的清水池连接进行冷却水循环。该工序产生</w:t>
      </w:r>
      <w:r>
        <w:rPr>
          <w:rFonts w:hint="default" w:ascii="Times New Roman" w:hAnsi="Times New Roman" w:eastAsia="宋体" w:cs="Times New Roman"/>
          <w:color w:val="auto"/>
          <w:kern w:val="0"/>
          <w:sz w:val="24"/>
          <w:highlight w:val="none"/>
          <w:lang w:eastAsia="zh-CN"/>
        </w:rPr>
        <w:t>切粒</w:t>
      </w:r>
      <w:r>
        <w:rPr>
          <w:rFonts w:hint="default" w:ascii="Times New Roman" w:hAnsi="Times New Roman" w:eastAsia="宋体" w:cs="Times New Roman"/>
          <w:color w:val="auto"/>
          <w:kern w:val="0"/>
          <w:sz w:val="24"/>
          <w:highlight w:val="none"/>
        </w:rPr>
        <w:t>废气G</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rPr>
        <w:t>，设备噪声N4。</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②单翼迷宫滴灌带生产工艺</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混料：以再生塑料颗粒</w:t>
      </w:r>
      <w:r>
        <w:rPr>
          <w:rFonts w:hint="default" w:ascii="Times New Roman" w:hAnsi="Times New Roman" w:eastAsia="宋体" w:cs="Times New Roman"/>
          <w:color w:val="auto"/>
          <w:kern w:val="0"/>
          <w:sz w:val="24"/>
          <w:highlight w:val="none"/>
          <w:lang w:eastAsia="zh-CN"/>
        </w:rPr>
        <w:t>、外购聚乙烯颗粒</w:t>
      </w:r>
      <w:r>
        <w:rPr>
          <w:rFonts w:hint="default" w:ascii="Times New Roman" w:hAnsi="Times New Roman" w:eastAsia="宋体" w:cs="Times New Roman"/>
          <w:color w:val="auto"/>
          <w:kern w:val="0"/>
          <w:sz w:val="24"/>
          <w:highlight w:val="none"/>
        </w:rPr>
        <w:t>为原料，添加少量双抗色母粒，在混料机料仓内进行搅拌混合，每条线对应一套混料机；混料完成后在料仓直接经吸料机送挤出机。该工序产生</w:t>
      </w:r>
      <w:r>
        <w:rPr>
          <w:rFonts w:hint="default" w:ascii="Times New Roman" w:hAnsi="Times New Roman" w:eastAsia="宋体" w:cs="Times New Roman"/>
          <w:color w:val="auto"/>
          <w:kern w:val="0"/>
          <w:sz w:val="24"/>
          <w:highlight w:val="none"/>
          <w:lang w:eastAsia="zh-CN"/>
        </w:rPr>
        <w:t>混料</w:t>
      </w:r>
      <w:r>
        <w:rPr>
          <w:rFonts w:hint="default" w:ascii="Times New Roman" w:hAnsi="Times New Roman" w:eastAsia="宋体" w:cs="Times New Roman"/>
          <w:color w:val="auto"/>
          <w:kern w:val="0"/>
          <w:sz w:val="24"/>
          <w:highlight w:val="none"/>
        </w:rPr>
        <w:t>废气G</w:t>
      </w:r>
      <w:r>
        <w:rPr>
          <w:rFonts w:hint="default"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eastAsia="zh-CN"/>
        </w:rPr>
        <w:t>收集的混料颗粒物</w:t>
      </w:r>
      <w:r>
        <w:rPr>
          <w:rFonts w:hint="default" w:ascii="Times New Roman" w:hAnsi="Times New Roman" w:eastAsia="宋体" w:cs="Times New Roman"/>
          <w:color w:val="auto"/>
          <w:kern w:val="0"/>
          <w:sz w:val="24"/>
          <w:highlight w:val="none"/>
          <w:lang w:val="en-US" w:eastAsia="zh-CN"/>
        </w:rPr>
        <w:t>S4</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设备运行噪声N5。</w:t>
      </w:r>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吹塑：项目采用优质密闭型挤出机，混合料经螺旋推杆推入电热熔融仓，融化粒料，熔融温度控制在110~170℃，经挤出机密闭对接口直接推入吹塑真空成型一体机内，直接定型拉出单翼迷宫滴灌管。会有少量废气产生，排放污染物为非甲烷总烃，在此工序设置集气罩对废气进行收集，收集后的气体经耐高温过滤棉</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UV光氧催化</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活性炭净化装置处理后通过15m高排气筒</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P2</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排放。该工序产生吹塑废气G</w:t>
      </w:r>
      <w:r>
        <w:rPr>
          <w:rFonts w:hint="default" w:ascii="Times New Roman" w:hAnsi="Times New Roman" w:eastAsia="宋体" w:cs="Times New Roman"/>
          <w:color w:val="auto"/>
          <w:kern w:val="0"/>
          <w:sz w:val="24"/>
          <w:highlight w:val="none"/>
          <w:lang w:val="en-US" w:eastAsia="zh-CN"/>
        </w:rPr>
        <w:t>4</w:t>
      </w:r>
      <w:r>
        <w:rPr>
          <w:rFonts w:hint="default" w:ascii="Times New Roman" w:hAnsi="Times New Roman" w:eastAsia="宋体" w:cs="Times New Roman"/>
          <w:color w:val="auto"/>
          <w:kern w:val="0"/>
          <w:sz w:val="24"/>
          <w:highlight w:val="none"/>
        </w:rPr>
        <w:t>，设备运行噪声N6。</w:t>
      </w:r>
    </w:p>
    <w:p>
      <w:pPr>
        <w:shd w:val="clea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冷却：定型的滴灌带经牵引，通过设备自带的冷却系统，进行降温冷却处理。水冷用水不外排，定期补充新水，循环使用。</w:t>
      </w:r>
    </w:p>
    <w:p>
      <w:pPr>
        <w:shd w:val="clea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检验、收卷：滴灌带检验合格后，经牵引机送至收卷机，收束成卷，入库存放，待售。</w:t>
      </w:r>
    </w:p>
    <w:p>
      <w:pPr>
        <w:shd w:val="clea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包装入库：产品包装后放至成品区保存待售。</w:t>
      </w:r>
    </w:p>
    <w:p>
      <w:pPr>
        <w:shd w:val="clea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fldChar w:fldCharType="begin"/>
      </w:r>
      <w:r>
        <w:rPr>
          <w:rFonts w:hint="default" w:ascii="Times New Roman" w:hAnsi="Times New Roman" w:eastAsia="宋体" w:cs="Times New Roman"/>
          <w:color w:val="auto"/>
          <w:kern w:val="0"/>
          <w:sz w:val="24"/>
          <w:szCs w:val="24"/>
          <w:highlight w:val="none"/>
        </w:rPr>
        <w:instrText xml:space="preserve"> = 3 \* GB3 \* MERGEFORMAT </w:instrText>
      </w:r>
      <w:r>
        <w:rPr>
          <w:rFonts w:hint="default" w:ascii="Times New Roman" w:hAnsi="Times New Roman" w:eastAsia="宋体" w:cs="Times New Roman"/>
          <w:color w:val="auto"/>
          <w:kern w:val="0"/>
          <w:sz w:val="24"/>
          <w:szCs w:val="24"/>
          <w:highlight w:val="none"/>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kern w:val="0"/>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t>PE管材管件</w:t>
      </w:r>
      <w:r>
        <w:rPr>
          <w:rFonts w:hint="default" w:ascii="Times New Roman" w:hAnsi="Times New Roman" w:eastAsia="宋体" w:cs="Times New Roman"/>
          <w:color w:val="auto"/>
          <w:kern w:val="0"/>
          <w:sz w:val="24"/>
          <w:szCs w:val="24"/>
          <w:highlight w:val="none"/>
        </w:rPr>
        <w:t>生产工艺</w:t>
      </w:r>
    </w:p>
    <w:p>
      <w:pPr>
        <w:shd w:val="clea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PE管材管件</w:t>
      </w:r>
      <w:r>
        <w:rPr>
          <w:rFonts w:hint="default" w:ascii="Times New Roman" w:hAnsi="Times New Roman" w:eastAsia="宋体" w:cs="Times New Roman"/>
          <w:color w:val="auto"/>
          <w:kern w:val="0"/>
          <w:sz w:val="24"/>
          <w:szCs w:val="24"/>
          <w:highlight w:val="none"/>
          <w:lang w:val="en-US" w:eastAsia="zh-CN"/>
        </w:rPr>
        <w:t>生产工艺与</w:t>
      </w:r>
      <w:r>
        <w:rPr>
          <w:rFonts w:hint="default" w:ascii="Times New Roman" w:hAnsi="Times New Roman" w:eastAsia="宋体" w:cs="Times New Roman"/>
          <w:color w:val="auto"/>
          <w:kern w:val="0"/>
          <w:sz w:val="24"/>
          <w:szCs w:val="24"/>
          <w:highlight w:val="none"/>
        </w:rPr>
        <w:t>单翼迷宫滴灌带生产工艺</w:t>
      </w:r>
      <w:r>
        <w:rPr>
          <w:rFonts w:hint="default" w:ascii="Times New Roman" w:hAnsi="Times New Roman" w:eastAsia="宋体" w:cs="Times New Roman"/>
          <w:color w:val="auto"/>
          <w:kern w:val="0"/>
          <w:sz w:val="24"/>
          <w:szCs w:val="24"/>
          <w:highlight w:val="none"/>
          <w:lang w:val="en-US" w:eastAsia="zh-CN"/>
        </w:rPr>
        <w:t>相同，唯一不同的是</w:t>
      </w:r>
      <w:r>
        <w:rPr>
          <w:rFonts w:hint="default" w:ascii="Times New Roman" w:hAnsi="Times New Roman" w:eastAsia="宋体" w:cs="Times New Roman"/>
          <w:color w:val="auto"/>
          <w:sz w:val="24"/>
          <w:highlight w:val="none"/>
          <w:lang w:val="en-US" w:eastAsia="zh-CN"/>
        </w:rPr>
        <w:t>PE管材管件</w:t>
      </w:r>
      <w:r>
        <w:rPr>
          <w:rFonts w:hint="default" w:ascii="Times New Roman" w:hAnsi="Times New Roman" w:eastAsia="宋体" w:cs="Times New Roman"/>
          <w:color w:val="auto"/>
          <w:kern w:val="0"/>
          <w:sz w:val="24"/>
          <w:szCs w:val="24"/>
          <w:highlight w:val="none"/>
        </w:rPr>
        <w:t>吹塑真空成型一体机</w:t>
      </w:r>
      <w:r>
        <w:rPr>
          <w:rFonts w:hint="default" w:ascii="Times New Roman" w:hAnsi="Times New Roman" w:eastAsia="宋体" w:cs="Times New Roman"/>
          <w:color w:val="auto"/>
          <w:kern w:val="0"/>
          <w:sz w:val="24"/>
          <w:szCs w:val="24"/>
          <w:highlight w:val="none"/>
          <w:lang w:val="en-US" w:eastAsia="zh-CN"/>
        </w:rPr>
        <w:t>出口口径较大。</w:t>
      </w:r>
    </w:p>
    <w:p>
      <w:pPr>
        <w:shd w:val="clea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fldChar w:fldCharType="begin"/>
      </w:r>
      <w:r>
        <w:rPr>
          <w:rFonts w:hint="default" w:ascii="Times New Roman" w:hAnsi="Times New Roman" w:eastAsia="宋体" w:cs="Times New Roman"/>
          <w:color w:val="auto"/>
          <w:kern w:val="0"/>
          <w:sz w:val="24"/>
          <w:szCs w:val="24"/>
          <w:highlight w:val="none"/>
        </w:rPr>
        <w:instrText xml:space="preserve"> = 4 \* GB3 \* MERGEFORMAT </w:instrText>
      </w:r>
      <w:r>
        <w:rPr>
          <w:rFonts w:hint="default" w:ascii="Times New Roman" w:hAnsi="Times New Roman" w:eastAsia="宋体" w:cs="Times New Roman"/>
          <w:color w:val="auto"/>
          <w:kern w:val="0"/>
          <w:sz w:val="24"/>
          <w:szCs w:val="24"/>
          <w:highlight w:val="none"/>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color w:val="auto"/>
          <w:kern w:val="0"/>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t>地膜</w:t>
      </w:r>
      <w:r>
        <w:rPr>
          <w:rFonts w:hint="default" w:ascii="Times New Roman" w:hAnsi="Times New Roman" w:eastAsia="宋体" w:cs="Times New Roman"/>
          <w:color w:val="auto"/>
          <w:kern w:val="0"/>
          <w:sz w:val="24"/>
          <w:szCs w:val="24"/>
          <w:highlight w:val="none"/>
        </w:rPr>
        <w:t>生产工艺</w:t>
      </w:r>
    </w:p>
    <w:p>
      <w:pPr>
        <w:shd w:val="clea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szCs w:val="24"/>
          <w:highlight w:val="none"/>
          <w:lang w:val="en-US" w:eastAsia="zh-CN"/>
        </w:rPr>
        <w:t>地膜</w:t>
      </w:r>
      <w:r>
        <w:rPr>
          <w:rFonts w:hint="default" w:ascii="Times New Roman" w:hAnsi="Times New Roman" w:eastAsia="宋体" w:cs="Times New Roman"/>
          <w:color w:val="auto"/>
          <w:kern w:val="0"/>
          <w:sz w:val="24"/>
          <w:szCs w:val="24"/>
          <w:highlight w:val="none"/>
          <w:lang w:val="en-US" w:eastAsia="zh-CN"/>
        </w:rPr>
        <w:t>生产工艺与</w:t>
      </w:r>
      <w:r>
        <w:rPr>
          <w:rFonts w:hint="default" w:ascii="Times New Roman" w:hAnsi="Times New Roman" w:eastAsia="宋体" w:cs="Times New Roman"/>
          <w:color w:val="auto"/>
          <w:kern w:val="0"/>
          <w:sz w:val="24"/>
          <w:szCs w:val="24"/>
          <w:highlight w:val="none"/>
        </w:rPr>
        <w:t>单翼迷宫滴灌带生产工艺</w:t>
      </w:r>
      <w:r>
        <w:rPr>
          <w:rFonts w:hint="default" w:ascii="Times New Roman" w:hAnsi="Times New Roman" w:eastAsia="宋体" w:cs="Times New Roman"/>
          <w:color w:val="auto"/>
          <w:kern w:val="0"/>
          <w:sz w:val="24"/>
          <w:szCs w:val="24"/>
          <w:highlight w:val="none"/>
          <w:lang w:val="en-US" w:eastAsia="zh-CN"/>
        </w:rPr>
        <w:t>相同，唯一不同的是地膜工段直接吹膜成型；滴灌带和PE管材工序则冷却定型。</w:t>
      </w:r>
    </w:p>
    <w:p>
      <w:pPr>
        <w:pStyle w:val="6"/>
        <w:keepLines w:val="0"/>
        <w:shd w:val="clear"/>
        <w:spacing w:before="60" w:after="60" w:line="360" w:lineRule="auto"/>
        <w:rPr>
          <w:rFonts w:hint="default" w:ascii="Times New Roman" w:hAnsi="Times New Roman" w:eastAsia="宋体" w:cs="Times New Roman"/>
          <w:color w:val="auto"/>
          <w:highlight w:val="none"/>
        </w:rPr>
      </w:pPr>
      <w:bookmarkStart w:id="146" w:name="_Toc464475348"/>
      <w:r>
        <w:rPr>
          <w:rFonts w:hint="default" w:ascii="Times New Roman" w:hAnsi="Times New Roman" w:eastAsia="宋体" w:cs="Times New Roman"/>
          <w:color w:val="auto"/>
          <w:highlight w:val="none"/>
        </w:rPr>
        <w:t>3.2.</w:t>
      </w:r>
      <w:bookmarkEnd w:id="146"/>
      <w:r>
        <w:rPr>
          <w:rFonts w:hint="default" w:ascii="Times New Roman" w:hAnsi="Times New Roman" w:eastAsia="宋体" w:cs="Times New Roman"/>
          <w:color w:val="auto"/>
          <w:highlight w:val="none"/>
        </w:rPr>
        <w:t>2污染源识别</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本项目运营期污染物产生环节见表3.2-1。</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表3.2-1 本项目产污环节一览表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823"/>
        <w:gridCol w:w="2071"/>
        <w:gridCol w:w="1559"/>
        <w:gridCol w:w="2253"/>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84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污染物</w:t>
            </w:r>
          </w:p>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类型</w:t>
            </w: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序号</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产生环节</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污染物名称</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主要污染因子</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9" w:type="dxa"/>
            <w:vMerge w:val="restart"/>
            <w:shd w:val="clear" w:color="auto" w:fill="auto"/>
            <w:vAlign w:val="center"/>
          </w:tcPr>
          <w:p>
            <w:pPr>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废水</w:t>
            </w: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W1</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破碎</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湿法破碎废水</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SS</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W2</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清洗</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清洗废水</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SS</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W3</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甩干</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甩干废水</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SS</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W</w:t>
            </w:r>
            <w:r>
              <w:rPr>
                <w:rFonts w:hint="default" w:ascii="Times New Roman" w:hAnsi="Times New Roman" w:eastAsia="宋体" w:cs="Times New Roman"/>
                <w:color w:val="auto"/>
                <w:kern w:val="0"/>
                <w:szCs w:val="21"/>
                <w:highlight w:val="none"/>
                <w:lang w:val="en-US" w:eastAsia="zh-CN"/>
              </w:rPr>
              <w:t>4</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TW"/>
              </w:rPr>
              <w:t>挤塑</w:t>
            </w:r>
            <w:r>
              <w:rPr>
                <w:rFonts w:hint="default" w:ascii="Times New Roman" w:hAnsi="Times New Roman" w:eastAsia="宋体" w:cs="Times New Roman"/>
                <w:color w:val="auto"/>
                <w:kern w:val="0"/>
                <w:szCs w:val="21"/>
                <w:highlight w:val="none"/>
                <w:lang w:eastAsia="zh-CN"/>
              </w:rPr>
              <w:t>冷却</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CN"/>
              </w:rPr>
              <w:t>冷却</w:t>
            </w:r>
            <w:r>
              <w:rPr>
                <w:rFonts w:hint="default" w:ascii="Times New Roman" w:hAnsi="Times New Roman" w:eastAsia="宋体" w:cs="Times New Roman"/>
                <w:color w:val="auto"/>
                <w:kern w:val="0"/>
                <w:szCs w:val="21"/>
                <w:highlight w:val="none"/>
              </w:rPr>
              <w:t>废水</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SS</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W</w:t>
            </w:r>
            <w:r>
              <w:rPr>
                <w:rFonts w:hint="default" w:ascii="Times New Roman" w:hAnsi="Times New Roman" w:eastAsia="宋体" w:cs="Times New Roman"/>
                <w:color w:val="auto"/>
                <w:kern w:val="0"/>
                <w:szCs w:val="21"/>
                <w:highlight w:val="none"/>
                <w:lang w:val="en-US" w:eastAsia="zh-CN"/>
              </w:rPr>
              <w:t>5</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吹塑</w:t>
            </w:r>
            <w:r>
              <w:rPr>
                <w:rFonts w:hint="default" w:ascii="Times New Roman" w:hAnsi="Times New Roman" w:eastAsia="宋体" w:cs="Times New Roman"/>
                <w:color w:val="auto"/>
                <w:kern w:val="0"/>
                <w:szCs w:val="21"/>
                <w:highlight w:val="none"/>
                <w:lang w:eastAsia="zh-CN"/>
              </w:rPr>
              <w:t>冷却</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CN"/>
              </w:rPr>
              <w:t>冷却</w:t>
            </w:r>
            <w:r>
              <w:rPr>
                <w:rFonts w:hint="default" w:ascii="Times New Roman" w:hAnsi="Times New Roman" w:eastAsia="宋体" w:cs="Times New Roman"/>
                <w:color w:val="auto"/>
                <w:kern w:val="0"/>
                <w:szCs w:val="21"/>
                <w:highlight w:val="none"/>
              </w:rPr>
              <w:t>废水</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SS</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restart"/>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废气</w:t>
            </w: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G1</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挤塑</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废气</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非甲烷总烃</w:t>
            </w:r>
            <w:r>
              <w:rPr>
                <w:rFonts w:hint="default" w:ascii="Times New Roman" w:hAnsi="Times New Roman" w:eastAsia="宋体" w:cs="Times New Roman"/>
                <w:color w:val="auto"/>
                <w:kern w:val="0"/>
                <w:sz w:val="21"/>
                <w:szCs w:val="21"/>
                <w:highlight w:val="none"/>
                <w:lang w:eastAsia="zh-CN"/>
              </w:rPr>
              <w:t>、颗粒物</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G2</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CN"/>
              </w:rPr>
              <w:t>切粒</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废气</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非甲烷总烃</w:t>
            </w:r>
            <w:r>
              <w:rPr>
                <w:rFonts w:hint="default" w:ascii="Times New Roman" w:hAnsi="Times New Roman" w:eastAsia="宋体" w:cs="Times New Roman"/>
                <w:color w:val="auto"/>
                <w:kern w:val="0"/>
                <w:sz w:val="21"/>
                <w:szCs w:val="21"/>
                <w:highlight w:val="none"/>
                <w:lang w:eastAsia="zh-CN"/>
              </w:rPr>
              <w:t>、颗粒物</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G</w:t>
            </w:r>
            <w:r>
              <w:rPr>
                <w:rFonts w:hint="default" w:ascii="Times New Roman" w:hAnsi="Times New Roman" w:eastAsia="宋体" w:cs="Times New Roman"/>
                <w:color w:val="auto"/>
                <w:kern w:val="0"/>
                <w:sz w:val="21"/>
                <w:szCs w:val="21"/>
                <w:highlight w:val="none"/>
                <w:lang w:val="en-US" w:eastAsia="zh-CN"/>
              </w:rPr>
              <w:t>3</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CN"/>
              </w:rPr>
              <w:t>混料</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废气</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CN"/>
              </w:rPr>
              <w:t>颗粒物</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G</w:t>
            </w:r>
            <w:r>
              <w:rPr>
                <w:rFonts w:hint="default" w:ascii="Times New Roman" w:hAnsi="Times New Roman" w:eastAsia="宋体" w:cs="Times New Roman"/>
                <w:color w:val="auto"/>
                <w:kern w:val="0"/>
                <w:sz w:val="21"/>
                <w:szCs w:val="21"/>
                <w:highlight w:val="none"/>
                <w:lang w:val="en-US" w:eastAsia="zh-CN"/>
              </w:rPr>
              <w:t>4</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吹塑</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废气</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非甲烷总烃</w:t>
            </w:r>
            <w:r>
              <w:rPr>
                <w:rFonts w:hint="default" w:ascii="Times New Roman" w:hAnsi="Times New Roman" w:eastAsia="宋体" w:cs="Times New Roman"/>
                <w:color w:val="auto"/>
                <w:kern w:val="0"/>
                <w:sz w:val="21"/>
                <w:szCs w:val="21"/>
                <w:highlight w:val="none"/>
                <w:lang w:eastAsia="zh-CN"/>
              </w:rPr>
              <w:t>、颗粒物</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restart"/>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固废</w:t>
            </w: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S1</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分拣分类</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分拣固废</w:t>
            </w:r>
          </w:p>
        </w:tc>
        <w:tc>
          <w:tcPr>
            <w:tcW w:w="2253" w:type="dxa"/>
            <w:vMerge w:val="restart"/>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一般固废</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S2</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三级沉淀池</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三级沉淀池沉渣</w:t>
            </w:r>
          </w:p>
        </w:tc>
        <w:tc>
          <w:tcPr>
            <w:tcW w:w="2253" w:type="dxa"/>
            <w:vMerge w:val="continue"/>
            <w:vAlign w:val="center"/>
          </w:tcPr>
          <w:p>
            <w:pPr>
              <w:shd w:val="clear"/>
              <w:jc w:val="center"/>
              <w:rPr>
                <w:rFonts w:hint="default" w:ascii="Times New Roman" w:hAnsi="Times New Roman" w:eastAsia="宋体" w:cs="Times New Roman"/>
                <w:color w:val="auto"/>
                <w:kern w:val="0"/>
                <w:szCs w:val="21"/>
                <w:highlight w:val="none"/>
              </w:rPr>
            </w:pP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S3</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挤出机</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废滤网</w:t>
            </w:r>
          </w:p>
        </w:tc>
        <w:tc>
          <w:tcPr>
            <w:tcW w:w="2253" w:type="dxa"/>
            <w:vMerge w:val="continue"/>
            <w:vAlign w:val="center"/>
          </w:tcPr>
          <w:p>
            <w:pPr>
              <w:shd w:val="clear"/>
              <w:jc w:val="center"/>
              <w:rPr>
                <w:rFonts w:hint="default" w:ascii="Times New Roman" w:hAnsi="Times New Roman" w:eastAsia="宋体" w:cs="Times New Roman"/>
                <w:color w:val="auto"/>
                <w:kern w:val="0"/>
                <w:szCs w:val="21"/>
                <w:highlight w:val="none"/>
              </w:rPr>
            </w:pP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S</w:t>
            </w:r>
            <w:r>
              <w:rPr>
                <w:rFonts w:hint="default" w:ascii="Times New Roman" w:hAnsi="Times New Roman" w:eastAsia="宋体" w:cs="Times New Roman"/>
                <w:color w:val="auto"/>
                <w:kern w:val="0"/>
                <w:szCs w:val="21"/>
                <w:highlight w:val="none"/>
                <w:lang w:val="en-US" w:eastAsia="zh-CN"/>
              </w:rPr>
              <w:t>4</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混料工序</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收集的</w:t>
            </w:r>
            <w:r>
              <w:rPr>
                <w:rFonts w:hint="default" w:ascii="Times New Roman" w:hAnsi="Times New Roman" w:eastAsia="宋体" w:cs="Times New Roman"/>
                <w:color w:val="auto"/>
                <w:kern w:val="0"/>
                <w:szCs w:val="21"/>
                <w:highlight w:val="none"/>
                <w:lang w:eastAsia="zh-CN"/>
              </w:rPr>
              <w:t>颗粒物</w:t>
            </w:r>
          </w:p>
        </w:tc>
        <w:tc>
          <w:tcPr>
            <w:tcW w:w="2253" w:type="dxa"/>
            <w:vMerge w:val="continue"/>
            <w:vAlign w:val="center"/>
          </w:tcPr>
          <w:p>
            <w:pPr>
              <w:shd w:val="clear"/>
              <w:jc w:val="center"/>
              <w:rPr>
                <w:rFonts w:hint="default" w:ascii="Times New Roman" w:hAnsi="Times New Roman" w:eastAsia="宋体" w:cs="Times New Roman"/>
                <w:color w:val="auto"/>
                <w:kern w:val="0"/>
                <w:szCs w:val="21"/>
                <w:highlight w:val="none"/>
              </w:rPr>
            </w:pP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S</w:t>
            </w:r>
            <w:r>
              <w:rPr>
                <w:rFonts w:hint="default" w:ascii="Times New Roman" w:hAnsi="Times New Roman" w:eastAsia="宋体" w:cs="Times New Roman"/>
                <w:color w:val="auto"/>
                <w:kern w:val="0"/>
                <w:szCs w:val="21"/>
                <w:highlight w:val="none"/>
                <w:lang w:val="en-US" w:eastAsia="zh-CN"/>
              </w:rPr>
              <w:t>5</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废气处理</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废耐高温过滤棉</w:t>
            </w:r>
          </w:p>
        </w:tc>
        <w:tc>
          <w:tcPr>
            <w:tcW w:w="2253" w:type="dxa"/>
            <w:vMerge w:val="restart"/>
            <w:vAlign w:val="center"/>
          </w:tcPr>
          <w:p>
            <w:pPr>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危险废物</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w:t>
            </w:r>
            <w:r>
              <w:rPr>
                <w:rFonts w:hint="default" w:ascii="Times New Roman" w:hAnsi="Times New Roman" w:eastAsia="宋体" w:cs="Times New Roman"/>
                <w:color w:val="auto"/>
                <w:kern w:val="0"/>
                <w:szCs w:val="21"/>
                <w:highlight w:val="none"/>
                <w:lang w:val="en-US" w:eastAsia="zh-CN"/>
              </w:rPr>
              <w:t>6</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废气处理</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废灯管</w:t>
            </w:r>
          </w:p>
        </w:tc>
        <w:tc>
          <w:tcPr>
            <w:tcW w:w="2253" w:type="dxa"/>
            <w:vMerge w:val="continue"/>
            <w:vAlign w:val="center"/>
          </w:tcPr>
          <w:p>
            <w:pPr>
              <w:shd w:val="clear"/>
              <w:jc w:val="center"/>
              <w:rPr>
                <w:rFonts w:hint="default" w:ascii="Times New Roman" w:hAnsi="Times New Roman" w:eastAsia="宋体" w:cs="Times New Roman"/>
                <w:color w:val="auto"/>
                <w:kern w:val="0"/>
                <w:szCs w:val="21"/>
                <w:highlight w:val="none"/>
                <w:lang w:eastAsia="zh-TW"/>
              </w:rPr>
            </w:pP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vMerge w:val="continue"/>
            <w:vAlign w:val="center"/>
          </w:tcPr>
          <w:p>
            <w:pPr>
              <w:widowControl/>
              <w:shd w:val="clear"/>
              <w:jc w:val="left"/>
              <w:rPr>
                <w:rFonts w:hint="default" w:ascii="Times New Roman" w:hAnsi="Times New Roman" w:eastAsia="宋体" w:cs="Times New Roman"/>
                <w:color w:val="auto"/>
                <w:kern w:val="0"/>
                <w:szCs w:val="21"/>
                <w:highlight w:val="none"/>
              </w:rPr>
            </w:pP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S</w:t>
            </w:r>
            <w:r>
              <w:rPr>
                <w:rFonts w:hint="eastAsia" w:cs="Times New Roman"/>
                <w:color w:val="auto"/>
                <w:kern w:val="0"/>
                <w:szCs w:val="21"/>
                <w:highlight w:val="none"/>
                <w:lang w:val="en-US" w:eastAsia="zh-CN"/>
              </w:rPr>
              <w:t>7</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废气处理</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废活性炭</w:t>
            </w:r>
          </w:p>
        </w:tc>
        <w:tc>
          <w:tcPr>
            <w:tcW w:w="2253" w:type="dxa"/>
            <w:vMerge w:val="continue"/>
            <w:shd w:val="clear" w:color="auto" w:fill="auto"/>
            <w:vAlign w:val="center"/>
          </w:tcPr>
          <w:p>
            <w:pPr>
              <w:shd w:val="clear"/>
              <w:jc w:val="center"/>
              <w:rPr>
                <w:rFonts w:hint="default" w:ascii="Times New Roman" w:hAnsi="Times New Roman" w:eastAsia="宋体" w:cs="Times New Roman"/>
                <w:color w:val="auto"/>
                <w:kern w:val="0"/>
                <w:szCs w:val="21"/>
                <w:highlight w:val="none"/>
                <w:lang w:eastAsia="zh-TW"/>
              </w:rPr>
            </w:pP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噪声</w:t>
            </w:r>
          </w:p>
        </w:tc>
        <w:tc>
          <w:tcPr>
            <w:tcW w:w="82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N1-N7</w:t>
            </w:r>
          </w:p>
        </w:tc>
        <w:tc>
          <w:tcPr>
            <w:tcW w:w="207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破碎机、甩干机、</w:t>
            </w:r>
            <w:r>
              <w:rPr>
                <w:rFonts w:hint="default" w:ascii="Times New Roman" w:hAnsi="Times New Roman" w:eastAsia="宋体" w:cs="Times New Roman"/>
                <w:color w:val="auto"/>
                <w:kern w:val="0"/>
                <w:szCs w:val="21"/>
                <w:highlight w:val="none"/>
                <w:lang w:eastAsia="zh-CN"/>
              </w:rPr>
              <w:t>切粒机</w:t>
            </w:r>
            <w:r>
              <w:rPr>
                <w:rFonts w:hint="default" w:ascii="Times New Roman" w:hAnsi="Times New Roman" w:eastAsia="宋体" w:cs="Times New Roman"/>
                <w:color w:val="auto"/>
                <w:kern w:val="0"/>
                <w:szCs w:val="21"/>
                <w:highlight w:val="none"/>
              </w:rPr>
              <w:t>、引风机、挤出机、牵引机、收卷机等全部生产设备</w:t>
            </w:r>
          </w:p>
        </w:tc>
        <w:tc>
          <w:tcPr>
            <w:tcW w:w="155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机械噪声</w:t>
            </w:r>
          </w:p>
        </w:tc>
        <w:tc>
          <w:tcPr>
            <w:tcW w:w="2253"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等效A声级</w:t>
            </w:r>
          </w:p>
        </w:tc>
        <w:tc>
          <w:tcPr>
            <w:tcW w:w="705"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连续</w:t>
            </w:r>
          </w:p>
        </w:tc>
      </w:tr>
      <w:bookmarkEnd w:id="144"/>
    </w:tbl>
    <w:p>
      <w:pPr>
        <w:pStyle w:val="5"/>
        <w:shd w:val="clear"/>
        <w:spacing w:before="60" w:after="60" w:line="360" w:lineRule="auto"/>
        <w:rPr>
          <w:rFonts w:hint="default" w:ascii="Times New Roman" w:hAnsi="Times New Roman" w:eastAsia="宋体" w:cs="Times New Roman"/>
          <w:color w:val="auto"/>
          <w:highlight w:val="none"/>
        </w:rPr>
      </w:pPr>
      <w:bookmarkStart w:id="147" w:name="_Toc464475354"/>
      <w:bookmarkStart w:id="148" w:name="_Toc10439"/>
      <w:bookmarkStart w:id="149" w:name="_Toc214963756"/>
      <w:r>
        <w:rPr>
          <w:rFonts w:hint="default" w:ascii="Times New Roman" w:hAnsi="Times New Roman" w:eastAsia="宋体" w:cs="Times New Roman"/>
          <w:color w:val="auto"/>
          <w:highlight w:val="none"/>
        </w:rPr>
        <w:t xml:space="preserve">3.3 </w:t>
      </w:r>
      <w:bookmarkEnd w:id="147"/>
      <w:r>
        <w:rPr>
          <w:rFonts w:hint="default" w:ascii="Times New Roman" w:hAnsi="Times New Roman" w:eastAsia="宋体" w:cs="Times New Roman"/>
          <w:color w:val="auto"/>
          <w:highlight w:val="none"/>
        </w:rPr>
        <w:t>污染源强核算</w:t>
      </w:r>
      <w:bookmarkEnd w:id="148"/>
    </w:p>
    <w:p>
      <w:pPr>
        <w:pStyle w:val="6"/>
        <w:keepLines w:val="0"/>
        <w:shd w:val="clear"/>
        <w:spacing w:before="60" w:after="60" w:line="360" w:lineRule="auto"/>
        <w:rPr>
          <w:rFonts w:hint="default" w:ascii="Times New Roman" w:hAnsi="Times New Roman" w:eastAsia="宋体" w:cs="Times New Roman"/>
          <w:color w:val="auto"/>
          <w:highlight w:val="none"/>
        </w:rPr>
      </w:pPr>
      <w:bookmarkStart w:id="150" w:name="_Toc464475355"/>
      <w:bookmarkStart w:id="151" w:name="_Toc353361661"/>
      <w:r>
        <w:rPr>
          <w:rFonts w:hint="default" w:ascii="Times New Roman" w:hAnsi="Times New Roman" w:eastAsia="宋体" w:cs="Times New Roman"/>
          <w:color w:val="auto"/>
          <w:highlight w:val="none"/>
        </w:rPr>
        <w:t>3.3.1施工期污染源</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厂区原为额尔登布拉格苏木旧乡政府，院内现有</w:t>
      </w:r>
      <w:r>
        <w:rPr>
          <w:rFonts w:hint="default" w:ascii="Times New Roman" w:hAnsi="Times New Roman" w:eastAsia="宋体" w:cs="Times New Roman"/>
          <w:color w:val="auto"/>
          <w:sz w:val="24"/>
          <w:highlight w:val="none"/>
          <w:lang w:val="en-US" w:eastAsia="zh-CN"/>
        </w:rPr>
        <w:t>2座厂房和1座办公室</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无自然植被覆盖</w:t>
      </w:r>
      <w:r>
        <w:rPr>
          <w:rFonts w:hint="default" w:ascii="Times New Roman" w:hAnsi="Times New Roman" w:eastAsia="宋体" w:cs="Times New Roman"/>
          <w:color w:val="auto"/>
          <w:sz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本次工程建设</w:t>
      </w:r>
      <w:r>
        <w:rPr>
          <w:rFonts w:hint="default" w:ascii="Times New Roman" w:hAnsi="Times New Roman" w:eastAsia="宋体" w:cs="Times New Roman"/>
          <w:color w:val="auto"/>
          <w:sz w:val="24"/>
          <w:highlight w:val="none"/>
          <w:lang w:val="en-US" w:eastAsia="zh-CN"/>
        </w:rPr>
        <w:t>1座</w:t>
      </w:r>
      <w:r>
        <w:rPr>
          <w:rFonts w:hint="default" w:ascii="Times New Roman" w:hAnsi="Times New Roman" w:eastAsia="宋体" w:cs="Times New Roman"/>
          <w:color w:val="auto"/>
          <w:sz w:val="24"/>
          <w:highlight w:val="none"/>
          <w:lang w:eastAsia="zh-CN"/>
        </w:rPr>
        <w:t>原材料库</w:t>
      </w:r>
      <w:r>
        <w:rPr>
          <w:rFonts w:hint="default" w:ascii="Times New Roman" w:hAnsi="Times New Roman" w:eastAsia="宋体" w:cs="Times New Roman"/>
          <w:color w:val="auto"/>
          <w:sz w:val="24"/>
          <w:highlight w:val="none"/>
        </w:rPr>
        <w:t>房、</w:t>
      </w:r>
      <w:r>
        <w:rPr>
          <w:rFonts w:hint="default" w:ascii="Times New Roman" w:hAnsi="Times New Roman" w:eastAsia="宋体" w:cs="Times New Roman"/>
          <w:color w:val="auto"/>
          <w:sz w:val="24"/>
          <w:highlight w:val="none"/>
          <w:lang w:val="en-US" w:eastAsia="zh-CN"/>
        </w:rPr>
        <w:t>1座</w:t>
      </w:r>
      <w:r>
        <w:rPr>
          <w:rFonts w:hint="default" w:ascii="Times New Roman" w:hAnsi="Times New Roman" w:eastAsia="宋体" w:cs="Times New Roman"/>
          <w:color w:val="auto"/>
          <w:sz w:val="24"/>
          <w:highlight w:val="none"/>
        </w:rPr>
        <w:t>成品库</w:t>
      </w:r>
      <w:r>
        <w:rPr>
          <w:rFonts w:hint="default" w:ascii="Times New Roman" w:hAnsi="Times New Roman" w:eastAsia="宋体" w:cs="Times New Roman"/>
          <w:color w:val="auto"/>
          <w:sz w:val="24"/>
          <w:highlight w:val="none"/>
          <w:lang w:eastAsia="zh-CN"/>
        </w:rPr>
        <w:t>以及生产</w:t>
      </w:r>
      <w:r>
        <w:rPr>
          <w:rFonts w:hint="default" w:ascii="Times New Roman" w:hAnsi="Times New Roman" w:eastAsia="宋体" w:cs="Times New Roman"/>
          <w:color w:val="auto"/>
          <w:sz w:val="24"/>
          <w:highlight w:val="none"/>
        </w:rPr>
        <w:t>设备</w:t>
      </w:r>
      <w:r>
        <w:rPr>
          <w:rFonts w:hint="default" w:ascii="Times New Roman" w:hAnsi="Times New Roman" w:eastAsia="宋体" w:cs="Times New Roman"/>
          <w:color w:val="auto"/>
          <w:sz w:val="24"/>
          <w:highlight w:val="none"/>
          <w:lang w:eastAsia="zh-CN"/>
        </w:rPr>
        <w:t>、环保工程的</w:t>
      </w:r>
      <w:r>
        <w:rPr>
          <w:rFonts w:hint="default" w:ascii="Times New Roman" w:hAnsi="Times New Roman" w:eastAsia="宋体" w:cs="Times New Roman"/>
          <w:color w:val="auto"/>
          <w:sz w:val="24"/>
          <w:highlight w:val="none"/>
        </w:rPr>
        <w:t>安装等，以上施工活动进行时，建材运输、装卸及土建施工将会产生少量的扬尘，同时伴有噪声，并会有建筑垃圾的堆放情况。但由于施工量很小，施工期较短，影响并不突出，且多为短期可逆影响，随着施工阶段的结束而消失，项目施工阶段工程排污环节见表3.3-1。</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表3.3-1  工程建设施工期排污环节表</w:t>
      </w:r>
    </w:p>
    <w:tbl>
      <w:tblPr>
        <w:tblStyle w:val="90"/>
        <w:tblW w:w="8260" w:type="dxa"/>
        <w:jc w:val="center"/>
        <w:tblLayout w:type="fixed"/>
        <w:tblCellMar>
          <w:top w:w="0" w:type="dxa"/>
          <w:left w:w="108" w:type="dxa"/>
          <w:bottom w:w="0" w:type="dxa"/>
          <w:right w:w="108" w:type="dxa"/>
        </w:tblCellMar>
      </w:tblPr>
      <w:tblGrid>
        <w:gridCol w:w="1117"/>
        <w:gridCol w:w="2065"/>
        <w:gridCol w:w="3015"/>
        <w:gridCol w:w="2063"/>
      </w:tblGrid>
      <w:tr>
        <w:tblPrEx>
          <w:tblCellMar>
            <w:top w:w="0" w:type="dxa"/>
            <w:left w:w="108" w:type="dxa"/>
            <w:bottom w:w="0" w:type="dxa"/>
            <w:right w:w="108" w:type="dxa"/>
          </w:tblCellMar>
        </w:tblPrEx>
        <w:trPr>
          <w:cantSplit/>
          <w:trHeight w:val="340" w:hRule="atLeast"/>
          <w:jc w:val="center"/>
        </w:trPr>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影响类别</w:t>
            </w:r>
          </w:p>
        </w:tc>
        <w:tc>
          <w:tcPr>
            <w:tcW w:w="2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影响环节</w:t>
            </w: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产生原因</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主要污染物</w:t>
            </w:r>
          </w:p>
        </w:tc>
      </w:tr>
      <w:tr>
        <w:tblPrEx>
          <w:tblCellMar>
            <w:top w:w="0" w:type="dxa"/>
            <w:left w:w="108" w:type="dxa"/>
            <w:bottom w:w="0" w:type="dxa"/>
            <w:right w:w="108" w:type="dxa"/>
          </w:tblCellMar>
        </w:tblPrEx>
        <w:trPr>
          <w:cantSplit/>
          <w:trHeight w:val="340" w:hRule="atLeast"/>
          <w:jc w:val="center"/>
        </w:trPr>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废气</w:t>
            </w:r>
          </w:p>
        </w:tc>
        <w:tc>
          <w:tcPr>
            <w:tcW w:w="2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原料堆存、管道铺设、运输等</w:t>
            </w: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原料贮存、汽车运输及污水管线铺设、开挖引起的扬尘</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粉尘</w:t>
            </w:r>
          </w:p>
        </w:tc>
      </w:tr>
      <w:tr>
        <w:tblPrEx>
          <w:tblCellMar>
            <w:top w:w="0" w:type="dxa"/>
            <w:left w:w="108" w:type="dxa"/>
            <w:bottom w:w="0" w:type="dxa"/>
            <w:right w:w="108" w:type="dxa"/>
          </w:tblCellMar>
        </w:tblPrEx>
        <w:trPr>
          <w:cantSplit/>
          <w:trHeight w:val="340" w:hRule="atLeast"/>
          <w:jc w:val="center"/>
        </w:trPr>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噪声</w:t>
            </w:r>
          </w:p>
        </w:tc>
        <w:tc>
          <w:tcPr>
            <w:tcW w:w="2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各种施工机械设备、运输车辆</w:t>
            </w: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施工活动中推土机、挖掘机、打桩机等设备噪声、运输车辆噪声对道路两侧的影响</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噪声</w:t>
            </w:r>
          </w:p>
        </w:tc>
      </w:tr>
      <w:tr>
        <w:tblPrEx>
          <w:tblCellMar>
            <w:top w:w="0" w:type="dxa"/>
            <w:left w:w="108" w:type="dxa"/>
            <w:bottom w:w="0" w:type="dxa"/>
            <w:right w:w="108" w:type="dxa"/>
          </w:tblCellMar>
        </w:tblPrEx>
        <w:trPr>
          <w:cantSplit/>
          <w:trHeight w:val="340" w:hRule="atLeast"/>
          <w:jc w:val="center"/>
        </w:trPr>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废水</w:t>
            </w:r>
          </w:p>
        </w:tc>
        <w:tc>
          <w:tcPr>
            <w:tcW w:w="2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机械清洗、工人生活等</w:t>
            </w: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机械清洗过程中产生的含油污水等</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石油类、悬浮物、COD</w:t>
            </w:r>
          </w:p>
        </w:tc>
      </w:tr>
      <w:tr>
        <w:tblPrEx>
          <w:tblCellMar>
            <w:top w:w="0" w:type="dxa"/>
            <w:left w:w="108" w:type="dxa"/>
            <w:bottom w:w="0" w:type="dxa"/>
            <w:right w:w="108" w:type="dxa"/>
          </w:tblCellMar>
        </w:tblPrEx>
        <w:trPr>
          <w:cantSplit/>
          <w:trHeight w:val="340" w:hRule="atLeast"/>
          <w:jc w:val="center"/>
        </w:trPr>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固废</w:t>
            </w:r>
          </w:p>
        </w:tc>
        <w:tc>
          <w:tcPr>
            <w:tcW w:w="2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建筑垃圾</w:t>
            </w: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碎砖、灰浆、废材料等</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碎砖、灰浆、废材料</w:t>
            </w:r>
          </w:p>
        </w:tc>
      </w:tr>
      <w:tr>
        <w:tblPrEx>
          <w:tblCellMar>
            <w:top w:w="0" w:type="dxa"/>
            <w:left w:w="108" w:type="dxa"/>
            <w:bottom w:w="0" w:type="dxa"/>
            <w:right w:w="108" w:type="dxa"/>
          </w:tblCellMar>
        </w:tblPrEx>
        <w:trPr>
          <w:cantSplit/>
          <w:trHeight w:val="340" w:hRule="atLeast"/>
          <w:jc w:val="center"/>
        </w:trPr>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生态</w:t>
            </w:r>
          </w:p>
        </w:tc>
        <w:tc>
          <w:tcPr>
            <w:tcW w:w="2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弃土、植被破坏</w:t>
            </w: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表土剥离、植被清除等</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　</w:t>
            </w:r>
          </w:p>
        </w:tc>
      </w:tr>
    </w:tbl>
    <w:p>
      <w:pPr>
        <w:keepNext w:val="0"/>
        <w:keepLines w:val="0"/>
        <w:pageBreakBefore w:val="0"/>
        <w:widowControl w:val="0"/>
        <w:shd w:val="clear"/>
        <w:tabs>
          <w:tab w:val="left" w:pos="7500"/>
        </w:tabs>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主要采取如下环保措施：</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①对施工期开挖土方，建筑材料装卸、使用和运输过程产生的粉尘、扬尘污染，配置专用洒水车，进行喷洒降尘；</w:t>
      </w:r>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②尽可能选用低噪声的施工机械，噪声强度大的机械应远离居民生活区设置，使用时应避开夜间人们休息的时间；</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③施工过程中产生的施工废水经沉淀处理后回用，生活污水</w:t>
      </w:r>
      <w:r>
        <w:rPr>
          <w:rFonts w:hint="default" w:ascii="Times New Roman" w:hAnsi="Times New Roman" w:eastAsia="宋体" w:cs="Times New Roman"/>
          <w:color w:val="auto"/>
          <w:sz w:val="24"/>
          <w:highlight w:val="none"/>
          <w:lang w:val="en-US" w:eastAsia="zh-CN"/>
        </w:rPr>
        <w:t>排入</w:t>
      </w:r>
      <w:r>
        <w:rPr>
          <w:rFonts w:hint="default" w:ascii="Times New Roman" w:hAnsi="Times New Roman" w:eastAsia="宋体" w:cs="Times New Roman"/>
          <w:color w:val="auto"/>
          <w:sz w:val="24"/>
          <w:szCs w:val="22"/>
          <w:highlight w:val="none"/>
          <w:lang w:eastAsia="zh-CN"/>
        </w:rPr>
        <w:t>防渗化粪池</w:t>
      </w:r>
      <w:r>
        <w:rPr>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④施工工地外围建设临时围墙或简易档板，对扬尘和噪声有一定阻隔作用；</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⑤在施工现场要合理施工，取土尽量用于回填，减少土石方开挖量；</w:t>
      </w:r>
    </w:p>
    <w:p>
      <w:pPr>
        <w:keepNext w:val="0"/>
        <w:keepLines w:val="0"/>
        <w:pageBreakBefore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⑥加强施工工地环保管理，禁止现场材料随意堆放，粉状和颗料状物料临时堆放限制在项目占地范围内并对其用萜布进行遮盖。</w:t>
      </w:r>
    </w:p>
    <w:p>
      <w:pPr>
        <w:pStyle w:val="6"/>
        <w:keepLines w:val="0"/>
        <w:pageBreakBefore w:val="0"/>
        <w:widowControl w:val="0"/>
        <w:shd w:val="clear"/>
        <w:kinsoku/>
        <w:wordWrap/>
        <w:overflowPunct/>
        <w:topLinePunct w:val="0"/>
        <w:bidi w:val="0"/>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3.3.2 运营期污染源</w:t>
      </w:r>
    </w:p>
    <w:p>
      <w:pPr>
        <w:pStyle w:val="7"/>
        <w:keepNext/>
        <w:keepLines/>
        <w:pageBreakBefore w:val="0"/>
        <w:widowControl w:val="0"/>
        <w:kinsoku/>
        <w:wordWrap/>
        <w:overflowPunct/>
        <w:topLinePunct w:val="0"/>
        <w:autoSpaceDE/>
        <w:autoSpaceDN/>
        <w:bidi w:val="0"/>
        <w:adjustRightInd/>
        <w:snapToGrid/>
        <w:spacing w:before="0" w:after="0" w:line="377"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3.3.2.1废气</w:t>
      </w:r>
      <w:bookmarkEnd w:id="150"/>
      <w:bookmarkEnd w:id="151"/>
    </w:p>
    <w:p>
      <w:pPr>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项目运营期主要的大气污染源为</w:t>
      </w:r>
      <w:r>
        <w:rPr>
          <w:rFonts w:hint="default" w:ascii="Times New Roman" w:hAnsi="Times New Roman" w:eastAsia="宋体" w:cs="Times New Roman"/>
          <w:color w:val="auto"/>
          <w:kern w:val="0"/>
          <w:sz w:val="24"/>
          <w:szCs w:val="24"/>
          <w:highlight w:val="none"/>
          <w:lang w:eastAsia="zh-CN"/>
        </w:rPr>
        <w:t>混料、</w:t>
      </w:r>
      <w:r>
        <w:rPr>
          <w:rFonts w:hint="default" w:ascii="Times New Roman" w:hAnsi="Times New Roman" w:eastAsia="宋体" w:cs="Times New Roman"/>
          <w:color w:val="auto"/>
          <w:sz w:val="24"/>
          <w:szCs w:val="24"/>
          <w:highlight w:val="none"/>
        </w:rPr>
        <w:t>挤塑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切粒</w:t>
      </w:r>
      <w:r>
        <w:rPr>
          <w:rFonts w:hint="default" w:ascii="Times New Roman" w:hAnsi="Times New Roman" w:eastAsia="宋体" w:cs="Times New Roman"/>
          <w:color w:val="auto"/>
          <w:sz w:val="24"/>
          <w:szCs w:val="24"/>
          <w:highlight w:val="none"/>
        </w:rPr>
        <w:t>及吹塑废气。</w:t>
      </w:r>
    </w:p>
    <w:p>
      <w:pPr>
        <w:keepLines w:val="0"/>
        <w:pageBreakBefore w:val="0"/>
        <w:widowControl w:val="0"/>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）造粒生产车间挤塑、切粒</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highlight w:val="none"/>
        </w:rPr>
        <w:t>G1</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G2</w:t>
      </w:r>
    </w:p>
    <w:p>
      <w:pPr>
        <w:keepLines w:val="0"/>
        <w:pageBreakBefore w:val="0"/>
        <w:widowControl w:val="0"/>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塑料在加热熔化过程中，温度越高，塑料分解的速度越快，产生的废气也就越多。本项目挤塑及</w:t>
      </w:r>
      <w:r>
        <w:rPr>
          <w:rFonts w:hint="default" w:ascii="Times New Roman" w:hAnsi="Times New Roman" w:eastAsia="宋体" w:cs="Times New Roman"/>
          <w:color w:val="auto"/>
          <w:sz w:val="24"/>
          <w:highlight w:val="none"/>
          <w:lang w:eastAsia="zh-CN"/>
        </w:rPr>
        <w:t>切粒</w:t>
      </w:r>
      <w:r>
        <w:rPr>
          <w:rFonts w:hint="default" w:ascii="Times New Roman" w:hAnsi="Times New Roman" w:eastAsia="宋体" w:cs="Times New Roman"/>
          <w:color w:val="auto"/>
          <w:sz w:val="24"/>
          <w:highlight w:val="none"/>
        </w:rPr>
        <w:t>设备温控温度在1</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0℃-190℃以内，小于原料的裂解温度（聚乙烯裂解温度≥240℃），挤塑、吹塑设备有自动温度控制系统，可防止塑料分解或者碳化。本项目所用废旧塑料均不含卤素，无二噁英、HCl等废气产生。因此，本项目挤塑、吹塑过程中产生少量的非甲烷总烃</w:t>
      </w:r>
      <w:r>
        <w:rPr>
          <w:rFonts w:hint="default" w:ascii="Times New Roman" w:hAnsi="Times New Roman" w:eastAsia="宋体" w:cs="Times New Roman"/>
          <w:color w:val="auto"/>
          <w:sz w:val="24"/>
          <w:highlight w:val="none"/>
          <w:lang w:eastAsia="zh-CN"/>
        </w:rPr>
        <w:t>和颗粒物。</w:t>
      </w:r>
    </w:p>
    <w:p>
      <w:pPr>
        <w:keepLines w:val="0"/>
        <w:pageBreakBefore w:val="0"/>
        <w:widowControl w:val="0"/>
        <w:shd w:val="clear"/>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非甲烷总烃</w:t>
      </w:r>
    </w:p>
    <w:p>
      <w:pPr>
        <w:keepLines w:val="0"/>
        <w:pageBreakBefore w:val="0"/>
        <w:widowControl w:val="0"/>
        <w:shd w:val="clear"/>
        <w:kinsoku/>
        <w:wordWrap/>
        <w:overflowPunct/>
        <w:topLinePunct w:val="0"/>
        <w:bidi w:val="0"/>
        <w:spacing w:line="360" w:lineRule="auto"/>
        <w:ind w:firstLine="480" w:firstLineChars="20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sz w:val="24"/>
          <w:highlight w:val="none"/>
          <w:lang w:eastAsia="zh-CN"/>
        </w:rPr>
        <w:t>非甲烷总烃产生量</w:t>
      </w: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b w:val="0"/>
          <w:bCs w:val="0"/>
          <w:color w:val="auto"/>
          <w:kern w:val="0"/>
          <w:sz w:val="24"/>
          <w:szCs w:val="24"/>
          <w:lang w:val="en-US" w:eastAsia="zh-CN"/>
        </w:rPr>
        <w:t>《排放源统计调查产排污核算方法和系数手册》（公告2021年第24号）--42废弃资源综合利用行业系数手册--4220 非金属废料和碎屑加工处理行业系数表中，挥发性有机物（以</w:t>
      </w:r>
      <w:r>
        <w:rPr>
          <w:rFonts w:hint="default" w:ascii="Times New Roman" w:hAnsi="Times New Roman" w:eastAsia="宋体" w:cs="Times New Roman"/>
          <w:color w:val="auto"/>
          <w:sz w:val="24"/>
          <w:szCs w:val="24"/>
          <w:highlight w:val="none"/>
        </w:rPr>
        <w:t>非甲烷总烃</w:t>
      </w:r>
      <w:r>
        <w:rPr>
          <w:rFonts w:hint="default" w:ascii="Times New Roman" w:hAnsi="Times New Roman" w:eastAsia="宋体" w:cs="Times New Roman"/>
          <w:color w:val="auto"/>
          <w:sz w:val="24"/>
          <w:szCs w:val="24"/>
          <w:highlight w:val="none"/>
          <w:lang w:eastAsia="zh-CN"/>
        </w:rPr>
        <w:t>计</w:t>
      </w:r>
      <w:r>
        <w:rPr>
          <w:rFonts w:hint="default" w:ascii="Times New Roman" w:hAnsi="Times New Roman" w:eastAsia="宋体" w:cs="Times New Roman"/>
          <w:b w:val="0"/>
          <w:bCs w:val="0"/>
          <w:color w:val="auto"/>
          <w:kern w:val="0"/>
          <w:sz w:val="24"/>
          <w:szCs w:val="24"/>
          <w:lang w:val="en-US" w:eastAsia="zh-CN"/>
        </w:rPr>
        <w:t>）产污系数为350g/吨-原料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kern w:val="0"/>
          <w:sz w:val="24"/>
          <w:szCs w:val="24"/>
          <w:lang w:val="en-US" w:eastAsia="zh-CN"/>
        </w:rPr>
        <w:t>本项目废滴灌带、水带、地膜及棚膜消耗量约9000t/a，则</w:t>
      </w:r>
      <w:r>
        <w:rPr>
          <w:rFonts w:hint="default" w:ascii="Times New Roman" w:hAnsi="Times New Roman" w:eastAsia="宋体" w:cs="Times New Roman"/>
          <w:color w:val="auto"/>
          <w:sz w:val="24"/>
          <w:szCs w:val="24"/>
          <w:highlight w:val="none"/>
        </w:rPr>
        <w:t>非甲烷总烃</w:t>
      </w:r>
      <w:r>
        <w:rPr>
          <w:rFonts w:hint="default" w:ascii="Times New Roman" w:hAnsi="Times New Roman" w:eastAsia="宋体" w:cs="Times New Roman"/>
          <w:color w:val="auto"/>
          <w:sz w:val="24"/>
          <w:szCs w:val="24"/>
          <w:highlight w:val="none"/>
          <w:lang w:eastAsia="zh-CN"/>
        </w:rPr>
        <w:t>产生量为</w:t>
      </w:r>
      <w:r>
        <w:rPr>
          <w:rFonts w:hint="default" w:ascii="Times New Roman" w:hAnsi="Times New Roman" w:eastAsia="宋体" w:cs="Times New Roman"/>
          <w:b w:val="0"/>
          <w:bCs w:val="0"/>
          <w:color w:val="auto"/>
          <w:kern w:val="0"/>
          <w:sz w:val="24"/>
          <w:szCs w:val="24"/>
          <w:lang w:val="en-US" w:eastAsia="zh-CN"/>
        </w:rPr>
        <w:t>3.15t/a。</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本项目在2台造粒线挤出机出口、2台切粒机出口上方各设置1套集气罩（共</w:t>
      </w:r>
      <w:r>
        <w:rPr>
          <w:rFonts w:hint="default" w:ascii="Times New Roman" w:hAnsi="Times New Roman"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rPr>
        <w:t>套），</w:t>
      </w:r>
      <w:r>
        <w:rPr>
          <w:rFonts w:hint="default" w:ascii="Times New Roman" w:hAnsi="Times New Roman" w:eastAsia="宋体" w:cs="Times New Roman"/>
          <w:b w:val="0"/>
          <w:bCs w:val="0"/>
          <w:color w:val="auto"/>
          <w:sz w:val="24"/>
          <w:highlight w:val="none"/>
          <w:lang w:eastAsia="zh-CN"/>
        </w:rPr>
        <w:t>集气效率按</w:t>
      </w:r>
      <w:r>
        <w:rPr>
          <w:rFonts w:hint="default" w:ascii="Times New Roman" w:hAnsi="Times New Roman" w:eastAsia="宋体" w:cs="Times New Roman"/>
          <w:b w:val="0"/>
          <w:bCs w:val="0"/>
          <w:color w:val="auto"/>
          <w:sz w:val="24"/>
          <w:highlight w:val="none"/>
          <w:lang w:val="en-US" w:eastAsia="zh-CN"/>
        </w:rPr>
        <w:t>80%计，则集气罩收集的非甲烷总烃（有组织）产生量为2.52t/a，未收集的非甲烷总烃（无组织）产生量为0.63t/a</w:t>
      </w:r>
      <w:r>
        <w:rPr>
          <w:rFonts w:hint="default" w:ascii="Times New Roman" w:hAnsi="Times New Roman" w:eastAsia="宋体" w:cs="Times New Roman"/>
          <w:b w:val="0"/>
          <w:bCs w:val="0"/>
          <w:color w:val="auto"/>
          <w:sz w:val="24"/>
          <w:highlight w:val="none"/>
        </w:rPr>
        <w:t>。</w:t>
      </w:r>
    </w:p>
    <w:p>
      <w:pPr>
        <w:keepLines w:val="0"/>
        <w:pageBreakBefore w:val="0"/>
        <w:widowControl w:val="0"/>
        <w:shd w:val="clear"/>
        <w:kinsoku/>
        <w:wordWrap/>
        <w:overflowPunct/>
        <w:topLinePunct w:val="0"/>
        <w:bidi w:val="0"/>
        <w:spacing w:line="360" w:lineRule="auto"/>
        <w:ind w:firstLine="480" w:firstLineChars="20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b w:val="0"/>
          <w:bCs w:val="0"/>
          <w:color w:val="auto"/>
          <w:kern w:val="0"/>
          <w:sz w:val="24"/>
          <w:szCs w:val="24"/>
          <w:lang w:val="en-US" w:eastAsia="zh-CN"/>
        </w:rPr>
        <w:t>颗粒物</w:t>
      </w:r>
    </w:p>
    <w:p>
      <w:pPr>
        <w:keepLines w:val="0"/>
        <w:pageBreakBefore w:val="0"/>
        <w:widowControl w:val="0"/>
        <w:shd w:val="clear"/>
        <w:kinsoku/>
        <w:wordWrap/>
        <w:overflowPunct/>
        <w:topLinePunct w:val="0"/>
        <w:bidi w:val="0"/>
        <w:spacing w:line="360" w:lineRule="auto"/>
        <w:ind w:firstLine="480" w:firstLineChars="20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颗粒物</w:t>
      </w:r>
      <w:r>
        <w:rPr>
          <w:rFonts w:hint="default" w:ascii="Times New Roman" w:hAnsi="Times New Roman" w:eastAsia="宋体" w:cs="Times New Roman"/>
          <w:color w:val="auto"/>
          <w:sz w:val="24"/>
          <w:highlight w:val="none"/>
          <w:lang w:val="en-US" w:eastAsia="zh-CN"/>
        </w:rPr>
        <w:t>产生量</w:t>
      </w:r>
      <w:r>
        <w:rPr>
          <w:rFonts w:hint="default" w:ascii="Times New Roman" w:hAnsi="Times New Roman" w:eastAsia="宋体" w:cs="Times New Roman"/>
          <w:b w:val="0"/>
          <w:bCs w:val="0"/>
          <w:color w:val="auto"/>
          <w:kern w:val="0"/>
          <w:sz w:val="24"/>
          <w:szCs w:val="24"/>
          <w:lang w:val="en-US" w:eastAsia="zh-CN"/>
        </w:rPr>
        <w:t>参照《淮安如旭新材料有限公司年产5200吨再生塑料及生产线搬迁项目竣工环境保护验收报告》中颗粒物监测数据，环保验收监测时再生塑料颗粒日产量为13.24t。</w:t>
      </w:r>
    </w:p>
    <w:p>
      <w:pPr>
        <w:shd w:val="clear"/>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rPr>
        <w:t>表3.3-</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eastAsia="zh-CN"/>
        </w:rPr>
        <w:t>类比情况一览</w:t>
      </w:r>
      <w:r>
        <w:rPr>
          <w:rFonts w:hint="default" w:ascii="Times New Roman" w:hAnsi="Times New Roman" w:eastAsia="宋体" w:cs="Times New Roman"/>
          <w:b/>
          <w:color w:val="auto"/>
          <w:sz w:val="24"/>
          <w:highlight w:val="none"/>
          <w:lang w:val="en-US" w:eastAsia="zh-CN"/>
        </w:rPr>
        <w:t>表</w:t>
      </w:r>
    </w:p>
    <w:tbl>
      <w:tblPr>
        <w:tblStyle w:val="90"/>
        <w:tblW w:w="8277" w:type="dxa"/>
        <w:jc w:val="center"/>
        <w:tblLayout w:type="fixed"/>
        <w:tblCellMar>
          <w:top w:w="0" w:type="dxa"/>
          <w:left w:w="108" w:type="dxa"/>
          <w:bottom w:w="0" w:type="dxa"/>
          <w:right w:w="108" w:type="dxa"/>
        </w:tblCellMar>
      </w:tblPr>
      <w:tblGrid>
        <w:gridCol w:w="1003"/>
        <w:gridCol w:w="1004"/>
        <w:gridCol w:w="3135"/>
        <w:gridCol w:w="3135"/>
      </w:tblGrid>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eastAsia="zh-CN"/>
              </w:rPr>
              <w:t>序号</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项目</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类比项目</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本项目</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生产线</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再生塑料加工生产线</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再生塑料颗粒生产线</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2</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原料</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废滴灌带、水带</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废滴灌带、水带、地膜及棚膜</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规模</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年产5200吨再生塑料</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年回收废旧塑料</w:t>
            </w:r>
            <w:r>
              <w:rPr>
                <w:rFonts w:hint="default" w:ascii="Times New Roman" w:hAnsi="Times New Roman" w:eastAsia="宋体" w:cs="Times New Roman"/>
                <w:color w:val="auto"/>
                <w:kern w:val="0"/>
                <w:szCs w:val="21"/>
                <w:highlight w:val="none"/>
                <w:lang w:val="en-US" w:eastAsia="zh-CN"/>
              </w:rPr>
              <w:t>9</w:t>
            </w:r>
            <w:r>
              <w:rPr>
                <w:rFonts w:hint="default" w:ascii="Times New Roman" w:hAnsi="Times New Roman" w:eastAsia="宋体" w:cs="Times New Roman"/>
                <w:color w:val="auto"/>
                <w:kern w:val="0"/>
                <w:szCs w:val="21"/>
                <w:highlight w:val="none"/>
              </w:rPr>
              <w:t>000吨</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4</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eastAsia="zh-CN"/>
              </w:rPr>
              <w:t>生产设备</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塑料破碎机、单螺杆双阶造粒机、滚刀切粒机、冷却水池</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szCs w:val="21"/>
                <w:highlight w:val="none"/>
                <w:lang w:val="en-GB"/>
              </w:rPr>
              <w:t>破碎机</w:t>
            </w:r>
            <w:r>
              <w:rPr>
                <w:rFonts w:hint="default" w:ascii="Times New Roman" w:hAnsi="Times New Roman" w:eastAsia="宋体" w:cs="Times New Roman"/>
                <w:color w:val="auto"/>
                <w:sz w:val="21"/>
                <w:szCs w:val="21"/>
                <w:highlight w:val="none"/>
                <w:lang w:val="en-GB" w:eastAsia="zh-CN"/>
              </w:rPr>
              <w:t>、清洗机、</w:t>
            </w:r>
            <w:r>
              <w:rPr>
                <w:rFonts w:hint="default" w:ascii="Times New Roman" w:hAnsi="Times New Roman" w:eastAsia="宋体" w:cs="Times New Roman"/>
                <w:color w:val="auto"/>
                <w:sz w:val="21"/>
                <w:szCs w:val="21"/>
                <w:highlight w:val="none"/>
                <w:lang w:val="en-GB"/>
              </w:rPr>
              <w:t>甩干机</w:t>
            </w:r>
            <w:r>
              <w:rPr>
                <w:rFonts w:hint="default" w:ascii="Times New Roman" w:hAnsi="Times New Roman" w:eastAsia="宋体" w:cs="Times New Roman"/>
                <w:color w:val="auto"/>
                <w:sz w:val="21"/>
                <w:szCs w:val="21"/>
                <w:highlight w:val="none"/>
                <w:lang w:val="en-GB" w:eastAsia="zh-CN"/>
              </w:rPr>
              <w:t>、</w:t>
            </w:r>
            <w:r>
              <w:rPr>
                <w:rFonts w:hint="default" w:ascii="Times New Roman" w:hAnsi="Times New Roman" w:eastAsia="宋体" w:cs="Times New Roman"/>
                <w:color w:val="auto"/>
                <w:sz w:val="21"/>
                <w:szCs w:val="21"/>
                <w:highlight w:val="none"/>
                <w:lang w:val="en-GB"/>
              </w:rPr>
              <w:t>挤出机</w:t>
            </w:r>
            <w:r>
              <w:rPr>
                <w:rFonts w:hint="default" w:ascii="Times New Roman" w:hAnsi="Times New Roman" w:eastAsia="宋体" w:cs="Times New Roman"/>
                <w:color w:val="auto"/>
                <w:sz w:val="21"/>
                <w:szCs w:val="21"/>
                <w:highlight w:val="none"/>
                <w:lang w:val="en-GB" w:eastAsia="zh-CN"/>
              </w:rPr>
              <w:t>、切粒机</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5</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生产工艺</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sz w:val="21"/>
                <w:szCs w:val="21"/>
                <w:highlight w:val="none"/>
              </w:rPr>
              <w:t>废塑料再造粒工艺</w:t>
            </w:r>
            <w:r>
              <w:rPr>
                <w:rFonts w:hint="default" w:ascii="Times New Roman" w:hAnsi="Times New Roman" w:eastAsia="宋体" w:cs="Times New Roman"/>
                <w:color w:val="auto"/>
                <w:kern w:val="0"/>
                <w:sz w:val="21"/>
                <w:szCs w:val="21"/>
                <w:highlight w:val="none"/>
                <w:lang w:eastAsia="zh-CN"/>
              </w:rPr>
              <w:t>：熔化、挤出、水冷却、切粒；</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废塑料再造粒工艺</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破碎清洗</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甩干</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挤塑</w:t>
            </w:r>
            <w:r>
              <w:rPr>
                <w:rFonts w:hint="default" w:ascii="Times New Roman" w:hAnsi="Times New Roman" w:eastAsia="宋体" w:cs="Times New Roman"/>
                <w:color w:val="auto"/>
                <w:kern w:val="0"/>
                <w:sz w:val="21"/>
                <w:szCs w:val="21"/>
                <w:highlight w:val="none"/>
                <w:lang w:eastAsia="zh-CN"/>
              </w:rPr>
              <w:t>、水</w:t>
            </w:r>
            <w:r>
              <w:rPr>
                <w:rFonts w:hint="default" w:ascii="Times New Roman" w:hAnsi="Times New Roman" w:eastAsia="宋体" w:cs="Times New Roman"/>
                <w:color w:val="auto"/>
                <w:kern w:val="0"/>
                <w:sz w:val="21"/>
                <w:szCs w:val="21"/>
                <w:highlight w:val="none"/>
              </w:rPr>
              <w:t>冷却、切粒</w:t>
            </w:r>
            <w:r>
              <w:rPr>
                <w:rFonts w:hint="default" w:ascii="Times New Roman" w:hAnsi="Times New Roman" w:eastAsia="宋体" w:cs="Times New Roman"/>
                <w:color w:val="auto"/>
                <w:kern w:val="0"/>
                <w:sz w:val="21"/>
                <w:szCs w:val="21"/>
                <w:highlight w:val="none"/>
                <w:lang w:eastAsia="zh-CN"/>
              </w:rPr>
              <w:t>；</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6</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排放方式</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熔化、挤出、切粒</w:t>
            </w:r>
            <w:r>
              <w:rPr>
                <w:rFonts w:hint="default" w:ascii="Times New Roman" w:hAnsi="Times New Roman" w:eastAsia="宋体" w:cs="Times New Roman"/>
                <w:color w:val="auto"/>
                <w:kern w:val="0"/>
                <w:sz w:val="21"/>
                <w:szCs w:val="21"/>
                <w:highlight w:val="none"/>
                <w:lang w:eastAsia="zh-CN"/>
              </w:rPr>
              <w:t>废气经</w:t>
            </w:r>
            <w:r>
              <w:rPr>
                <w:rFonts w:hint="default" w:ascii="Times New Roman" w:hAnsi="Times New Roman" w:eastAsia="宋体" w:cs="Times New Roman"/>
                <w:color w:val="auto"/>
                <w:kern w:val="0"/>
                <w:szCs w:val="21"/>
                <w:highlight w:val="none"/>
              </w:rPr>
              <w:t>集气罩</w:t>
            </w:r>
            <w:r>
              <w:rPr>
                <w:rFonts w:hint="default" w:ascii="Times New Roman" w:hAnsi="Times New Roman" w:eastAsia="宋体" w:cs="Times New Roman"/>
                <w:color w:val="auto"/>
                <w:highlight w:val="none"/>
                <w:lang w:eastAsia="zh-CN"/>
              </w:rPr>
              <w:t>收集，</w:t>
            </w:r>
            <w:r>
              <w:rPr>
                <w:rFonts w:hint="default" w:ascii="Times New Roman" w:hAnsi="Times New Roman" w:eastAsia="宋体" w:cs="Times New Roman"/>
                <w:color w:val="auto"/>
                <w:kern w:val="0"/>
                <w:sz w:val="21"/>
                <w:szCs w:val="21"/>
                <w:highlight w:val="none"/>
                <w:lang w:eastAsia="zh-CN"/>
              </w:rPr>
              <w:t>由</w:t>
            </w:r>
            <w:r>
              <w:rPr>
                <w:rFonts w:hint="default" w:ascii="Times New Roman" w:hAnsi="Times New Roman" w:eastAsia="宋体" w:cs="Times New Roman"/>
                <w:color w:val="auto"/>
                <w:kern w:val="0"/>
                <w:sz w:val="21"/>
                <w:szCs w:val="21"/>
                <w:highlight w:val="none"/>
              </w:rPr>
              <w:t>耐高温过滤棉+UV光氧+活性炭吸附装置净化，废气经15m高排气筒排放</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废气</w:t>
            </w:r>
            <w:r>
              <w:rPr>
                <w:rFonts w:hint="default" w:ascii="Times New Roman" w:hAnsi="Times New Roman" w:eastAsia="宋体" w:cs="Times New Roman"/>
                <w:color w:val="auto"/>
                <w:kern w:val="0"/>
                <w:szCs w:val="21"/>
                <w:highlight w:val="none"/>
              </w:rPr>
              <w:t>经集气罩</w:t>
            </w:r>
            <w:r>
              <w:rPr>
                <w:rFonts w:hint="default" w:ascii="Times New Roman" w:hAnsi="Times New Roman" w:eastAsia="宋体" w:cs="Times New Roman"/>
                <w:color w:val="auto"/>
                <w:highlight w:val="none"/>
                <w:lang w:eastAsia="zh-CN"/>
              </w:rPr>
              <w:t>收集，由</w:t>
            </w:r>
            <w:r>
              <w:rPr>
                <w:rFonts w:hint="default" w:ascii="Times New Roman" w:hAnsi="Times New Roman" w:eastAsia="宋体" w:cs="Times New Roman"/>
                <w:color w:val="auto"/>
                <w:kern w:val="0"/>
                <w:sz w:val="21"/>
                <w:szCs w:val="21"/>
                <w:highlight w:val="none"/>
              </w:rPr>
              <w:t>耐高温过滤棉+</w:t>
            </w:r>
            <w:r>
              <w:rPr>
                <w:rFonts w:hint="default" w:ascii="Times New Roman" w:hAnsi="Times New Roman" w:eastAsia="宋体" w:cs="Times New Roman"/>
                <w:color w:val="auto"/>
                <w:kern w:val="0"/>
                <w:sz w:val="21"/>
                <w:szCs w:val="21"/>
                <w:highlight w:val="none"/>
              </w:rPr>
              <w:t>UV光氧催化</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Cs w:val="21"/>
                <w:highlight w:val="none"/>
              </w:rPr>
              <w:t>活性炭吸附装置处理后</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通过</w:t>
            </w:r>
            <w:r>
              <w:rPr>
                <w:rFonts w:hint="default" w:ascii="Times New Roman" w:hAnsi="Times New Roman" w:eastAsia="宋体" w:cs="Times New Roman"/>
                <w:color w:val="auto"/>
                <w:kern w:val="0"/>
                <w:szCs w:val="21"/>
                <w:highlight w:val="none"/>
                <w:lang w:val="en-US" w:eastAsia="zh-CN"/>
              </w:rPr>
              <w:t>1根</w:t>
            </w:r>
            <w:r>
              <w:rPr>
                <w:rFonts w:hint="default" w:ascii="Times New Roman" w:hAnsi="Times New Roman" w:eastAsia="宋体" w:cs="Times New Roman"/>
                <w:color w:val="auto"/>
                <w:kern w:val="0"/>
                <w:szCs w:val="21"/>
                <w:highlight w:val="none"/>
              </w:rPr>
              <w:t>15m高排气筒排放</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根据上表对比情况，本项目与类比项目生产工艺、生产设备、原料及产品相似，仅生产规模不同，可以类比。</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类比项目环保验收监测时，排气筒进口处的颗粒物（未经处理的）监测数据为0.49kg/h，环保验收监测时再生塑料颗粒日产量为13.24t，集气罩收集效率按80%计算，则类比项目</w:t>
      </w:r>
      <w:r>
        <w:rPr>
          <w:rFonts w:hint="default" w:ascii="Times New Roman" w:hAnsi="Times New Roman" w:eastAsia="宋体" w:cs="Times New Roman"/>
          <w:b w:val="0"/>
          <w:bCs w:val="0"/>
          <w:color w:val="auto"/>
          <w:sz w:val="24"/>
          <w:highlight w:val="none"/>
          <w:lang w:eastAsia="zh-CN"/>
        </w:rPr>
        <w:t>挤塑、切粒工序</w:t>
      </w:r>
      <w:r>
        <w:rPr>
          <w:rFonts w:hint="default" w:ascii="Times New Roman" w:hAnsi="Times New Roman" w:eastAsia="宋体" w:cs="Times New Roman"/>
          <w:b w:val="0"/>
          <w:bCs w:val="0"/>
          <w:color w:val="auto"/>
          <w:kern w:val="0"/>
          <w:sz w:val="24"/>
          <w:szCs w:val="24"/>
          <w:lang w:val="en-US" w:eastAsia="zh-CN"/>
        </w:rPr>
        <w:t>颗粒物产生量为0.61kg/h。本项目设计再生塑料颗粒日产量为37.5t，则本项目</w:t>
      </w:r>
      <w:r>
        <w:rPr>
          <w:rFonts w:hint="default" w:ascii="Times New Roman" w:hAnsi="Times New Roman" w:eastAsia="宋体" w:cs="Times New Roman"/>
          <w:b w:val="0"/>
          <w:bCs w:val="0"/>
          <w:color w:val="auto"/>
          <w:sz w:val="24"/>
          <w:highlight w:val="none"/>
          <w:lang w:eastAsia="zh-CN"/>
        </w:rPr>
        <w:t>挤塑、切粒工序</w:t>
      </w:r>
      <w:r>
        <w:rPr>
          <w:rFonts w:hint="default" w:ascii="Times New Roman" w:hAnsi="Times New Roman" w:eastAsia="宋体" w:cs="Times New Roman"/>
          <w:b w:val="0"/>
          <w:bCs w:val="0"/>
          <w:color w:val="auto"/>
          <w:kern w:val="0"/>
          <w:sz w:val="24"/>
          <w:szCs w:val="24"/>
          <w:lang w:val="en-US" w:eastAsia="zh-CN"/>
        </w:rPr>
        <w:t>颗粒物产生速率为1.73kg/h，产生量为9.96t/a。</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本项目在2台造粒线挤出机出口、2台切粒机出口上方各设置1套集气罩（共</w:t>
      </w:r>
      <w:r>
        <w:rPr>
          <w:rFonts w:hint="default" w:ascii="Times New Roman" w:hAnsi="Times New Roman"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rPr>
        <w:t>套），</w:t>
      </w:r>
      <w:r>
        <w:rPr>
          <w:rFonts w:hint="default" w:ascii="Times New Roman" w:hAnsi="Times New Roman" w:eastAsia="宋体" w:cs="Times New Roman"/>
          <w:b w:val="0"/>
          <w:bCs w:val="0"/>
          <w:color w:val="auto"/>
          <w:sz w:val="24"/>
          <w:highlight w:val="none"/>
          <w:lang w:eastAsia="zh-CN"/>
        </w:rPr>
        <w:t>集气效率按</w:t>
      </w:r>
      <w:r>
        <w:rPr>
          <w:rFonts w:hint="default" w:ascii="Times New Roman" w:hAnsi="Times New Roman" w:eastAsia="宋体" w:cs="Times New Roman"/>
          <w:b w:val="0"/>
          <w:bCs w:val="0"/>
          <w:color w:val="auto"/>
          <w:sz w:val="24"/>
          <w:highlight w:val="none"/>
          <w:lang w:val="en-US" w:eastAsia="zh-CN"/>
        </w:rPr>
        <w:t>80%计，则集气罩收集的颗粒物（有组织）产生量为7.97t/a，未收集的颗粒物（无组织）产生量为1.99t/a</w:t>
      </w:r>
      <w:r>
        <w:rPr>
          <w:rFonts w:hint="default" w:ascii="Times New Roman" w:hAnsi="Times New Roman" w:eastAsia="宋体" w:cs="Times New Roman"/>
          <w:b w:val="0"/>
          <w:bCs w:val="0"/>
          <w:color w:val="auto"/>
          <w:sz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color w:val="auto"/>
          <w:sz w:val="24"/>
          <w:highlight w:val="none"/>
          <w:lang w:eastAsia="zh-CN"/>
        </w:rPr>
        <w:t>综上，本项目造粒生产车间</w:t>
      </w:r>
      <w:r>
        <w:rPr>
          <w:rFonts w:hint="default" w:ascii="Times New Roman" w:hAnsi="Times New Roman" w:eastAsia="宋体" w:cs="Times New Roman"/>
          <w:b w:val="0"/>
          <w:bCs w:val="0"/>
          <w:color w:val="auto"/>
          <w:sz w:val="24"/>
          <w:highlight w:val="none"/>
        </w:rPr>
        <w:t>在2台造粒线挤出机出口、2台切粒机出口上方各设置1套集气罩（共</w:t>
      </w:r>
      <w:r>
        <w:rPr>
          <w:rFonts w:hint="default" w:ascii="Times New Roman" w:hAnsi="Times New Roman"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rPr>
        <w:t>套），在造粒生产车间设置1台风量为</w:t>
      </w:r>
      <w:r>
        <w:rPr>
          <w:rFonts w:hint="default" w:ascii="Times New Roman" w:hAnsi="Times New Roman" w:eastAsia="宋体" w:cs="Times New Roman"/>
          <w:b w:val="0"/>
          <w:bCs w:val="0"/>
          <w:color w:val="auto"/>
          <w:sz w:val="24"/>
          <w:highlight w:val="none"/>
          <w:lang w:val="en-US" w:eastAsia="zh-CN"/>
        </w:rPr>
        <w:t>10</w:t>
      </w:r>
      <w:r>
        <w:rPr>
          <w:rFonts w:hint="default" w:ascii="Times New Roman" w:hAnsi="Times New Roman" w:eastAsia="宋体" w:cs="Times New Roman"/>
          <w:b w:val="0"/>
          <w:bCs w:val="0"/>
          <w:color w:val="auto"/>
          <w:sz w:val="24"/>
          <w:highlight w:val="none"/>
        </w:rPr>
        <w:t>00</w:t>
      </w:r>
      <w:r>
        <w:rPr>
          <w:rFonts w:hint="default" w:ascii="Times New Roman" w:hAnsi="Times New Roman" w:eastAsia="宋体" w:cs="Times New Roman"/>
          <w:b w:val="0"/>
          <w:bCs w:val="0"/>
          <w:color w:val="auto"/>
          <w:sz w:val="24"/>
          <w:highlight w:val="none"/>
          <w:lang w:val="en-US" w:eastAsia="zh-CN"/>
        </w:rPr>
        <w:t>0</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/h风机用于收集废气，废气经集气罩收集后</w:t>
      </w:r>
      <w:r>
        <w:rPr>
          <w:rFonts w:hint="default" w:ascii="Times New Roman" w:hAnsi="Times New Roman" w:eastAsia="宋体" w:cs="Times New Roman"/>
          <w:b w:val="0"/>
          <w:bCs w:val="0"/>
          <w:color w:val="auto"/>
          <w:sz w:val="24"/>
          <w:highlight w:val="none"/>
          <w:lang w:eastAsia="zh-CN"/>
        </w:rPr>
        <w:t>，由1套耐高温过滤棉（1#）</w:t>
      </w:r>
      <w:r>
        <w:rPr>
          <w:rFonts w:hint="default" w:ascii="Times New Roman" w:hAnsi="Times New Roman" w:eastAsia="宋体" w:cs="Times New Roman"/>
          <w:b w:val="0"/>
          <w:bCs w:val="0"/>
          <w:color w:val="auto"/>
          <w:sz w:val="24"/>
          <w:highlight w:val="none"/>
          <w:lang w:eastAsia="zh-CN"/>
        </w:rPr>
        <w:t>+UV光氧催化（1#）</w:t>
      </w:r>
      <w:r>
        <w:rPr>
          <w:rFonts w:hint="default" w:ascii="Times New Roman" w:hAnsi="Times New Roman" w:eastAsia="宋体" w:cs="Times New Roman"/>
          <w:b w:val="0"/>
          <w:bCs w:val="0"/>
          <w:color w:val="auto"/>
          <w:sz w:val="24"/>
          <w:highlight w:val="none"/>
          <w:lang w:eastAsia="zh-CN"/>
        </w:rPr>
        <w:t>+活性炭吸附装置（1#）处理后，通过1根15m高排气筒（P1）排放</w:t>
      </w:r>
      <w:r>
        <w:rPr>
          <w:rFonts w:hint="default" w:ascii="Times New Roman" w:hAnsi="Times New Roman" w:eastAsia="宋体" w:cs="Times New Roman"/>
          <w:b w:val="0"/>
          <w:bCs w:val="0"/>
          <w:color w:val="auto"/>
          <w:sz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rPr>
        <w:t>根据</w:t>
      </w:r>
      <w:r>
        <w:rPr>
          <w:rFonts w:hint="default" w:ascii="Times New Roman" w:hAnsi="Times New Roman" w:eastAsia="宋体" w:cs="Times New Roman"/>
          <w:b w:val="0"/>
          <w:bCs w:val="0"/>
          <w:color w:val="auto"/>
          <w:kern w:val="0"/>
          <w:sz w:val="24"/>
          <w:szCs w:val="24"/>
          <w:lang w:val="en-US" w:eastAsia="zh-CN"/>
        </w:rPr>
        <w:t>《排放源统计调查产排污核算方法和系数手册》（公告2021年第24号）--42废弃资源综合利用行业系数手册--4220 非金属废料和碎屑加工处理行业系数表</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rPr>
        <w:t>UV光氧催化处理效率按40%计算；</w:t>
      </w:r>
      <w:r>
        <w:rPr>
          <w:rFonts w:hint="default" w:ascii="Times New Roman" w:hAnsi="Times New Roman" w:eastAsia="宋体" w:cs="Times New Roman"/>
          <w:b w:val="0"/>
          <w:bCs w:val="0"/>
          <w:color w:val="auto"/>
          <w:sz w:val="24"/>
          <w:highlight w:val="none"/>
        </w:rPr>
        <w:t>活性炭吸附效率按55%计算，耐高温过滤棉参考《淮安如旭新材料有限公司年产5200吨再生塑料及生产线搬迁项目竣工环境保护验收报告》中监测数据可知，耐高温过滤棉除尘效率为92.1%，本次环评按</w:t>
      </w:r>
      <w:r>
        <w:rPr>
          <w:rFonts w:hint="default" w:ascii="Times New Roman" w:hAnsi="Times New Roman" w:eastAsia="宋体" w:cs="Times New Roman"/>
          <w:b w:val="0"/>
          <w:bCs w:val="0"/>
          <w:color w:val="auto"/>
          <w:sz w:val="24"/>
          <w:highlight w:val="none"/>
          <w:lang w:val="en-US" w:eastAsia="zh-CN"/>
        </w:rPr>
        <w:t>8</w:t>
      </w:r>
      <w:r>
        <w:rPr>
          <w:rFonts w:hint="default" w:ascii="Times New Roman" w:hAnsi="Times New Roman" w:eastAsia="宋体" w:cs="Times New Roman"/>
          <w:b w:val="0"/>
          <w:bCs w:val="0"/>
          <w:color w:val="auto"/>
          <w:sz w:val="24"/>
          <w:highlight w:val="none"/>
        </w:rPr>
        <w:t>0%计算</w:t>
      </w:r>
      <w:r>
        <w:rPr>
          <w:rFonts w:hint="default" w:ascii="Times New Roman" w:hAnsi="Times New Roman" w:eastAsia="宋体" w:cs="Times New Roman"/>
          <w:b w:val="0"/>
          <w:bCs w:val="0"/>
          <w:color w:val="auto"/>
          <w:sz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color w:val="auto"/>
          <w:sz w:val="24"/>
          <w:szCs w:val="24"/>
          <w:highlight w:val="none"/>
          <w:lang w:eastAsia="zh-CN"/>
        </w:rPr>
        <w:t>则本项目挤塑、切粒</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highlight w:val="none"/>
        </w:rPr>
        <w:t>产生及排放情况见表3.3-</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b w:val="0"/>
          <w:bCs w:val="0"/>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表3.3-</w:t>
      </w:r>
      <w:r>
        <w:rPr>
          <w:rFonts w:hint="default" w:ascii="Times New Roman" w:hAnsi="Times New Roman" w:eastAsia="宋体" w:cs="Times New Roman"/>
          <w:b/>
          <w:color w:val="auto"/>
          <w:sz w:val="24"/>
          <w:highlight w:val="none"/>
          <w:lang w:val="en-US" w:eastAsia="zh-CN"/>
        </w:rPr>
        <w:t xml:space="preserve">3  </w:t>
      </w:r>
      <w:r>
        <w:rPr>
          <w:rFonts w:hint="default" w:ascii="Times New Roman" w:hAnsi="Times New Roman" w:eastAsia="宋体" w:cs="Times New Roman"/>
          <w:b/>
          <w:color w:val="auto"/>
          <w:sz w:val="24"/>
          <w:highlight w:val="none"/>
        </w:rPr>
        <w:t xml:space="preserve"> 本项目挤塑、切粒废气产生及排放情况</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36"/>
        <w:gridCol w:w="636"/>
        <w:gridCol w:w="636"/>
        <w:gridCol w:w="637"/>
        <w:gridCol w:w="637"/>
        <w:gridCol w:w="637"/>
        <w:gridCol w:w="637"/>
        <w:gridCol w:w="637"/>
        <w:gridCol w:w="637"/>
        <w:gridCol w:w="637"/>
        <w:gridCol w:w="637"/>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工序</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污染因子</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排放形式</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产生量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t/a</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产生速率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kg/h</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产生浓度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mg/m</w:t>
            </w:r>
            <w:r>
              <w:rPr>
                <w:rFonts w:hint="default" w:ascii="Times New Roman" w:hAnsi="Times New Roman" w:eastAsia="宋体" w:cs="Times New Roman"/>
                <w:color w:val="auto"/>
                <w:kern w:val="0"/>
                <w:sz w:val="21"/>
                <w:szCs w:val="21"/>
                <w:highlight w:val="none"/>
                <w:vertAlign w:val="superscript"/>
                <w:lang w:eastAsia="zh-TW"/>
              </w:rPr>
              <w:t>3</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风机风量（</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/h</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处理方式</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排放量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t/a</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排放速率</w:t>
            </w:r>
          </w:p>
          <w:p>
            <w:pPr>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kg/h</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排放浓度</w:t>
            </w:r>
          </w:p>
          <w:p>
            <w:pPr>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排放限值（</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lang w:eastAsia="zh-CN"/>
              </w:rPr>
              <w:t>）</w:t>
            </w:r>
          </w:p>
        </w:tc>
        <w:tc>
          <w:tcPr>
            <w:tcW w:w="567"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挤塑、切粒</w:t>
            </w:r>
          </w:p>
        </w:tc>
        <w:tc>
          <w:tcPr>
            <w:tcW w:w="567"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r>
              <w:rPr>
                <w:rFonts w:hint="default" w:ascii="Times New Roman" w:hAnsi="Times New Roman" w:eastAsia="宋体" w:cs="Times New Roman"/>
                <w:color w:val="auto"/>
                <w:kern w:val="0"/>
                <w:sz w:val="21"/>
                <w:szCs w:val="21"/>
                <w:highlight w:val="none"/>
                <w:lang w:val="en-US" w:eastAsia="zh-TW"/>
              </w:rPr>
              <w:t>NMHC</w:t>
            </w:r>
          </w:p>
        </w:tc>
        <w:tc>
          <w:tcPr>
            <w:tcW w:w="567"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r>
              <w:rPr>
                <w:rFonts w:hint="default" w:ascii="Times New Roman" w:hAnsi="Times New Roman" w:eastAsia="宋体" w:cs="Times New Roman"/>
                <w:color w:val="auto"/>
                <w:kern w:val="0"/>
                <w:sz w:val="21"/>
                <w:szCs w:val="21"/>
                <w:highlight w:val="none"/>
                <w:lang w:val="en-US" w:eastAsia="zh-TW"/>
              </w:rPr>
              <w:t>有组织</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2.52</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0.44 </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44.0 </w:t>
            </w:r>
          </w:p>
        </w:tc>
        <w:tc>
          <w:tcPr>
            <w:tcW w:w="567"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r>
              <w:rPr>
                <w:rFonts w:hint="default" w:ascii="Times New Roman" w:hAnsi="Times New Roman" w:eastAsia="宋体" w:cs="Times New Roman"/>
                <w:b w:val="0"/>
                <w:bCs w:val="0"/>
                <w:color w:val="auto"/>
                <w:sz w:val="21"/>
                <w:szCs w:val="21"/>
                <w:highlight w:val="none"/>
              </w:rPr>
              <w:t>00</w:t>
            </w:r>
            <w:r>
              <w:rPr>
                <w:rFonts w:hint="default" w:ascii="Times New Roman" w:hAnsi="Times New Roman" w:eastAsia="宋体" w:cs="Times New Roman"/>
                <w:b w:val="0"/>
                <w:bCs w:val="0"/>
                <w:color w:val="auto"/>
                <w:sz w:val="21"/>
                <w:szCs w:val="21"/>
                <w:highlight w:val="none"/>
                <w:lang w:val="en-US" w:eastAsia="zh-CN"/>
              </w:rPr>
              <w:t>0</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r>
              <w:rPr>
                <w:rFonts w:hint="default" w:ascii="Times New Roman" w:hAnsi="Times New Roman" w:eastAsia="宋体" w:cs="Times New Roman"/>
                <w:color w:val="auto"/>
                <w:kern w:val="0"/>
                <w:sz w:val="21"/>
                <w:szCs w:val="21"/>
                <w:highlight w:val="none"/>
                <w:lang w:val="en-US" w:eastAsia="zh-CN"/>
              </w:rPr>
              <w:t>UV光氧催化</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处理效率40%</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活性炭吸附装置（处理效率55%）</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0.68</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12</w:t>
            </w:r>
            <w:r>
              <w:rPr>
                <w:rFonts w:hint="default" w:ascii="Times New Roman" w:hAnsi="Times New Roman" w:eastAsia="宋体" w:cs="Times New Roman"/>
                <w:color w:val="auto"/>
                <w:kern w:val="0"/>
                <w:sz w:val="21"/>
                <w:szCs w:val="21"/>
                <w:highlight w:val="none"/>
                <w:lang w:val="en-US" w:eastAsia="zh-CN"/>
              </w:rPr>
              <w:t xml:space="preserve"> </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r>
              <w:rPr>
                <w:rFonts w:hint="default" w:ascii="Times New Roman" w:hAnsi="Times New Roman" w:eastAsia="宋体" w:cs="Times New Roman"/>
                <w:color w:val="auto"/>
                <w:kern w:val="0"/>
                <w:sz w:val="21"/>
                <w:szCs w:val="21"/>
                <w:highlight w:val="none"/>
                <w:lang w:val="en-US" w:eastAsia="zh-CN"/>
              </w:rPr>
              <w:t xml:space="preserve">.0 </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120</w:t>
            </w:r>
          </w:p>
        </w:tc>
        <w:tc>
          <w:tcPr>
            <w:tcW w:w="567"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567"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颗粒物</w:t>
            </w:r>
          </w:p>
        </w:tc>
        <w:tc>
          <w:tcPr>
            <w:tcW w:w="56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7.97</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1.38 </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138.0 </w:t>
            </w:r>
          </w:p>
        </w:tc>
        <w:tc>
          <w:tcPr>
            <w:tcW w:w="56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TW"/>
              </w:rPr>
              <w:t>耐高温过滤棉</w:t>
            </w:r>
            <w:r>
              <w:rPr>
                <w:rFonts w:hint="default" w:ascii="Times New Roman" w:hAnsi="Times New Roman" w:eastAsia="宋体" w:cs="Times New Roman"/>
                <w:color w:val="auto"/>
                <w:kern w:val="0"/>
                <w:sz w:val="21"/>
                <w:szCs w:val="21"/>
                <w:highlight w:val="none"/>
                <w:lang w:val="en-US" w:eastAsia="zh-CN"/>
              </w:rPr>
              <w:t>（处理效率80%）</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1.59</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0.28</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28.0 </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120</w:t>
            </w:r>
          </w:p>
        </w:tc>
        <w:tc>
          <w:tcPr>
            <w:tcW w:w="56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567"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TW"/>
              </w:rPr>
              <w:t>NMHC</w:t>
            </w:r>
          </w:p>
        </w:tc>
        <w:tc>
          <w:tcPr>
            <w:tcW w:w="567"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r>
              <w:rPr>
                <w:rFonts w:hint="default" w:ascii="Times New Roman" w:hAnsi="Times New Roman" w:eastAsia="宋体" w:cs="Times New Roman"/>
                <w:color w:val="auto"/>
                <w:kern w:val="0"/>
                <w:sz w:val="21"/>
                <w:szCs w:val="21"/>
                <w:highlight w:val="none"/>
                <w:lang w:val="en-US" w:eastAsia="zh-CN"/>
              </w:rPr>
              <w:t>无</w:t>
            </w:r>
            <w:r>
              <w:rPr>
                <w:rFonts w:hint="default" w:ascii="Times New Roman" w:hAnsi="Times New Roman" w:eastAsia="宋体" w:cs="Times New Roman"/>
                <w:color w:val="auto"/>
                <w:kern w:val="0"/>
                <w:sz w:val="21"/>
                <w:szCs w:val="21"/>
                <w:highlight w:val="none"/>
                <w:lang w:val="en-US" w:eastAsia="zh-TW"/>
              </w:rPr>
              <w:t>组织</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0.63</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0.11 </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0.63</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0.11 </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w:t>
            </w:r>
          </w:p>
        </w:tc>
        <w:tc>
          <w:tcPr>
            <w:tcW w:w="56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shd w:val="clear" w:color="auto" w:fill="auto"/>
            <w:vAlign w:val="center"/>
          </w:tcPr>
          <w:p>
            <w:pPr>
              <w:shd w:val="clear"/>
              <w:jc w:val="center"/>
              <w:rPr>
                <w:rFonts w:hint="default" w:ascii="Times New Roman" w:hAnsi="Times New Roman" w:eastAsia="宋体" w:cs="Times New Roman"/>
                <w:color w:val="auto"/>
                <w:kern w:val="0"/>
                <w:sz w:val="21"/>
                <w:szCs w:val="21"/>
                <w:highlight w:val="none"/>
              </w:rPr>
            </w:pP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颗粒物</w:t>
            </w:r>
          </w:p>
        </w:tc>
        <w:tc>
          <w:tcPr>
            <w:tcW w:w="56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1.99</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0.35 </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封闭车间（处理效率60%）</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0.80</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0.14 </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56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56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p>
        </w:tc>
      </w:tr>
    </w:tbl>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eastAsia="zh-CN"/>
        </w:rPr>
        <w:t>）混料</w:t>
      </w:r>
      <w:r>
        <w:rPr>
          <w:rFonts w:hint="default" w:ascii="Times New Roman" w:hAnsi="Times New Roman" w:eastAsia="宋体" w:cs="Times New Roman"/>
          <w:color w:val="auto"/>
          <w:sz w:val="24"/>
          <w:highlight w:val="none"/>
          <w:lang w:eastAsia="zh-CN"/>
        </w:rPr>
        <w:t>废气</w:t>
      </w:r>
      <w:r>
        <w:rPr>
          <w:rFonts w:hint="default" w:ascii="Times New Roman" w:hAnsi="Times New Roman" w:eastAsia="宋体" w:cs="Times New Roman"/>
          <w:color w:val="auto"/>
          <w:sz w:val="24"/>
          <w:highlight w:val="none"/>
        </w:rPr>
        <w:t>G</w:t>
      </w:r>
      <w:r>
        <w:rPr>
          <w:rFonts w:hint="default" w:ascii="Times New Roman" w:hAnsi="Times New Roman" w:eastAsia="宋体" w:cs="Times New Roman"/>
          <w:color w:val="auto"/>
          <w:sz w:val="24"/>
          <w:highlight w:val="none"/>
          <w:lang w:val="en-US" w:eastAsia="zh-CN"/>
        </w:rPr>
        <w:t>3</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lang w:eastAsia="zh-CN"/>
        </w:rPr>
        <w:t>参考</w:t>
      </w:r>
      <w:r>
        <w:rPr>
          <w:rFonts w:hint="default" w:ascii="Times New Roman" w:hAnsi="Times New Roman" w:eastAsia="宋体" w:cs="Times New Roman"/>
          <w:b w:val="0"/>
          <w:bCs w:val="0"/>
          <w:color w:val="auto"/>
          <w:kern w:val="0"/>
          <w:sz w:val="24"/>
          <w:szCs w:val="24"/>
          <w:lang w:val="en-US" w:eastAsia="zh-CN"/>
        </w:rPr>
        <w:t>《排放源统计调查产排污核算方法和系数手册》（公告2021年第24号）--292塑料制品行业系数手册--2922 塑料板、管、型材制造行业中，混料过程颗粒物产污系数为6.0千克/吨-产品，本项目产品</w:t>
      </w:r>
      <w:r>
        <w:rPr>
          <w:rFonts w:hint="default" w:ascii="Times New Roman" w:hAnsi="Times New Roman" w:eastAsia="宋体" w:cs="Times New Roman"/>
          <w:color w:val="auto"/>
          <w:sz w:val="24"/>
          <w:szCs w:val="24"/>
          <w:highlight w:val="none"/>
        </w:rPr>
        <w:t>滴灌带、PE管材管件、地膜</w:t>
      </w:r>
      <w:r>
        <w:rPr>
          <w:rFonts w:hint="default" w:ascii="Times New Roman" w:hAnsi="Times New Roman" w:eastAsia="宋体" w:cs="Times New Roman"/>
          <w:b w:val="0"/>
          <w:bCs w:val="0"/>
          <w:color w:val="auto"/>
          <w:kern w:val="0"/>
          <w:sz w:val="24"/>
          <w:szCs w:val="24"/>
          <w:lang w:val="en-US" w:eastAsia="zh-CN"/>
        </w:rPr>
        <w:t>生产量为9000t/a，则颗粒物产生量为54t/a。</w:t>
      </w:r>
    </w:p>
    <w:p>
      <w:pPr>
        <w:keepLines w:val="0"/>
        <w:pageBreakBefore w:val="0"/>
        <w:widowControl w:val="0"/>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混料</w:t>
      </w:r>
      <w:r>
        <w:rPr>
          <w:rFonts w:hint="default" w:ascii="Times New Roman" w:hAnsi="Times New Roman" w:eastAsia="宋体" w:cs="Times New Roman"/>
          <w:color w:val="auto"/>
          <w:sz w:val="24"/>
          <w:highlight w:val="none"/>
        </w:rPr>
        <w:t>机顶部自带1个除尘滤芯，降尘效率按99%计算，则</w:t>
      </w:r>
      <w:r>
        <w:rPr>
          <w:rFonts w:hint="default" w:ascii="Times New Roman" w:hAnsi="Times New Roman" w:eastAsia="宋体" w:cs="Times New Roman"/>
          <w:color w:val="auto"/>
          <w:sz w:val="24"/>
          <w:highlight w:val="none"/>
          <w:lang w:val="en-US" w:eastAsia="zh-CN"/>
        </w:rPr>
        <w:t>混料</w:t>
      </w:r>
      <w:r>
        <w:rPr>
          <w:rFonts w:hint="default" w:ascii="Times New Roman" w:hAnsi="Times New Roman" w:eastAsia="宋体" w:cs="Times New Roman"/>
          <w:color w:val="auto"/>
          <w:sz w:val="24"/>
          <w:highlight w:val="none"/>
        </w:rPr>
        <w:t>过程中粉尘的排放量为0.</w:t>
      </w:r>
      <w:r>
        <w:rPr>
          <w:rFonts w:hint="default" w:ascii="Times New Roman" w:hAnsi="Times New Roman" w:eastAsia="宋体" w:cs="Times New Roman"/>
          <w:color w:val="auto"/>
          <w:sz w:val="24"/>
          <w:highlight w:val="none"/>
          <w:lang w:val="en-US" w:eastAsia="zh-CN"/>
        </w:rPr>
        <w:t>54</w:t>
      </w:r>
      <w:r>
        <w:rPr>
          <w:rFonts w:hint="default" w:ascii="Times New Roman" w:hAnsi="Times New Roman" w:eastAsia="宋体" w:cs="Times New Roman"/>
          <w:color w:val="auto"/>
          <w:sz w:val="24"/>
          <w:highlight w:val="none"/>
        </w:rPr>
        <w:t>t/a，排放速率为0.0</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kg/h</w:t>
      </w:r>
      <w:r>
        <w:rPr>
          <w:rFonts w:hint="default" w:ascii="Times New Roman" w:hAnsi="Times New Roman" w:eastAsia="宋体" w:cs="Times New Roman"/>
          <w:color w:val="auto"/>
          <w:sz w:val="24"/>
          <w:highlight w:val="none"/>
          <w:lang w:eastAsia="zh-CN"/>
        </w:rPr>
        <w:t>，以无组织形式排放。</w:t>
      </w:r>
    </w:p>
    <w:p>
      <w:pPr>
        <w:keepLines w:val="0"/>
        <w:pageBreakBefore w:val="0"/>
        <w:widowControl w:val="0"/>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吹塑废气</w:t>
      </w:r>
      <w:r>
        <w:rPr>
          <w:rFonts w:hint="default" w:ascii="Times New Roman" w:hAnsi="Times New Roman" w:eastAsia="宋体" w:cs="Times New Roman"/>
          <w:color w:val="auto"/>
          <w:sz w:val="24"/>
          <w:highlight w:val="none"/>
        </w:rPr>
        <w:t>G</w:t>
      </w:r>
      <w:r>
        <w:rPr>
          <w:rFonts w:hint="default" w:ascii="Times New Roman" w:hAnsi="Times New Roman" w:eastAsia="宋体" w:cs="Times New Roman"/>
          <w:color w:val="auto"/>
          <w:sz w:val="24"/>
          <w:highlight w:val="none"/>
          <w:lang w:val="en-US" w:eastAsia="zh-CN"/>
        </w:rPr>
        <w:t>4</w:t>
      </w:r>
    </w:p>
    <w:p>
      <w:pPr>
        <w:keepLines w:val="0"/>
        <w:pageBreakBefore w:val="0"/>
        <w:widowControl w:val="0"/>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塑料在加热熔化过程中，温度越高，塑料分解的速度越快，产生的废气也就越多。本项目吹塑设备温控温度在1</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0℃-190℃以内，小于原料的裂解温度（聚乙烯裂解温度≥240℃），挤塑、吹塑设备有自动温度控制系统，可防止塑料分解或者碳化。本项目所用废旧塑料均不含卤素，无二噁英、HCl等废气产生。因此，本项目挤塑、吹塑过程中产生少量的非甲烷总烃</w:t>
      </w:r>
      <w:r>
        <w:rPr>
          <w:rFonts w:hint="default" w:ascii="Times New Roman" w:hAnsi="Times New Roman" w:eastAsia="宋体" w:cs="Times New Roman"/>
          <w:color w:val="auto"/>
          <w:sz w:val="24"/>
          <w:highlight w:val="none"/>
          <w:lang w:eastAsia="zh-CN"/>
        </w:rPr>
        <w:t>和颗粒物</w:t>
      </w:r>
      <w:r>
        <w:rPr>
          <w:rFonts w:hint="default" w:ascii="Times New Roman" w:hAnsi="Times New Roman" w:eastAsia="宋体" w:cs="Times New Roman"/>
          <w:color w:val="auto"/>
          <w:sz w:val="24"/>
          <w:highlight w:val="none"/>
          <w:lang w:val="en-US" w:eastAsia="zh-CN"/>
        </w:rPr>
        <w:t>。</w:t>
      </w:r>
    </w:p>
    <w:p>
      <w:pPr>
        <w:keepLines w:val="0"/>
        <w:pageBreakBefore w:val="0"/>
        <w:widowControl w:val="0"/>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非甲烷总烃</w:t>
      </w:r>
    </w:p>
    <w:p>
      <w:pPr>
        <w:keepLines w:val="0"/>
        <w:pageBreakBefore w:val="0"/>
        <w:widowControl w:val="0"/>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sz w:val="24"/>
          <w:highlight w:val="none"/>
          <w:lang w:eastAsia="zh-CN"/>
        </w:rPr>
        <w:t>非甲烷总烃产生量</w:t>
      </w: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b w:val="0"/>
          <w:bCs w:val="0"/>
          <w:color w:val="auto"/>
          <w:kern w:val="0"/>
          <w:sz w:val="24"/>
          <w:szCs w:val="24"/>
          <w:lang w:val="en-US" w:eastAsia="zh-CN"/>
        </w:rPr>
        <w:t>《排放源统计调查产排污核算方法和系数手册》（公告2021年第24号）--292塑料制品行业系数手册--2922 塑料板、管、型材制造行业中，挥发性有机物（以</w:t>
      </w:r>
      <w:r>
        <w:rPr>
          <w:rFonts w:hint="default" w:ascii="Times New Roman" w:hAnsi="Times New Roman" w:eastAsia="宋体" w:cs="Times New Roman"/>
          <w:color w:val="auto"/>
          <w:sz w:val="24"/>
          <w:szCs w:val="24"/>
          <w:highlight w:val="none"/>
        </w:rPr>
        <w:t>非甲烷总烃</w:t>
      </w:r>
      <w:r>
        <w:rPr>
          <w:rFonts w:hint="default" w:ascii="Times New Roman" w:hAnsi="Times New Roman" w:eastAsia="宋体" w:cs="Times New Roman"/>
          <w:color w:val="auto"/>
          <w:sz w:val="24"/>
          <w:szCs w:val="24"/>
          <w:highlight w:val="none"/>
          <w:lang w:eastAsia="zh-CN"/>
        </w:rPr>
        <w:t>计</w:t>
      </w:r>
      <w:r>
        <w:rPr>
          <w:rFonts w:hint="default" w:ascii="Times New Roman" w:hAnsi="Times New Roman" w:eastAsia="宋体" w:cs="Times New Roman"/>
          <w:b w:val="0"/>
          <w:bCs w:val="0"/>
          <w:color w:val="auto"/>
          <w:kern w:val="0"/>
          <w:sz w:val="24"/>
          <w:szCs w:val="24"/>
          <w:lang w:val="en-US" w:eastAsia="zh-CN"/>
        </w:rPr>
        <w:t>）产污系数为1.50千克/吨-产品，本项目产品滴灌带、PE管材管件、地膜生产量为9000t/a，则非甲烷总烃产生量为13.5t/a。</w:t>
      </w:r>
    </w:p>
    <w:p>
      <w:pPr>
        <w:keepLines w:val="0"/>
        <w:pageBreakBefore w:val="0"/>
        <w:widowControl w:val="0"/>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val="0"/>
          <w:bCs w:val="0"/>
          <w:color w:val="auto"/>
          <w:sz w:val="24"/>
          <w:highlight w:val="none"/>
        </w:rPr>
        <w:t>本项目在6台滴灌带挤出机出口、4台PE管材管件挤出机出口和2台地膜挤出机出口上方各设置1套集气罩（共12套），</w:t>
      </w:r>
      <w:r>
        <w:rPr>
          <w:rFonts w:hint="default" w:ascii="Times New Roman" w:hAnsi="Times New Roman" w:eastAsia="宋体" w:cs="Times New Roman"/>
          <w:b w:val="0"/>
          <w:bCs w:val="0"/>
          <w:color w:val="auto"/>
          <w:sz w:val="24"/>
          <w:highlight w:val="none"/>
          <w:lang w:eastAsia="zh-CN"/>
        </w:rPr>
        <w:t>集气效率按</w:t>
      </w:r>
      <w:r>
        <w:rPr>
          <w:rFonts w:hint="default" w:ascii="Times New Roman" w:hAnsi="Times New Roman" w:eastAsia="宋体" w:cs="Times New Roman"/>
          <w:b w:val="0"/>
          <w:bCs w:val="0"/>
          <w:color w:val="auto"/>
          <w:sz w:val="24"/>
          <w:highlight w:val="none"/>
          <w:lang w:val="en-US" w:eastAsia="zh-CN"/>
        </w:rPr>
        <w:t>80%计，则集气罩收集的非甲烷总烃（有组织）产生量为10.8t/a，未收集的非甲烷总烃（无组织）产生量为2.7t/a</w:t>
      </w:r>
      <w:r>
        <w:rPr>
          <w:rFonts w:hint="default" w:ascii="Times New Roman" w:hAnsi="Times New Roman" w:eastAsia="宋体" w:cs="Times New Roman"/>
          <w:b w:val="0"/>
          <w:bCs w:val="0"/>
          <w:color w:val="auto"/>
          <w:kern w:val="0"/>
          <w:sz w:val="24"/>
          <w:szCs w:val="24"/>
          <w:lang w:val="en-US" w:eastAsia="zh-CN"/>
        </w:rPr>
        <w:t>。</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b w:val="0"/>
          <w:bCs w:val="0"/>
          <w:color w:val="auto"/>
          <w:kern w:val="0"/>
          <w:sz w:val="24"/>
          <w:szCs w:val="24"/>
          <w:lang w:val="en-US" w:eastAsia="zh-CN"/>
        </w:rPr>
        <w:t>颗粒物</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颗粒物</w:t>
      </w:r>
      <w:r>
        <w:rPr>
          <w:rFonts w:hint="default" w:ascii="Times New Roman" w:hAnsi="Times New Roman" w:eastAsia="宋体" w:cs="Times New Roman"/>
          <w:color w:val="auto"/>
          <w:sz w:val="24"/>
          <w:highlight w:val="none"/>
          <w:lang w:eastAsia="zh-CN"/>
        </w:rPr>
        <w:t>产生量</w:t>
      </w:r>
      <w:r>
        <w:rPr>
          <w:rFonts w:hint="default" w:ascii="Times New Roman" w:hAnsi="Times New Roman" w:eastAsia="宋体" w:cs="Times New Roman"/>
          <w:b w:val="0"/>
          <w:bCs w:val="0"/>
          <w:color w:val="auto"/>
          <w:kern w:val="0"/>
          <w:sz w:val="24"/>
          <w:szCs w:val="24"/>
          <w:lang w:val="en-US" w:eastAsia="zh-CN"/>
        </w:rPr>
        <w:t>参照《陕西甘霖实业有限公司西安市高陵区分公司PE管材、PVC管材、滴管带生产制造项目竣工环境保护验收监测报告表》2号厂房中9条PE管材生产线产生的颗粒物监测数据，</w:t>
      </w:r>
      <w:r>
        <w:rPr>
          <w:rFonts w:hint="default" w:ascii="Times New Roman" w:hAnsi="Times New Roman" w:eastAsia="宋体" w:cs="Times New Roman"/>
          <w:color w:val="auto"/>
          <w:sz w:val="24"/>
          <w:szCs w:val="24"/>
          <w:highlight w:val="none"/>
        </w:rPr>
        <w:t>环保验收监测时PE管材生产量为</w:t>
      </w:r>
      <w:r>
        <w:rPr>
          <w:rFonts w:hint="default" w:ascii="Times New Roman" w:hAnsi="Times New Roman" w:eastAsia="宋体" w:cs="Times New Roman"/>
          <w:color w:val="auto"/>
          <w:sz w:val="24"/>
          <w:szCs w:val="24"/>
          <w:highlight w:val="none"/>
          <w:lang w:val="en-US" w:eastAsia="zh-CN"/>
        </w:rPr>
        <w:t>39.1</w:t>
      </w:r>
      <w:r>
        <w:rPr>
          <w:rFonts w:hint="default" w:ascii="Times New Roman" w:hAnsi="Times New Roman" w:eastAsia="宋体" w:cs="Times New Roman"/>
          <w:color w:val="auto"/>
          <w:sz w:val="24"/>
          <w:szCs w:val="24"/>
          <w:highlight w:val="none"/>
        </w:rPr>
        <w:t>t/d</w:t>
      </w:r>
      <w:r>
        <w:rPr>
          <w:rFonts w:hint="default" w:ascii="Times New Roman" w:hAnsi="Times New Roman" w:eastAsia="宋体" w:cs="Times New Roman"/>
          <w:b w:val="0"/>
          <w:bCs w:val="0"/>
          <w:color w:val="auto"/>
          <w:kern w:val="0"/>
          <w:sz w:val="24"/>
          <w:szCs w:val="24"/>
          <w:lang w:val="en-US" w:eastAsia="zh-CN"/>
        </w:rPr>
        <w:t>。</w:t>
      </w:r>
    </w:p>
    <w:p>
      <w:pPr>
        <w:shd w:val="clea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highlight w:val="none"/>
        </w:rPr>
        <w:t>表3.3-</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eastAsia="zh-CN"/>
        </w:rPr>
        <w:t>类比情况一览</w:t>
      </w:r>
      <w:r>
        <w:rPr>
          <w:rFonts w:hint="default" w:ascii="Times New Roman" w:hAnsi="Times New Roman" w:eastAsia="宋体" w:cs="Times New Roman"/>
          <w:b/>
          <w:color w:val="auto"/>
          <w:sz w:val="24"/>
          <w:highlight w:val="none"/>
          <w:lang w:val="en-US" w:eastAsia="zh-CN"/>
        </w:rPr>
        <w:t>表</w:t>
      </w:r>
    </w:p>
    <w:tbl>
      <w:tblPr>
        <w:tblStyle w:val="90"/>
        <w:tblW w:w="8277" w:type="dxa"/>
        <w:jc w:val="center"/>
        <w:tblLayout w:type="fixed"/>
        <w:tblCellMar>
          <w:top w:w="0" w:type="dxa"/>
          <w:left w:w="108" w:type="dxa"/>
          <w:bottom w:w="0" w:type="dxa"/>
          <w:right w:w="108" w:type="dxa"/>
        </w:tblCellMar>
      </w:tblPr>
      <w:tblGrid>
        <w:gridCol w:w="1003"/>
        <w:gridCol w:w="1004"/>
        <w:gridCol w:w="3135"/>
        <w:gridCol w:w="3135"/>
      </w:tblGrid>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序号</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项目</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类比项目</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本项目</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生产线</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9条PE管材</w:t>
            </w:r>
            <w:r>
              <w:rPr>
                <w:rFonts w:hint="default" w:ascii="Times New Roman" w:hAnsi="Times New Roman" w:eastAsia="宋体" w:cs="Times New Roman"/>
                <w:color w:val="auto"/>
                <w:kern w:val="0"/>
                <w:sz w:val="21"/>
                <w:szCs w:val="21"/>
                <w:highlight w:val="none"/>
              </w:rPr>
              <w:t>生产线</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条滴灌带生产线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4条PE管材管件生产线和2条地膜生产线</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Cs w:val="21"/>
                <w:highlight w:val="none"/>
                <w:lang w:val="en-US" w:eastAsia="zh-CN"/>
              </w:rPr>
              <w:t>原料</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Cs w:val="24"/>
                <w:highlight w:val="none"/>
                <w:lang w:eastAsia="zh-CN"/>
              </w:rPr>
              <w:t>聚乙烯颗粒和双抗色母粒</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4"/>
                <w:highlight w:val="none"/>
                <w:lang w:eastAsia="zh-CN"/>
              </w:rPr>
              <w:t>聚乙烯颗粒和双抗色母粒</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规模</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年产</w:t>
            </w:r>
            <w:r>
              <w:rPr>
                <w:rFonts w:hint="default" w:ascii="Times New Roman" w:hAnsi="Times New Roman" w:eastAsia="宋体" w:cs="Times New Roman"/>
                <w:color w:val="auto"/>
                <w:sz w:val="21"/>
                <w:szCs w:val="21"/>
                <w:highlight w:val="none"/>
                <w:lang w:val="en-US" w:eastAsia="zh-CN"/>
              </w:rPr>
              <w:t>PE管材1</w:t>
            </w:r>
            <w:r>
              <w:rPr>
                <w:rFonts w:hint="default" w:ascii="Times New Roman" w:hAnsi="Times New Roman" w:eastAsia="宋体" w:cs="Times New Roman"/>
                <w:color w:val="auto"/>
                <w:kern w:val="0"/>
                <w:sz w:val="21"/>
                <w:szCs w:val="21"/>
                <w:highlight w:val="none"/>
                <w:lang w:val="en-US" w:eastAsia="zh-CN"/>
              </w:rPr>
              <w:t>50</w:t>
            </w:r>
            <w:r>
              <w:rPr>
                <w:rFonts w:hint="default" w:ascii="Times New Roman" w:hAnsi="Times New Roman" w:eastAsia="宋体" w:cs="Times New Roman"/>
                <w:color w:val="auto"/>
                <w:kern w:val="0"/>
                <w:sz w:val="21"/>
                <w:szCs w:val="21"/>
                <w:highlight w:val="none"/>
              </w:rPr>
              <w:t>00吨</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年生产滴灌带5000t，年生产地膜2000t，年生产PE管材管件2000t</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4</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eastAsia="zh-CN"/>
              </w:rPr>
              <w:t>生产</w:t>
            </w:r>
          </w:p>
          <w:p>
            <w:pPr>
              <w:widowControl/>
              <w:shd w:val="clear"/>
              <w:jc w:val="center"/>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sz w:val="21"/>
                <w:szCs w:val="21"/>
                <w:highlight w:val="none"/>
                <w:lang w:val="en-GB" w:eastAsia="zh-CN"/>
              </w:rPr>
              <w:t>设备</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挤出机</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单螺杆挤出机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rPr>
              <w:t>挤出机</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生产</w:t>
            </w:r>
          </w:p>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工艺</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highlight w:val="none"/>
              </w:rPr>
              <w:t>混料</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吹塑</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冷却、收卷</w:t>
            </w:r>
            <w:r>
              <w:rPr>
                <w:rFonts w:hint="default" w:ascii="Times New Roman" w:hAnsi="Times New Roman" w:eastAsia="宋体" w:cs="Times New Roman"/>
                <w:color w:val="auto"/>
                <w:kern w:val="0"/>
                <w:sz w:val="21"/>
                <w:szCs w:val="21"/>
                <w:highlight w:val="none"/>
                <w:lang w:eastAsia="zh-CN"/>
              </w:rPr>
              <w:t>；</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滴灌带、PE管材管件和地膜生产工艺</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混料</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吹塑</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冷却、收卷</w:t>
            </w:r>
            <w:r>
              <w:rPr>
                <w:rFonts w:hint="default" w:ascii="Times New Roman" w:hAnsi="Times New Roman" w:eastAsia="宋体" w:cs="Times New Roman"/>
                <w:color w:val="auto"/>
                <w:kern w:val="0"/>
                <w:sz w:val="21"/>
                <w:szCs w:val="21"/>
                <w:highlight w:val="none"/>
                <w:lang w:eastAsia="zh-CN"/>
              </w:rPr>
              <w:t>；</w:t>
            </w:r>
          </w:p>
        </w:tc>
      </w:tr>
      <w:tr>
        <w:tblPrEx>
          <w:tblCellMar>
            <w:top w:w="0" w:type="dxa"/>
            <w:left w:w="108" w:type="dxa"/>
            <w:bottom w:w="0" w:type="dxa"/>
            <w:right w:w="108" w:type="dxa"/>
          </w:tblCellMar>
        </w:tblPrEx>
        <w:trPr>
          <w:cantSplit/>
          <w:trHeight w:val="340" w:hRule="atLeast"/>
          <w:jc w:val="center"/>
        </w:trPr>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排放方式</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废气</w:t>
            </w:r>
            <w:r>
              <w:rPr>
                <w:rFonts w:hint="default" w:ascii="Times New Roman" w:hAnsi="Times New Roman" w:eastAsia="宋体" w:cs="Times New Roman"/>
                <w:color w:val="auto"/>
                <w:kern w:val="0"/>
                <w:sz w:val="21"/>
                <w:szCs w:val="21"/>
                <w:highlight w:val="none"/>
              </w:rPr>
              <w:t>经集气罩</w:t>
            </w:r>
            <w:r>
              <w:rPr>
                <w:rFonts w:hint="default" w:ascii="Times New Roman" w:hAnsi="Times New Roman" w:eastAsia="宋体" w:cs="Times New Roman"/>
                <w:color w:val="auto"/>
                <w:sz w:val="21"/>
                <w:szCs w:val="21"/>
                <w:highlight w:val="none"/>
                <w:lang w:eastAsia="zh-CN"/>
              </w:rPr>
              <w:t>收集，由布袋除尘器</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UV光解</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活性炭吸附装置</w:t>
            </w:r>
            <w:r>
              <w:rPr>
                <w:rFonts w:hint="default" w:ascii="Times New Roman" w:hAnsi="Times New Roman" w:eastAsia="宋体" w:cs="Times New Roman"/>
                <w:color w:val="auto"/>
                <w:kern w:val="0"/>
                <w:sz w:val="21"/>
                <w:szCs w:val="21"/>
                <w:highlight w:val="none"/>
              </w:rPr>
              <w:t>处理后</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通过</w:t>
            </w:r>
            <w:r>
              <w:rPr>
                <w:rFonts w:hint="default" w:ascii="Times New Roman" w:hAnsi="Times New Roman" w:eastAsia="宋体" w:cs="Times New Roman"/>
                <w:color w:val="auto"/>
                <w:kern w:val="0"/>
                <w:sz w:val="21"/>
                <w:szCs w:val="21"/>
                <w:highlight w:val="none"/>
                <w:lang w:val="en-US" w:eastAsia="zh-CN"/>
              </w:rPr>
              <w:t>1根</w:t>
            </w:r>
            <w:r>
              <w:rPr>
                <w:rFonts w:hint="default" w:ascii="Times New Roman" w:hAnsi="Times New Roman" w:eastAsia="宋体" w:cs="Times New Roman"/>
                <w:color w:val="auto"/>
                <w:kern w:val="0"/>
                <w:sz w:val="21"/>
                <w:szCs w:val="21"/>
                <w:highlight w:val="none"/>
              </w:rPr>
              <w:t>15m高排气筒排放</w:t>
            </w:r>
          </w:p>
        </w:tc>
        <w:tc>
          <w:tcPr>
            <w:tcW w:w="3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废气</w:t>
            </w:r>
            <w:r>
              <w:rPr>
                <w:rFonts w:hint="default" w:ascii="Times New Roman" w:hAnsi="Times New Roman" w:eastAsia="宋体" w:cs="Times New Roman"/>
                <w:color w:val="auto"/>
                <w:kern w:val="0"/>
                <w:sz w:val="21"/>
                <w:szCs w:val="21"/>
                <w:highlight w:val="none"/>
              </w:rPr>
              <w:t>经集气罩</w:t>
            </w:r>
            <w:r>
              <w:rPr>
                <w:rFonts w:hint="default" w:ascii="Times New Roman" w:hAnsi="Times New Roman" w:eastAsia="宋体" w:cs="Times New Roman"/>
                <w:color w:val="auto"/>
                <w:sz w:val="21"/>
                <w:szCs w:val="21"/>
                <w:highlight w:val="none"/>
                <w:lang w:eastAsia="zh-CN"/>
              </w:rPr>
              <w:t>收集，由</w:t>
            </w:r>
            <w:r>
              <w:rPr>
                <w:rFonts w:hint="default" w:ascii="Times New Roman" w:hAnsi="Times New Roman" w:eastAsia="宋体" w:cs="Times New Roman"/>
                <w:color w:val="auto"/>
                <w:kern w:val="0"/>
                <w:sz w:val="21"/>
                <w:szCs w:val="21"/>
                <w:highlight w:val="none"/>
              </w:rPr>
              <w:t>耐高温过滤棉+</w:t>
            </w:r>
            <w:r>
              <w:rPr>
                <w:rFonts w:hint="default" w:ascii="Times New Roman" w:hAnsi="Times New Roman" w:eastAsia="宋体" w:cs="Times New Roman"/>
                <w:color w:val="auto"/>
                <w:kern w:val="0"/>
                <w:sz w:val="21"/>
                <w:szCs w:val="21"/>
                <w:highlight w:val="none"/>
              </w:rPr>
              <w:t>UV光氧催化</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活性炭吸附装置处理后</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通过</w:t>
            </w:r>
            <w:r>
              <w:rPr>
                <w:rFonts w:hint="default" w:ascii="Times New Roman" w:hAnsi="Times New Roman" w:eastAsia="宋体" w:cs="Times New Roman"/>
                <w:color w:val="auto"/>
                <w:kern w:val="0"/>
                <w:sz w:val="21"/>
                <w:szCs w:val="21"/>
                <w:highlight w:val="none"/>
                <w:lang w:val="en-US" w:eastAsia="zh-CN"/>
              </w:rPr>
              <w:t>1根</w:t>
            </w:r>
            <w:r>
              <w:rPr>
                <w:rFonts w:hint="default" w:ascii="Times New Roman" w:hAnsi="Times New Roman" w:eastAsia="宋体" w:cs="Times New Roman"/>
                <w:color w:val="auto"/>
                <w:kern w:val="0"/>
                <w:sz w:val="21"/>
                <w:szCs w:val="21"/>
                <w:highlight w:val="none"/>
              </w:rPr>
              <w:t>15m高排气筒排放</w:t>
            </w:r>
          </w:p>
        </w:tc>
      </w:tr>
    </w:tbl>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kern w:val="0"/>
          <w:sz w:val="24"/>
          <w:szCs w:val="24"/>
          <w:lang w:val="en-US" w:eastAsia="zh-CN"/>
        </w:rPr>
        <w:t>根据上表对比情况，本项目与类比项目生产工艺、生产设备、原料及产品相似，仅生产规模不同，可以类比。</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类比项目环保验收监测时，排气筒进口处的颗粒物（未经处理的）监测数据为0.</w:t>
      </w:r>
      <w:r>
        <w:rPr>
          <w:rFonts w:hint="default" w:ascii="Times New Roman" w:hAnsi="Times New Roman" w:eastAsia="宋体" w:cs="Times New Roman"/>
          <w:color w:val="auto"/>
          <w:sz w:val="24"/>
          <w:szCs w:val="24"/>
          <w:highlight w:val="none"/>
          <w:lang w:val="en-US" w:eastAsia="zh-CN"/>
        </w:rPr>
        <w:t>553</w:t>
      </w:r>
      <w:r>
        <w:rPr>
          <w:rFonts w:hint="default" w:ascii="Times New Roman" w:hAnsi="Times New Roman" w:eastAsia="宋体" w:cs="Times New Roman"/>
          <w:color w:val="auto"/>
          <w:sz w:val="24"/>
          <w:szCs w:val="24"/>
          <w:highlight w:val="none"/>
        </w:rPr>
        <w:t>kg/h，环保验收监测时PE管材生产量为</w:t>
      </w:r>
      <w:r>
        <w:rPr>
          <w:rFonts w:hint="default" w:ascii="Times New Roman" w:hAnsi="Times New Roman" w:eastAsia="宋体" w:cs="Times New Roman"/>
          <w:color w:val="auto"/>
          <w:sz w:val="24"/>
          <w:szCs w:val="24"/>
          <w:highlight w:val="none"/>
          <w:lang w:val="en-US" w:eastAsia="zh-CN"/>
        </w:rPr>
        <w:t>39.1</w:t>
      </w:r>
      <w:r>
        <w:rPr>
          <w:rFonts w:hint="default" w:ascii="Times New Roman" w:hAnsi="Times New Roman" w:eastAsia="宋体" w:cs="Times New Roman"/>
          <w:color w:val="auto"/>
          <w:sz w:val="24"/>
          <w:szCs w:val="24"/>
          <w:highlight w:val="none"/>
        </w:rPr>
        <w:t>t/d，集气罩收集效率按80%计算，则类比项目吹塑工序颗粒物产生量为</w:t>
      </w:r>
      <w:r>
        <w:rPr>
          <w:rFonts w:hint="default" w:ascii="Times New Roman" w:hAnsi="Times New Roman" w:eastAsia="宋体" w:cs="Times New Roman"/>
          <w:color w:val="auto"/>
          <w:sz w:val="24"/>
          <w:szCs w:val="24"/>
          <w:highlight w:val="none"/>
          <w:lang w:val="en-US" w:eastAsia="zh-CN"/>
        </w:rPr>
        <w:t>0.691</w:t>
      </w:r>
      <w:r>
        <w:rPr>
          <w:rFonts w:hint="default" w:ascii="Times New Roman" w:hAnsi="Times New Roman" w:eastAsia="宋体" w:cs="Times New Roman"/>
          <w:color w:val="auto"/>
          <w:sz w:val="24"/>
          <w:szCs w:val="24"/>
          <w:highlight w:val="none"/>
        </w:rPr>
        <w:t>kg/h。本项目设计</w:t>
      </w:r>
      <w:r>
        <w:rPr>
          <w:rFonts w:hint="default" w:ascii="Times New Roman" w:hAnsi="Times New Roman" w:eastAsia="宋体" w:cs="Times New Roman"/>
          <w:b w:val="0"/>
          <w:bCs w:val="0"/>
          <w:color w:val="auto"/>
          <w:kern w:val="0"/>
          <w:sz w:val="24"/>
          <w:szCs w:val="24"/>
          <w:lang w:val="en-US" w:eastAsia="zh-CN"/>
        </w:rPr>
        <w:t>滴灌带、PE管材管件、地膜</w:t>
      </w:r>
      <w:r>
        <w:rPr>
          <w:rFonts w:hint="default" w:ascii="Times New Roman" w:hAnsi="Times New Roman" w:eastAsia="宋体" w:cs="Times New Roman"/>
          <w:color w:val="auto"/>
          <w:sz w:val="24"/>
          <w:szCs w:val="24"/>
          <w:highlight w:val="none"/>
        </w:rPr>
        <w:t>生产量为</w:t>
      </w:r>
      <w:r>
        <w:rPr>
          <w:rFonts w:hint="default" w:ascii="Times New Roman" w:hAnsi="Times New Roman" w:eastAsia="宋体" w:cs="Times New Roman"/>
          <w:color w:val="auto"/>
          <w:sz w:val="24"/>
          <w:szCs w:val="24"/>
          <w:highlight w:val="none"/>
          <w:lang w:val="en-US" w:eastAsia="zh-CN"/>
        </w:rPr>
        <w:t>37.5</w:t>
      </w:r>
      <w:r>
        <w:rPr>
          <w:rFonts w:hint="default" w:ascii="Times New Roman" w:hAnsi="Times New Roman" w:eastAsia="宋体" w:cs="Times New Roman"/>
          <w:color w:val="auto"/>
          <w:sz w:val="24"/>
          <w:szCs w:val="24"/>
          <w:highlight w:val="none"/>
        </w:rPr>
        <w:t>t/d，则本项目吹塑过程中颗粒物产生速率为0.</w:t>
      </w:r>
      <w:r>
        <w:rPr>
          <w:rFonts w:hint="default" w:ascii="Times New Roman" w:hAnsi="Times New Roman" w:eastAsia="宋体" w:cs="Times New Roman"/>
          <w:color w:val="auto"/>
          <w:sz w:val="24"/>
          <w:szCs w:val="24"/>
          <w:highlight w:val="none"/>
          <w:lang w:val="en-US" w:eastAsia="zh-CN"/>
        </w:rPr>
        <w:t>66</w:t>
      </w:r>
      <w:r>
        <w:rPr>
          <w:rFonts w:hint="default" w:ascii="Times New Roman" w:hAnsi="Times New Roman" w:eastAsia="宋体" w:cs="Times New Roman"/>
          <w:color w:val="auto"/>
          <w:sz w:val="24"/>
          <w:szCs w:val="24"/>
          <w:highlight w:val="none"/>
        </w:rPr>
        <w:t>kg/h，产生量</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3.80</w:t>
      </w:r>
      <w:r>
        <w:rPr>
          <w:rFonts w:hint="default" w:ascii="Times New Roman" w:hAnsi="Times New Roman" w:eastAsia="宋体" w:cs="Times New Roman"/>
          <w:color w:val="auto"/>
          <w:sz w:val="24"/>
          <w:szCs w:val="24"/>
          <w:highlight w:val="none"/>
        </w:rPr>
        <w:t>t/a。</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sz w:val="24"/>
          <w:highlight w:val="none"/>
        </w:rPr>
        <w:t>本项目在6台滴灌带挤出机出口、4台PE管材管件挤出机出口和2台地膜挤出机出口上方各设置1套集气罩（共12套），</w:t>
      </w:r>
      <w:r>
        <w:rPr>
          <w:rFonts w:hint="default" w:ascii="Times New Roman" w:hAnsi="Times New Roman" w:eastAsia="宋体" w:cs="Times New Roman"/>
          <w:b w:val="0"/>
          <w:bCs w:val="0"/>
          <w:color w:val="auto"/>
          <w:sz w:val="24"/>
          <w:highlight w:val="none"/>
          <w:lang w:eastAsia="zh-CN"/>
        </w:rPr>
        <w:t>集气效率按</w:t>
      </w:r>
      <w:r>
        <w:rPr>
          <w:rFonts w:hint="default" w:ascii="Times New Roman" w:hAnsi="Times New Roman" w:eastAsia="宋体" w:cs="Times New Roman"/>
          <w:b w:val="0"/>
          <w:bCs w:val="0"/>
          <w:color w:val="auto"/>
          <w:sz w:val="24"/>
          <w:highlight w:val="none"/>
          <w:lang w:val="en-US" w:eastAsia="zh-CN"/>
        </w:rPr>
        <w:t>80%计，则集气罩收集的</w:t>
      </w:r>
      <w:r>
        <w:rPr>
          <w:rFonts w:hint="default" w:ascii="Times New Roman" w:hAnsi="Times New Roman" w:eastAsia="宋体" w:cs="Times New Roman"/>
          <w:color w:val="auto"/>
          <w:sz w:val="24"/>
          <w:szCs w:val="24"/>
          <w:highlight w:val="none"/>
        </w:rPr>
        <w:t>颗粒物</w:t>
      </w:r>
      <w:r>
        <w:rPr>
          <w:rFonts w:hint="default" w:ascii="Times New Roman" w:hAnsi="Times New Roman" w:eastAsia="宋体" w:cs="Times New Roman"/>
          <w:b w:val="0"/>
          <w:bCs w:val="0"/>
          <w:color w:val="auto"/>
          <w:sz w:val="24"/>
          <w:highlight w:val="none"/>
          <w:lang w:val="en-US" w:eastAsia="zh-CN"/>
        </w:rPr>
        <w:t>（有组织）产生量为3.04t/a，未收集的</w:t>
      </w:r>
      <w:r>
        <w:rPr>
          <w:rFonts w:hint="default" w:ascii="Times New Roman" w:hAnsi="Times New Roman" w:eastAsia="宋体" w:cs="Times New Roman"/>
          <w:color w:val="auto"/>
          <w:sz w:val="24"/>
          <w:szCs w:val="24"/>
          <w:highlight w:val="none"/>
        </w:rPr>
        <w:t>颗粒物</w:t>
      </w:r>
      <w:r>
        <w:rPr>
          <w:rFonts w:hint="default" w:ascii="Times New Roman" w:hAnsi="Times New Roman" w:eastAsia="宋体" w:cs="Times New Roman"/>
          <w:b w:val="0"/>
          <w:bCs w:val="0"/>
          <w:color w:val="auto"/>
          <w:sz w:val="24"/>
          <w:highlight w:val="none"/>
          <w:lang w:val="en-US" w:eastAsia="zh-CN"/>
        </w:rPr>
        <w:t>（无组织）产生量为0.76t/a</w:t>
      </w:r>
      <w:r>
        <w:rPr>
          <w:rFonts w:hint="default" w:ascii="Times New Roman" w:hAnsi="Times New Roman" w:eastAsia="宋体" w:cs="Times New Roman"/>
          <w:b w:val="0"/>
          <w:bCs w:val="0"/>
          <w:color w:val="auto"/>
          <w:kern w:val="0"/>
          <w:sz w:val="24"/>
          <w:szCs w:val="24"/>
          <w:lang w:val="en-US" w:eastAsia="zh-CN"/>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综上，本项目塑料制品生产车间</w:t>
      </w:r>
      <w:r>
        <w:rPr>
          <w:rFonts w:hint="default" w:ascii="Times New Roman" w:hAnsi="Times New Roman" w:eastAsia="宋体" w:cs="Times New Roman"/>
          <w:b w:val="0"/>
          <w:bCs w:val="0"/>
          <w:color w:val="auto"/>
          <w:sz w:val="24"/>
          <w:highlight w:val="none"/>
        </w:rPr>
        <w:t>在6台滴灌带挤出机出口、4台PE管材管件挤出机出口和2台地膜挤出机出口上方各设置1套集气罩（共12套）</w:t>
      </w:r>
      <w:r>
        <w:rPr>
          <w:rFonts w:hint="default" w:ascii="Times New Roman" w:hAnsi="Times New Roman" w:eastAsia="宋体" w:cs="Times New Roman"/>
          <w:b w:val="0"/>
          <w:bCs w:val="0"/>
          <w:color w:val="auto"/>
          <w:sz w:val="24"/>
          <w:highlight w:val="none"/>
          <w:lang w:eastAsia="zh-CN"/>
        </w:rPr>
        <w:t>，在</w:t>
      </w:r>
      <w:r>
        <w:rPr>
          <w:rFonts w:hint="default" w:ascii="Times New Roman" w:hAnsi="Times New Roman" w:eastAsia="宋体" w:cs="Times New Roman"/>
          <w:color w:val="auto"/>
          <w:sz w:val="24"/>
          <w:highlight w:val="none"/>
          <w:lang w:eastAsia="zh-CN"/>
        </w:rPr>
        <w:t>塑料制品生产车间</w:t>
      </w:r>
      <w:r>
        <w:rPr>
          <w:rFonts w:hint="default" w:ascii="Times New Roman" w:hAnsi="Times New Roman" w:eastAsia="宋体" w:cs="Times New Roman"/>
          <w:color w:val="auto"/>
          <w:sz w:val="24"/>
          <w:highlight w:val="none"/>
        </w:rPr>
        <w:t>设置1台风量为</w:t>
      </w:r>
      <w:r>
        <w:rPr>
          <w:rFonts w:hint="eastAsia" w:cs="Times New Roman"/>
          <w:color w:val="auto"/>
          <w:sz w:val="24"/>
          <w:highlight w:val="none"/>
          <w:lang w:val="en-US" w:eastAsia="zh-CN"/>
        </w:rPr>
        <w:t>15000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/h风机用于收集废气，废气经集气罩收集后</w:t>
      </w:r>
      <w:r>
        <w:rPr>
          <w:rFonts w:hint="default" w:ascii="Times New Roman" w:hAnsi="Times New Roman" w:eastAsia="宋体" w:cs="Times New Roman"/>
          <w:color w:val="auto"/>
          <w:sz w:val="24"/>
          <w:highlight w:val="none"/>
          <w:lang w:eastAsia="zh-CN"/>
        </w:rPr>
        <w:t>，由1套耐高温过滤棉（</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UV光氧催化（</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活性炭吸附装置（</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#）处理后，通过1根15m高排气筒（P</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）排放</w:t>
      </w:r>
      <w:r>
        <w:rPr>
          <w:rFonts w:hint="default" w:ascii="Times New Roman" w:hAnsi="Times New Roman" w:eastAsia="宋体" w:cs="Times New Roman"/>
          <w:color w:val="auto"/>
          <w:sz w:val="24"/>
          <w:highlight w:val="none"/>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根据《排放源统计调查产排污核算方法和系数手册》（公告2021年第24号）--292塑料制品行业系数手册--2922 塑料板、管、型材制造行业系数表--光催化+活性炭吸附装置的去除效率为24%</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耐高温过滤棉</w:t>
      </w:r>
      <w:r>
        <w:rPr>
          <w:rFonts w:hint="default" w:ascii="Times New Roman" w:hAnsi="Times New Roman" w:eastAsia="宋体" w:cs="Times New Roman"/>
          <w:color w:val="auto"/>
          <w:sz w:val="24"/>
          <w:highlight w:val="none"/>
          <w:lang w:eastAsia="zh-CN"/>
        </w:rPr>
        <w:t>参考</w:t>
      </w:r>
      <w:r>
        <w:rPr>
          <w:rFonts w:hint="default" w:ascii="Times New Roman" w:hAnsi="Times New Roman" w:eastAsia="宋体" w:cs="Times New Roman"/>
          <w:b w:val="0"/>
          <w:bCs w:val="0"/>
          <w:color w:val="auto"/>
          <w:kern w:val="0"/>
          <w:sz w:val="24"/>
          <w:szCs w:val="24"/>
          <w:lang w:val="en-US" w:eastAsia="zh-CN"/>
        </w:rPr>
        <w:t>《淮安如旭新材料有限公司年产5200吨再生塑料及生产线搬迁项目竣工环境保护验收报告》中监测数据可知，</w:t>
      </w:r>
      <w:r>
        <w:rPr>
          <w:rFonts w:hint="default" w:ascii="Times New Roman" w:hAnsi="Times New Roman" w:eastAsia="宋体" w:cs="Times New Roman"/>
          <w:color w:val="auto"/>
          <w:sz w:val="24"/>
          <w:highlight w:val="none"/>
        </w:rPr>
        <w:t>耐高温过滤棉</w:t>
      </w:r>
      <w:r>
        <w:rPr>
          <w:rFonts w:hint="default" w:ascii="Times New Roman" w:hAnsi="Times New Roman" w:eastAsia="宋体" w:cs="Times New Roman"/>
          <w:color w:val="auto"/>
          <w:sz w:val="24"/>
          <w:highlight w:val="none"/>
          <w:lang w:eastAsia="zh-CN"/>
        </w:rPr>
        <w:t>除尘效率为</w:t>
      </w:r>
      <w:r>
        <w:rPr>
          <w:rFonts w:hint="default" w:ascii="Times New Roman" w:hAnsi="Times New Roman" w:eastAsia="宋体" w:cs="Times New Roman"/>
          <w:color w:val="auto"/>
          <w:sz w:val="24"/>
          <w:highlight w:val="none"/>
          <w:lang w:val="en-US" w:eastAsia="zh-CN"/>
        </w:rPr>
        <w:t>92.1%，本次环评按80%计算</w:t>
      </w:r>
      <w:r>
        <w:rPr>
          <w:rFonts w:hint="default" w:ascii="Times New Roman" w:hAnsi="Times New Roman" w:eastAsia="宋体" w:cs="Times New Roman"/>
          <w:color w:val="auto"/>
          <w:sz w:val="24"/>
          <w:highlight w:val="none"/>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eastAsia="zh-CN"/>
        </w:rPr>
        <w:t>则本项目吹塑</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highlight w:val="none"/>
        </w:rPr>
        <w:t>产生及排放情况见表3.3-</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表3.3-</w:t>
      </w:r>
      <w:r>
        <w:rPr>
          <w:rFonts w:hint="default" w:ascii="Times New Roman" w:hAnsi="Times New Roman" w:eastAsia="宋体" w:cs="Times New Roman"/>
          <w:b/>
          <w:color w:val="auto"/>
          <w:sz w:val="24"/>
          <w:highlight w:val="none"/>
          <w:lang w:val="en-US" w:eastAsia="zh-CN"/>
        </w:rPr>
        <w:t xml:space="preserve">5 </w:t>
      </w:r>
      <w:r>
        <w:rPr>
          <w:rFonts w:hint="default" w:ascii="Times New Roman" w:hAnsi="Times New Roman" w:eastAsia="宋体" w:cs="Times New Roman"/>
          <w:b/>
          <w:color w:val="auto"/>
          <w:sz w:val="24"/>
          <w:highlight w:val="none"/>
        </w:rPr>
        <w:t xml:space="preserve"> 本项目吹塑废气产生及排放情况</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611"/>
        <w:gridCol w:w="612"/>
        <w:gridCol w:w="666"/>
        <w:gridCol w:w="666"/>
        <w:gridCol w:w="666"/>
        <w:gridCol w:w="1106"/>
        <w:gridCol w:w="666"/>
        <w:gridCol w:w="666"/>
        <w:gridCol w:w="669"/>
        <w:gridCol w:w="669"/>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bookmarkStart w:id="152" w:name="_Hlk532827163"/>
            <w:r>
              <w:rPr>
                <w:rFonts w:hint="default" w:ascii="Times New Roman" w:hAnsi="Times New Roman" w:eastAsia="宋体" w:cs="Times New Roman"/>
                <w:color w:val="auto"/>
                <w:kern w:val="0"/>
                <w:sz w:val="21"/>
                <w:szCs w:val="21"/>
                <w:highlight w:val="none"/>
                <w:lang w:eastAsia="zh-TW"/>
              </w:rPr>
              <w:t>工序</w:t>
            </w:r>
          </w:p>
        </w:tc>
        <w:tc>
          <w:tcPr>
            <w:tcW w:w="66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污染因子</w:t>
            </w:r>
          </w:p>
        </w:tc>
        <w:tc>
          <w:tcPr>
            <w:tcW w:w="66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排放形式</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产生量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t/a</w:t>
            </w:r>
            <w:r>
              <w:rPr>
                <w:rFonts w:hint="default" w:ascii="Times New Roman" w:hAnsi="Times New Roman" w:eastAsia="宋体" w:cs="Times New Roman"/>
                <w:color w:val="auto"/>
                <w:kern w:val="0"/>
                <w:sz w:val="21"/>
                <w:szCs w:val="21"/>
                <w:highlight w:val="none"/>
                <w:lang w:eastAsia="zh-CN"/>
              </w:rPr>
              <w:t>）</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产生速率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kg/h</w:t>
            </w:r>
            <w:r>
              <w:rPr>
                <w:rFonts w:hint="default" w:ascii="Times New Roman" w:hAnsi="Times New Roman" w:eastAsia="宋体" w:cs="Times New Roman"/>
                <w:color w:val="auto"/>
                <w:kern w:val="0"/>
                <w:sz w:val="21"/>
                <w:szCs w:val="21"/>
                <w:highlight w:val="none"/>
                <w:lang w:eastAsia="zh-CN"/>
              </w:rPr>
              <w:t>）</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产生浓度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mg/m</w:t>
            </w:r>
            <w:r>
              <w:rPr>
                <w:rFonts w:hint="default" w:ascii="Times New Roman" w:hAnsi="Times New Roman" w:eastAsia="宋体" w:cs="Times New Roman"/>
                <w:color w:val="auto"/>
                <w:kern w:val="0"/>
                <w:sz w:val="21"/>
                <w:szCs w:val="21"/>
                <w:highlight w:val="none"/>
                <w:vertAlign w:val="superscript"/>
                <w:lang w:eastAsia="zh-TW"/>
              </w:rPr>
              <w:t>3</w:t>
            </w:r>
            <w:r>
              <w:rPr>
                <w:rFonts w:hint="default" w:ascii="Times New Roman" w:hAnsi="Times New Roman" w:eastAsia="宋体" w:cs="Times New Roman"/>
                <w:color w:val="auto"/>
                <w:kern w:val="0"/>
                <w:sz w:val="21"/>
                <w:szCs w:val="21"/>
                <w:highlight w:val="none"/>
                <w:lang w:eastAsia="zh-CN"/>
              </w:rPr>
              <w:t>）</w:t>
            </w:r>
          </w:p>
        </w:tc>
        <w:tc>
          <w:tcPr>
            <w:tcW w:w="12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处理方式</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排放量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t/a</w:t>
            </w:r>
            <w:r>
              <w:rPr>
                <w:rFonts w:hint="default" w:ascii="Times New Roman" w:hAnsi="Times New Roman" w:eastAsia="宋体" w:cs="Times New Roman"/>
                <w:color w:val="auto"/>
                <w:kern w:val="0"/>
                <w:sz w:val="21"/>
                <w:szCs w:val="21"/>
                <w:highlight w:val="none"/>
                <w:lang w:eastAsia="zh-CN"/>
              </w:rPr>
              <w:t>）</w:t>
            </w:r>
          </w:p>
        </w:tc>
        <w:tc>
          <w:tcPr>
            <w:tcW w:w="72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排放速率</w:t>
            </w:r>
          </w:p>
          <w:p>
            <w:pPr>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kg/h</w:t>
            </w:r>
            <w:r>
              <w:rPr>
                <w:rFonts w:hint="default" w:ascii="Times New Roman" w:hAnsi="Times New Roman" w:eastAsia="宋体" w:cs="Times New Roman"/>
                <w:color w:val="auto"/>
                <w:kern w:val="0"/>
                <w:sz w:val="21"/>
                <w:szCs w:val="21"/>
                <w:highlight w:val="none"/>
                <w:lang w:eastAsia="zh-CN"/>
              </w:rPr>
              <w:t>）</w:t>
            </w:r>
          </w:p>
        </w:tc>
        <w:tc>
          <w:tcPr>
            <w:tcW w:w="72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排放浓度</w:t>
            </w:r>
          </w:p>
          <w:p>
            <w:pPr>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lang w:eastAsia="zh-CN"/>
              </w:rPr>
              <w:t>）</w:t>
            </w:r>
          </w:p>
        </w:tc>
        <w:tc>
          <w:tcPr>
            <w:tcW w:w="727"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排放限值（</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lang w:eastAsia="zh-CN"/>
              </w:rPr>
              <w:t>）</w:t>
            </w:r>
          </w:p>
        </w:tc>
        <w:tc>
          <w:tcPr>
            <w:tcW w:w="727"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Merge w:val="restart"/>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吹塑</w:t>
            </w:r>
          </w:p>
        </w:tc>
        <w:tc>
          <w:tcPr>
            <w:tcW w:w="662" w:type="dxa"/>
            <w:vAlign w:val="center"/>
          </w:tcPr>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NMHC</w:t>
            </w:r>
          </w:p>
        </w:tc>
        <w:tc>
          <w:tcPr>
            <w:tcW w:w="662"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TW"/>
              </w:rPr>
              <w:t>有组织</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10.8</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1.88 </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25.3</w:t>
            </w:r>
          </w:p>
        </w:tc>
        <w:tc>
          <w:tcPr>
            <w:tcW w:w="12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#UV光氧催化</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kern w:val="0"/>
                <w:sz w:val="21"/>
                <w:szCs w:val="21"/>
                <w:highlight w:val="none"/>
              </w:rPr>
              <w:t>活性炭吸附装置</w:t>
            </w:r>
            <w:r>
              <w:rPr>
                <w:rFonts w:hint="default" w:ascii="Times New Roman" w:hAnsi="Times New Roman" w:eastAsia="宋体" w:cs="Times New Roman"/>
                <w:color w:val="auto"/>
                <w:kern w:val="0"/>
                <w:sz w:val="21"/>
                <w:szCs w:val="21"/>
                <w:highlight w:val="none"/>
                <w:lang w:eastAsia="zh-CN"/>
              </w:rPr>
              <w:t>（非甲烷总烃</w:t>
            </w:r>
            <w:r>
              <w:rPr>
                <w:rFonts w:hint="default" w:ascii="Times New Roman" w:hAnsi="Times New Roman" w:eastAsia="宋体" w:cs="Times New Roman"/>
                <w:color w:val="auto"/>
                <w:kern w:val="0"/>
                <w:sz w:val="21"/>
                <w:szCs w:val="21"/>
                <w:highlight w:val="none"/>
                <w:lang w:val="en-US" w:eastAsia="zh-CN"/>
              </w:rPr>
              <w:t>处理效率</w:t>
            </w:r>
            <w:r>
              <w:rPr>
                <w:rFonts w:hint="default" w:ascii="Times New Roman" w:hAnsi="Times New Roman" w:eastAsia="宋体" w:cs="Times New Roman"/>
                <w:color w:val="auto"/>
                <w:sz w:val="21"/>
                <w:szCs w:val="21"/>
                <w:highlight w:val="none"/>
                <w:lang w:eastAsia="zh-CN"/>
              </w:rPr>
              <w:t>按</w:t>
            </w:r>
            <w:r>
              <w:rPr>
                <w:rFonts w:hint="eastAsia"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计</w:t>
            </w:r>
            <w:r>
              <w:rPr>
                <w:rFonts w:hint="default" w:ascii="Times New Roman" w:hAnsi="Times New Roman" w:eastAsia="宋体" w:cs="Times New Roman"/>
                <w:color w:val="auto"/>
                <w:kern w:val="0"/>
                <w:sz w:val="21"/>
                <w:szCs w:val="21"/>
                <w:highlight w:val="none"/>
                <w:lang w:eastAsia="zh-CN"/>
              </w:rPr>
              <w:t>）</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8.21</w:t>
            </w:r>
          </w:p>
        </w:tc>
        <w:tc>
          <w:tcPr>
            <w:tcW w:w="72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1.43</w:t>
            </w:r>
            <w:r>
              <w:rPr>
                <w:rFonts w:hint="default" w:ascii="Times New Roman" w:hAnsi="Times New Roman" w:eastAsia="宋体" w:cs="Times New Roman"/>
                <w:color w:val="auto"/>
                <w:kern w:val="0"/>
                <w:sz w:val="21"/>
                <w:szCs w:val="21"/>
                <w:highlight w:val="none"/>
                <w:lang w:val="en-US" w:eastAsia="zh-CN"/>
              </w:rPr>
              <w:t xml:space="preserve"> </w:t>
            </w:r>
          </w:p>
        </w:tc>
        <w:tc>
          <w:tcPr>
            <w:tcW w:w="72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95.3</w:t>
            </w:r>
            <w:r>
              <w:rPr>
                <w:rFonts w:hint="default" w:ascii="Times New Roman" w:hAnsi="Times New Roman" w:eastAsia="宋体" w:cs="Times New Roman"/>
                <w:color w:val="auto"/>
                <w:kern w:val="0"/>
                <w:sz w:val="21"/>
                <w:szCs w:val="21"/>
                <w:highlight w:val="none"/>
                <w:lang w:val="en-US" w:eastAsia="zh-CN"/>
              </w:rPr>
              <w:t xml:space="preserve"> </w:t>
            </w:r>
          </w:p>
        </w:tc>
        <w:tc>
          <w:tcPr>
            <w:tcW w:w="72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w:t>
            </w:r>
          </w:p>
        </w:tc>
        <w:tc>
          <w:tcPr>
            <w:tcW w:w="727"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662"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颗粒物</w:t>
            </w:r>
          </w:p>
        </w:tc>
        <w:tc>
          <w:tcPr>
            <w:tcW w:w="662"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rPr>
            </w:pP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3.04</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0.58</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58</w:t>
            </w:r>
          </w:p>
        </w:tc>
        <w:tc>
          <w:tcPr>
            <w:tcW w:w="12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TW"/>
              </w:rPr>
              <w:t>耐高温过滤棉</w:t>
            </w:r>
            <w:r>
              <w:rPr>
                <w:rFonts w:hint="default" w:ascii="Times New Roman" w:hAnsi="Times New Roman" w:eastAsia="宋体" w:cs="Times New Roman"/>
                <w:color w:val="auto"/>
                <w:kern w:val="0"/>
                <w:sz w:val="21"/>
                <w:szCs w:val="21"/>
                <w:highlight w:val="none"/>
                <w:lang w:val="en-US" w:eastAsia="zh-CN"/>
              </w:rPr>
              <w:t>（处理效率80%）</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0.61</w:t>
            </w:r>
          </w:p>
        </w:tc>
        <w:tc>
          <w:tcPr>
            <w:tcW w:w="724"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0.11</w:t>
            </w:r>
          </w:p>
        </w:tc>
        <w:tc>
          <w:tcPr>
            <w:tcW w:w="72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w:t>
            </w:r>
          </w:p>
        </w:tc>
        <w:tc>
          <w:tcPr>
            <w:tcW w:w="72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p>
        </w:tc>
        <w:tc>
          <w:tcPr>
            <w:tcW w:w="72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662" w:type="dxa"/>
            <w:vAlign w:val="center"/>
          </w:tcPr>
          <w:p>
            <w:pPr>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NMHC</w:t>
            </w:r>
          </w:p>
        </w:tc>
        <w:tc>
          <w:tcPr>
            <w:tcW w:w="662"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CN"/>
              </w:rPr>
              <w:t>无</w:t>
            </w:r>
            <w:r>
              <w:rPr>
                <w:rFonts w:hint="default" w:ascii="Times New Roman" w:hAnsi="Times New Roman" w:eastAsia="宋体" w:cs="Times New Roman"/>
                <w:color w:val="auto"/>
                <w:kern w:val="0"/>
                <w:sz w:val="21"/>
                <w:szCs w:val="21"/>
                <w:highlight w:val="none"/>
                <w:lang w:eastAsia="zh-TW"/>
              </w:rPr>
              <w:t>组织</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w:t>
            </w:r>
          </w:p>
        </w:tc>
        <w:tc>
          <w:tcPr>
            <w:tcW w:w="723" w:type="dxa"/>
            <w:shd w:val="clear" w:color="auto" w:fill="auto"/>
            <w:vAlign w:val="center"/>
          </w:tcPr>
          <w:p>
            <w:pPr>
              <w:keepNext w:val="0"/>
              <w:keepLines w:val="0"/>
              <w:widowControl/>
              <w:suppressLineNumbers w:val="0"/>
              <w:shd w:val="clear"/>
              <w:jc w:val="right"/>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0.47 </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2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w:t>
            </w:r>
          </w:p>
        </w:tc>
        <w:tc>
          <w:tcPr>
            <w:tcW w:w="724" w:type="dxa"/>
            <w:shd w:val="clear" w:color="auto" w:fill="auto"/>
            <w:vAlign w:val="center"/>
          </w:tcPr>
          <w:p>
            <w:pPr>
              <w:keepNext w:val="0"/>
              <w:keepLines w:val="0"/>
              <w:widowControl/>
              <w:suppressLineNumbers w:val="0"/>
              <w:shd w:val="clear"/>
              <w:jc w:val="right"/>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0.47 </w:t>
            </w:r>
          </w:p>
        </w:tc>
        <w:tc>
          <w:tcPr>
            <w:tcW w:w="72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2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w:t>
            </w:r>
          </w:p>
        </w:tc>
        <w:tc>
          <w:tcPr>
            <w:tcW w:w="72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vMerge w:val="continue"/>
            <w:shd w:val="clear" w:color="auto" w:fill="auto"/>
            <w:vAlign w:val="center"/>
          </w:tcPr>
          <w:p>
            <w:pPr>
              <w:shd w:val="clear"/>
              <w:jc w:val="center"/>
              <w:rPr>
                <w:rFonts w:hint="default" w:ascii="Times New Roman" w:hAnsi="Times New Roman" w:eastAsia="宋体" w:cs="Times New Roman"/>
                <w:color w:val="auto"/>
                <w:kern w:val="0"/>
                <w:sz w:val="21"/>
                <w:szCs w:val="21"/>
                <w:highlight w:val="none"/>
              </w:rPr>
            </w:pPr>
          </w:p>
        </w:tc>
        <w:tc>
          <w:tcPr>
            <w:tcW w:w="662"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颗粒物</w:t>
            </w:r>
          </w:p>
        </w:tc>
        <w:tc>
          <w:tcPr>
            <w:tcW w:w="662"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0.76</w:t>
            </w:r>
          </w:p>
        </w:tc>
        <w:tc>
          <w:tcPr>
            <w:tcW w:w="723" w:type="dxa"/>
            <w:shd w:val="clear" w:color="auto" w:fill="auto"/>
            <w:vAlign w:val="center"/>
          </w:tcPr>
          <w:p>
            <w:pPr>
              <w:keepNext w:val="0"/>
              <w:keepLines w:val="0"/>
              <w:widowControl/>
              <w:suppressLineNumbers w:val="0"/>
              <w:shd w:val="clear"/>
              <w:jc w:val="right"/>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0.13</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22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封闭车间（处理效率60%）</w:t>
            </w:r>
          </w:p>
        </w:tc>
        <w:tc>
          <w:tcPr>
            <w:tcW w:w="72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0.30</w:t>
            </w:r>
          </w:p>
        </w:tc>
        <w:tc>
          <w:tcPr>
            <w:tcW w:w="724" w:type="dxa"/>
            <w:shd w:val="clear" w:color="auto" w:fill="auto"/>
            <w:vAlign w:val="center"/>
          </w:tcPr>
          <w:p>
            <w:pPr>
              <w:keepNext w:val="0"/>
              <w:keepLines w:val="0"/>
              <w:widowControl/>
              <w:suppressLineNumbers w:val="0"/>
              <w:shd w:val="clear"/>
              <w:jc w:val="right"/>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0.05</w:t>
            </w:r>
          </w:p>
        </w:tc>
        <w:tc>
          <w:tcPr>
            <w:tcW w:w="72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72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72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p>
        </w:tc>
      </w:tr>
      <w:bookmarkEnd w:id="152"/>
    </w:tbl>
    <w:p>
      <w:pPr>
        <w:pStyle w:val="7"/>
        <w:keepNext/>
        <w:keepLines/>
        <w:pageBreakBefore w:val="0"/>
        <w:widowControl w:val="0"/>
        <w:kinsoku/>
        <w:wordWrap/>
        <w:overflowPunct/>
        <w:topLinePunct w:val="0"/>
        <w:autoSpaceDE/>
        <w:autoSpaceDN/>
        <w:bidi w:val="0"/>
        <w:adjustRightInd/>
        <w:snapToGrid/>
        <w:spacing w:before="0" w:after="0" w:line="377" w:lineRule="auto"/>
        <w:textAlignment w:val="auto"/>
        <w:rPr>
          <w:rFonts w:hint="default" w:ascii="Times New Roman" w:hAnsi="Times New Roman" w:eastAsia="宋体" w:cs="Times New Roman"/>
          <w:color w:val="auto"/>
          <w:sz w:val="24"/>
          <w:szCs w:val="24"/>
        </w:rPr>
      </w:pPr>
      <w:bookmarkStart w:id="153" w:name="_Toc464475356"/>
      <w:r>
        <w:rPr>
          <w:rFonts w:hint="default" w:ascii="Times New Roman" w:hAnsi="Times New Roman" w:eastAsia="宋体" w:cs="Times New Roman"/>
          <w:color w:val="auto"/>
          <w:sz w:val="24"/>
          <w:szCs w:val="24"/>
        </w:rPr>
        <w:t>3.3.2.2废水</w:t>
      </w:r>
      <w:bookmarkEnd w:id="153"/>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生产废水</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本项目废水主要分为生产废水、生活废水</w:t>
      </w:r>
      <w:r>
        <w:rPr>
          <w:rFonts w:hint="default" w:ascii="Times New Roman" w:hAnsi="Times New Roman" w:eastAsia="宋体" w:cs="Times New Roman"/>
          <w:color w:val="auto"/>
          <w:sz w:val="24"/>
          <w:highlight w:val="none"/>
          <w:lang w:eastAsia="zh-CN"/>
        </w:rPr>
        <w:t>。</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生产废水主要是湿法破碎废水、清洗废水、甩干废水及冷却水，生产废水全部循环使用，不外排；生活废水主要是职工生活污水，生活污水</w:t>
      </w:r>
      <w:r>
        <w:rPr>
          <w:rFonts w:hint="default" w:ascii="Times New Roman" w:hAnsi="Times New Roman" w:eastAsia="宋体" w:cs="Times New Roman"/>
          <w:color w:val="auto"/>
          <w:sz w:val="24"/>
          <w:highlight w:val="none"/>
          <w:lang w:eastAsia="zh-CN"/>
        </w:rPr>
        <w:t>排入防渗化粪池内</w:t>
      </w:r>
      <w:r>
        <w:rPr>
          <w:rFonts w:hint="default" w:ascii="Times New Roman" w:hAnsi="Times New Roman" w:eastAsia="宋体" w:cs="Times New Roman"/>
          <w:color w:val="auto"/>
          <w:sz w:val="24"/>
          <w:highlight w:val="none"/>
          <w:lang w:val="en-US" w:eastAsia="zh-CN"/>
        </w:rPr>
        <w:t>，定期清掏</w:t>
      </w:r>
      <w:r>
        <w:rPr>
          <w:rFonts w:hint="default" w:ascii="Times New Roman" w:hAnsi="Times New Roman" w:eastAsia="宋体" w:cs="Times New Roman"/>
          <w:color w:val="auto"/>
          <w:sz w:val="24"/>
          <w:highlight w:val="none"/>
        </w:rPr>
        <w:t>，具体分析如下：</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1）湿法破碎废水（W1）</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w:t>
      </w:r>
      <w:r>
        <w:rPr>
          <w:rFonts w:hint="default" w:ascii="Times New Roman" w:hAnsi="Times New Roman" w:eastAsia="宋体" w:cs="Times New Roman"/>
          <w:color w:val="auto"/>
          <w:sz w:val="24"/>
          <w:highlight w:val="none"/>
        </w:rPr>
        <w:t>项目运营期造粒生产车间原料破碎</w:t>
      </w:r>
      <w:r>
        <w:rPr>
          <w:rFonts w:hint="default" w:ascii="Times New Roman" w:hAnsi="Times New Roman" w:eastAsia="宋体" w:cs="Times New Roman"/>
          <w:color w:val="auto"/>
          <w:sz w:val="24"/>
          <w:highlight w:val="none"/>
          <w:lang w:eastAsia="zh-CN"/>
        </w:rPr>
        <w:t>工序</w:t>
      </w:r>
      <w:r>
        <w:rPr>
          <w:rFonts w:hint="default" w:ascii="Times New Roman" w:hAnsi="Times New Roman" w:eastAsia="宋体" w:cs="Times New Roman"/>
          <w:color w:val="auto"/>
          <w:sz w:val="24"/>
          <w:highlight w:val="none"/>
        </w:rPr>
        <w:t>采用湿法破碎，破碎</w:t>
      </w:r>
      <w:r>
        <w:rPr>
          <w:rFonts w:hint="default" w:ascii="Times New Roman" w:hAnsi="Times New Roman" w:eastAsia="宋体" w:cs="Times New Roman"/>
          <w:color w:val="auto"/>
          <w:sz w:val="24"/>
          <w:highlight w:val="none"/>
          <w:lang w:eastAsia="zh-CN"/>
        </w:rPr>
        <w:t>颗粒物</w:t>
      </w:r>
      <w:r>
        <w:rPr>
          <w:rFonts w:hint="default" w:ascii="Times New Roman" w:hAnsi="Times New Roman" w:eastAsia="宋体" w:cs="Times New Roman"/>
          <w:color w:val="auto"/>
          <w:sz w:val="24"/>
          <w:highlight w:val="none"/>
        </w:rPr>
        <w:t>直接随湿法破碎废水进入造粒生产车间</w:t>
      </w:r>
      <w:r>
        <w:rPr>
          <w:rFonts w:hint="default" w:ascii="Times New Roman" w:hAnsi="Times New Roman" w:eastAsia="宋体" w:cs="Times New Roman"/>
          <w:color w:val="auto"/>
          <w:sz w:val="24"/>
          <w:highlight w:val="none"/>
          <w:lang w:eastAsia="zh-CN"/>
        </w:rPr>
        <w:t>西侧的三级沉淀池</w:t>
      </w:r>
      <w:r>
        <w:rPr>
          <w:rFonts w:hint="default" w:ascii="Times New Roman" w:hAnsi="Times New Roman" w:eastAsia="宋体" w:cs="Times New Roman"/>
          <w:color w:val="auto"/>
          <w:sz w:val="24"/>
          <w:highlight w:val="none"/>
        </w:rPr>
        <w:t>进行沉淀，破碎废水中污染物主要为SS，经</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沉淀后，上清液回用于湿法破碎用水和清洗用水、造粒冷却水，循环使用，不外排</w:t>
      </w:r>
      <w:r>
        <w:rPr>
          <w:rFonts w:hint="default" w:ascii="Times New Roman" w:hAnsi="Times New Roman" w:eastAsia="宋体" w:cs="Times New Roman"/>
          <w:color w:val="auto"/>
          <w:sz w:val="24"/>
          <w:highlight w:val="none"/>
        </w:rPr>
        <w:t>。</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（2）清洗废水（W2）</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清洗废水进入造粒生产车间西侧的</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进行沉淀，清洗废水中污染物主要为SS，经</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沉淀后，上清液回用于湿法破碎用水和清洗用水</w:t>
      </w:r>
      <w:r>
        <w:rPr>
          <w:rFonts w:hint="default" w:ascii="Times New Roman" w:hAnsi="Times New Roman" w:eastAsia="宋体" w:cs="Times New Roman"/>
          <w:color w:val="auto"/>
          <w:sz w:val="24"/>
          <w:highlight w:val="none"/>
        </w:rPr>
        <w:t>、造粒冷却水</w:t>
      </w:r>
      <w:r>
        <w:rPr>
          <w:rFonts w:hint="default" w:ascii="Times New Roman" w:hAnsi="Times New Roman" w:eastAsia="宋体" w:cs="Times New Roman"/>
          <w:color w:val="auto"/>
          <w:sz w:val="24"/>
          <w:highlight w:val="none"/>
        </w:rPr>
        <w:t>，循环使用，不外排。</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（3）甩干废水（W3）</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甩干过程中产生的废水进入</w:t>
      </w:r>
      <w:r>
        <w:rPr>
          <w:rFonts w:hint="default" w:ascii="Times New Roman" w:hAnsi="Times New Roman" w:eastAsia="宋体" w:cs="Times New Roman"/>
          <w:color w:val="auto"/>
          <w:sz w:val="24"/>
          <w:highlight w:val="none"/>
          <w:lang w:eastAsia="zh-CN"/>
        </w:rPr>
        <w:t>清洗机，最终进入</w:t>
      </w:r>
      <w:r>
        <w:rPr>
          <w:rFonts w:hint="default" w:ascii="Times New Roman" w:hAnsi="Times New Roman" w:eastAsia="宋体" w:cs="Times New Roman"/>
          <w:color w:val="auto"/>
          <w:sz w:val="24"/>
          <w:highlight w:val="none"/>
        </w:rPr>
        <w:t>造粒生产车间西侧的</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进行沉淀，经</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沉淀后，上清液回用于湿法破碎用水和清洗用水</w:t>
      </w:r>
      <w:r>
        <w:rPr>
          <w:rFonts w:hint="default" w:ascii="Times New Roman" w:hAnsi="Times New Roman" w:eastAsia="宋体" w:cs="Times New Roman"/>
          <w:color w:val="auto"/>
          <w:sz w:val="24"/>
          <w:highlight w:val="none"/>
        </w:rPr>
        <w:t>、造粒冷却水</w:t>
      </w:r>
      <w:r>
        <w:rPr>
          <w:rFonts w:hint="default" w:ascii="Times New Roman" w:hAnsi="Times New Roman" w:eastAsia="宋体" w:cs="Times New Roman"/>
          <w:color w:val="auto"/>
          <w:sz w:val="24"/>
          <w:highlight w:val="none"/>
        </w:rPr>
        <w:t>，循环使用，不外排</w:t>
      </w:r>
      <w:r>
        <w:rPr>
          <w:rFonts w:hint="default" w:ascii="Times New Roman" w:hAnsi="Times New Roman" w:eastAsia="宋体" w:cs="Times New Roman"/>
          <w:color w:val="auto"/>
          <w:sz w:val="24"/>
          <w:highlight w:val="none"/>
          <w:lang w:eastAsia="zh-CN"/>
        </w:rPr>
        <w:t>。</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eastAsia="zh-CN"/>
        </w:rPr>
        <w:t>冷却废水</w:t>
      </w:r>
      <w:r>
        <w:rPr>
          <w:rFonts w:hint="default" w:ascii="Times New Roman" w:hAnsi="Times New Roman" w:eastAsia="宋体" w:cs="Times New Roman"/>
          <w:color w:val="auto"/>
          <w:sz w:val="24"/>
          <w:highlight w:val="none"/>
        </w:rPr>
        <w:t>（W</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造粒生产车间</w:t>
      </w:r>
      <w:r>
        <w:rPr>
          <w:rFonts w:hint="default" w:ascii="Times New Roman" w:hAnsi="Times New Roman" w:eastAsia="宋体" w:cs="Times New Roman"/>
          <w:color w:val="auto"/>
          <w:sz w:val="24"/>
          <w:highlight w:val="none"/>
        </w:rPr>
        <w:t>冷却用水</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在塑料挤塑中需要对塑料进行冷却，该冷却废水的水质基本没有受到污染，仅水温升高；每条生产线中设置有冷却水槽，部分水因接触高温产品立即蒸发，以水蒸气的形式散发至空气中。造粒冷却水经三级沉淀池沉淀后，上清液回用于湿法破碎用水和清洗用水、造粒冷却水，循环使用，不外排</w:t>
      </w:r>
      <w:r>
        <w:rPr>
          <w:rFonts w:hint="default" w:ascii="Times New Roman" w:hAnsi="Times New Roman" w:eastAsia="宋体" w:cs="Times New Roman"/>
          <w:color w:val="auto"/>
          <w:sz w:val="24"/>
          <w:highlight w:val="none"/>
          <w:lang w:eastAsia="zh-CN"/>
        </w:rPr>
        <w:t>。</w:t>
      </w:r>
    </w:p>
    <w:p>
      <w:pPr>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塑料制品生产车间</w:t>
      </w:r>
      <w:r>
        <w:rPr>
          <w:rFonts w:hint="default" w:ascii="Times New Roman" w:hAnsi="Times New Roman" w:eastAsia="宋体" w:cs="Times New Roman"/>
          <w:color w:val="auto"/>
          <w:sz w:val="24"/>
          <w:highlight w:val="none"/>
        </w:rPr>
        <w:t>冷却用水</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在塑料挤塑中需要对塑料进行冷却，该冷却废水的水质基本没有受到污染，仅水温升高；每条生产线中设置有冷却水槽，部分水因接触高温产品立即蒸发，以水蒸气的形式散发至空气中。冷却水槽内废水收集于冷却水池，经风冷却塔冷却后，回用于冷却水槽内，循环使用，不外排</w:t>
      </w:r>
      <w:r>
        <w:rPr>
          <w:rFonts w:hint="default" w:ascii="Times New Roman" w:hAnsi="Times New Roman" w:eastAsia="宋体" w:cs="Times New Roman"/>
          <w:color w:val="auto"/>
          <w:sz w:val="24"/>
          <w:highlight w:val="none"/>
        </w:rPr>
        <w:t>。</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生活污水（W</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本项目劳动定员</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人，生活用水量为0.</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44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，生活污水按员工生活用水量的80%计算，产生量为0.4</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115.2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。废水主要污染物为COD：380mg/L、BOD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：180mg/L、NH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-N：25mg/L、SS：150mg/L，</w:t>
      </w:r>
      <w:r>
        <w:rPr>
          <w:rFonts w:hint="default" w:ascii="Times New Roman" w:hAnsi="Times New Roman" w:eastAsia="宋体" w:cs="Times New Roman"/>
          <w:color w:val="auto"/>
          <w:sz w:val="24"/>
          <w:highlight w:val="none"/>
          <w:lang w:eastAsia="zh-CN"/>
        </w:rPr>
        <w:t>生活污水排入防渗化粪池，定期清掏</w:t>
      </w:r>
      <w:r>
        <w:rPr>
          <w:rFonts w:hint="default" w:ascii="Times New Roman" w:hAnsi="Times New Roman" w:eastAsia="宋体" w:cs="Times New Roman"/>
          <w:color w:val="auto"/>
          <w:sz w:val="24"/>
          <w:highlight w:val="none"/>
        </w:rPr>
        <w:t>。</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产污情况</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本项目废水污染物产生及排放统计见表3.3-</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表3.3-</w:t>
      </w:r>
      <w:r>
        <w:rPr>
          <w:rFonts w:hint="default" w:ascii="Times New Roman" w:hAnsi="Times New Roman" w:eastAsia="宋体" w:cs="Times New Roman"/>
          <w:b/>
          <w:color w:val="auto"/>
          <w:sz w:val="24"/>
          <w:highlight w:val="none"/>
          <w:lang w:val="en-US" w:eastAsia="zh-CN"/>
        </w:rPr>
        <w:t xml:space="preserve">6  </w:t>
      </w:r>
      <w:r>
        <w:rPr>
          <w:rFonts w:hint="default" w:ascii="Times New Roman" w:hAnsi="Times New Roman" w:eastAsia="宋体" w:cs="Times New Roman"/>
          <w:b/>
          <w:color w:val="auto"/>
          <w:sz w:val="24"/>
          <w:highlight w:val="none"/>
        </w:rPr>
        <w:t xml:space="preserve"> 本项目废水污染物产生量统计一览表</w:t>
      </w:r>
    </w:p>
    <w:tbl>
      <w:tblPr>
        <w:tblStyle w:val="90"/>
        <w:tblW w:w="82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086"/>
        <w:gridCol w:w="1576"/>
        <w:gridCol w:w="1576"/>
        <w:gridCol w:w="1576"/>
        <w:gridCol w:w="144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0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污染源</w:t>
            </w:r>
          </w:p>
        </w:tc>
        <w:tc>
          <w:tcPr>
            <w:tcW w:w="1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 xml:space="preserve">COD </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mg/L</w:t>
            </w:r>
            <w:r>
              <w:rPr>
                <w:rFonts w:hint="default" w:ascii="Times New Roman" w:hAnsi="Times New Roman" w:eastAsia="宋体" w:cs="Times New Roman"/>
                <w:color w:val="auto"/>
                <w:kern w:val="0"/>
                <w:szCs w:val="21"/>
                <w:highlight w:val="none"/>
                <w:lang w:eastAsia="zh-CN"/>
              </w:rPr>
              <w:t>）</w:t>
            </w:r>
          </w:p>
        </w:tc>
        <w:tc>
          <w:tcPr>
            <w:tcW w:w="1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mg/L</w:t>
            </w:r>
            <w:r>
              <w:rPr>
                <w:rFonts w:hint="default" w:ascii="Times New Roman" w:hAnsi="Times New Roman" w:eastAsia="宋体" w:cs="Times New Roman"/>
                <w:color w:val="auto"/>
                <w:kern w:val="0"/>
                <w:szCs w:val="21"/>
                <w:highlight w:val="none"/>
                <w:lang w:eastAsia="zh-CN"/>
              </w:rPr>
              <w:t>）</w:t>
            </w:r>
          </w:p>
        </w:tc>
        <w:tc>
          <w:tcPr>
            <w:tcW w:w="1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 xml:space="preserve">SS </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mg/L</w:t>
            </w:r>
            <w:r>
              <w:rPr>
                <w:rFonts w:hint="default" w:ascii="Times New Roman" w:hAnsi="Times New Roman" w:eastAsia="宋体" w:cs="Times New Roman"/>
                <w:color w:val="auto"/>
                <w:kern w:val="0"/>
                <w:szCs w:val="21"/>
                <w:highlight w:val="none"/>
                <w:lang w:eastAsia="zh-CN"/>
              </w:rPr>
              <w:t>）</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mg/L</w:t>
            </w:r>
            <w:r>
              <w:rPr>
                <w:rFonts w:hint="default" w:ascii="Times New Roman" w:hAnsi="Times New Roman" w:eastAsia="宋体" w:cs="Times New Roman"/>
                <w:color w:val="auto"/>
                <w:kern w:val="0"/>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0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TW"/>
              </w:rPr>
              <w:t>生活污水</w:t>
            </w:r>
            <w:r>
              <w:rPr>
                <w:rFonts w:hint="default" w:ascii="Times New Roman" w:hAnsi="Times New Roman" w:eastAsia="宋体" w:cs="Times New Roman"/>
                <w:color w:val="auto"/>
                <w:kern w:val="0"/>
                <w:szCs w:val="21"/>
                <w:highlight w:val="none"/>
                <w:lang w:eastAsia="zh-CN"/>
              </w:rPr>
              <w:t>（115.2</w:t>
            </w:r>
            <w:r>
              <w:rPr>
                <w:rFonts w:hint="default" w:ascii="Times New Roman" w:hAnsi="Times New Roman" w:eastAsia="宋体" w:cs="Times New Roman"/>
                <w:color w:val="auto"/>
                <w:kern w:val="0"/>
                <w:szCs w:val="21"/>
                <w:highlight w:val="none"/>
                <w:lang w:eastAsia="zh-TW"/>
              </w:rPr>
              <w:t>m</w:t>
            </w:r>
            <w:r>
              <w:rPr>
                <w:rFonts w:hint="default" w:ascii="Times New Roman" w:hAnsi="Times New Roman" w:eastAsia="宋体" w:cs="Times New Roman"/>
                <w:color w:val="auto"/>
                <w:kern w:val="0"/>
                <w:szCs w:val="21"/>
                <w:highlight w:val="none"/>
                <w:vertAlign w:val="superscript"/>
                <w:lang w:eastAsia="zh-TW"/>
              </w:rPr>
              <w:t>3</w:t>
            </w:r>
            <w:r>
              <w:rPr>
                <w:rFonts w:hint="default" w:ascii="Times New Roman" w:hAnsi="Times New Roman" w:eastAsia="宋体" w:cs="Times New Roman"/>
                <w:color w:val="auto"/>
                <w:kern w:val="0"/>
                <w:szCs w:val="21"/>
                <w:highlight w:val="none"/>
                <w:lang w:eastAsia="zh-TW"/>
              </w:rPr>
              <w:t>/a</w:t>
            </w:r>
            <w:r>
              <w:rPr>
                <w:rFonts w:hint="default" w:ascii="Times New Roman" w:hAnsi="Times New Roman" w:eastAsia="宋体" w:cs="Times New Roman"/>
                <w:color w:val="auto"/>
                <w:kern w:val="0"/>
                <w:szCs w:val="21"/>
                <w:highlight w:val="none"/>
                <w:lang w:eastAsia="zh-CN"/>
              </w:rPr>
              <w:t>）</w:t>
            </w:r>
          </w:p>
        </w:tc>
        <w:tc>
          <w:tcPr>
            <w:tcW w:w="1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eastAsia="zh-TW"/>
              </w:rPr>
              <w:t>3</w:t>
            </w:r>
            <w:r>
              <w:rPr>
                <w:rFonts w:hint="default" w:ascii="Times New Roman" w:hAnsi="Times New Roman" w:eastAsia="宋体" w:cs="Times New Roman"/>
                <w:color w:val="auto"/>
                <w:kern w:val="0"/>
                <w:szCs w:val="21"/>
                <w:highlight w:val="none"/>
                <w:lang w:val="en-US" w:eastAsia="zh-CN"/>
              </w:rPr>
              <w:t>80</w:t>
            </w:r>
          </w:p>
        </w:tc>
        <w:tc>
          <w:tcPr>
            <w:tcW w:w="1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r>
              <w:rPr>
                <w:rFonts w:hint="default" w:ascii="Times New Roman" w:hAnsi="Times New Roman" w:eastAsia="宋体" w:cs="Times New Roman"/>
                <w:color w:val="auto"/>
                <w:kern w:val="0"/>
                <w:szCs w:val="21"/>
                <w:highlight w:val="none"/>
                <w:lang w:val="en-US" w:eastAsia="zh-CN"/>
              </w:rPr>
              <w:t>8</w:t>
            </w:r>
            <w:r>
              <w:rPr>
                <w:rFonts w:hint="default" w:ascii="Times New Roman" w:hAnsi="Times New Roman" w:eastAsia="宋体" w:cs="Times New Roman"/>
                <w:color w:val="auto"/>
                <w:kern w:val="0"/>
                <w:szCs w:val="21"/>
                <w:highlight w:val="none"/>
              </w:rPr>
              <w:t>0</w:t>
            </w:r>
          </w:p>
        </w:tc>
        <w:tc>
          <w:tcPr>
            <w:tcW w:w="1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150</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0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TW"/>
              </w:rPr>
              <w:t>污染物产生量（t/a</w:t>
            </w:r>
            <w:r>
              <w:rPr>
                <w:rFonts w:hint="default" w:ascii="Times New Roman" w:hAnsi="Times New Roman" w:eastAsia="宋体" w:cs="Times New Roman"/>
                <w:color w:val="auto"/>
                <w:kern w:val="0"/>
                <w:szCs w:val="21"/>
                <w:highlight w:val="none"/>
                <w:lang w:eastAsia="zh-CN"/>
              </w:rPr>
              <w:t>）</w:t>
            </w:r>
          </w:p>
        </w:tc>
        <w:tc>
          <w:tcPr>
            <w:tcW w:w="1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0.044</w:t>
            </w:r>
          </w:p>
        </w:tc>
        <w:tc>
          <w:tcPr>
            <w:tcW w:w="1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0.021</w:t>
            </w:r>
          </w:p>
        </w:tc>
        <w:tc>
          <w:tcPr>
            <w:tcW w:w="1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0.017</w:t>
            </w:r>
          </w:p>
        </w:tc>
        <w:tc>
          <w:tcPr>
            <w:tcW w:w="14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0.003</w:t>
            </w:r>
          </w:p>
        </w:tc>
      </w:tr>
    </w:tbl>
    <w:p>
      <w:pPr>
        <w:pStyle w:val="7"/>
        <w:keepNext/>
        <w:keepLines/>
        <w:pageBreakBefore w:val="0"/>
        <w:widowControl w:val="0"/>
        <w:kinsoku/>
        <w:wordWrap/>
        <w:overflowPunct/>
        <w:topLinePunct w:val="0"/>
        <w:autoSpaceDE/>
        <w:autoSpaceDN/>
        <w:bidi w:val="0"/>
        <w:adjustRightInd/>
        <w:snapToGrid/>
        <w:spacing w:before="0" w:after="0" w:line="377" w:lineRule="auto"/>
        <w:textAlignment w:val="auto"/>
        <w:rPr>
          <w:rFonts w:hint="default" w:ascii="Times New Roman" w:hAnsi="Times New Roman" w:eastAsia="宋体" w:cs="Times New Roman"/>
          <w:color w:val="auto"/>
          <w:sz w:val="24"/>
          <w:szCs w:val="24"/>
        </w:rPr>
      </w:pPr>
      <w:bookmarkStart w:id="154" w:name="_Toc464475357"/>
      <w:r>
        <w:rPr>
          <w:rFonts w:hint="default" w:ascii="Times New Roman" w:hAnsi="Times New Roman" w:eastAsia="宋体" w:cs="Times New Roman"/>
          <w:color w:val="auto"/>
          <w:sz w:val="24"/>
          <w:szCs w:val="24"/>
        </w:rPr>
        <w:t>3.3.2.3 运营期噪声</w:t>
      </w:r>
      <w:bookmarkEnd w:id="154"/>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本项目噪声主要来源于各类生产设备的运行，破碎机、甩干机、</w:t>
      </w:r>
      <w:r>
        <w:rPr>
          <w:rFonts w:hint="default" w:ascii="Times New Roman" w:hAnsi="Times New Roman" w:eastAsia="宋体" w:cs="Times New Roman"/>
          <w:color w:val="auto"/>
          <w:sz w:val="24"/>
          <w:highlight w:val="none"/>
          <w:lang w:eastAsia="zh-CN"/>
        </w:rPr>
        <w:t>切粒机</w:t>
      </w:r>
      <w:r>
        <w:rPr>
          <w:rFonts w:hint="default" w:ascii="Times New Roman" w:hAnsi="Times New Roman" w:eastAsia="宋体" w:cs="Times New Roman"/>
          <w:color w:val="auto"/>
          <w:sz w:val="24"/>
          <w:highlight w:val="none"/>
        </w:rPr>
        <w:t>、引风机、上料机、挤出机、牵引机、收卷机等生产设备运行噪声，声压级在55~</w:t>
      </w:r>
      <w:r>
        <w:rPr>
          <w:rFonts w:hint="default" w:ascii="Times New Roman" w:hAnsi="Times New Roman" w:eastAsia="宋体" w:cs="Times New Roman"/>
          <w:color w:val="auto"/>
          <w:sz w:val="24"/>
          <w:highlight w:val="none"/>
          <w:lang w:val="en-US" w:eastAsia="zh-CN"/>
        </w:rPr>
        <w:t>90</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之间。</w:t>
      </w:r>
    </w:p>
    <w:p>
      <w:pPr>
        <w:shd w:val="clear"/>
        <w:tabs>
          <w:tab w:val="left" w:pos="360"/>
        </w:tabs>
        <w:autoSpaceDE w:val="0"/>
        <w:autoSpaceDN w:val="0"/>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项目主要的高噪声设备及源强情况见表3.3-</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表3.3-</w:t>
      </w:r>
      <w:r>
        <w:rPr>
          <w:rFonts w:hint="default" w:ascii="Times New Roman" w:hAnsi="Times New Roman" w:eastAsia="宋体" w:cs="Times New Roman"/>
          <w:b/>
          <w:color w:val="auto"/>
          <w:sz w:val="24"/>
          <w:highlight w:val="none"/>
          <w:lang w:val="en-US" w:eastAsia="zh-CN"/>
        </w:rPr>
        <w:t xml:space="preserve">7   </w:t>
      </w:r>
      <w:r>
        <w:rPr>
          <w:rFonts w:hint="default" w:ascii="Times New Roman" w:hAnsi="Times New Roman" w:eastAsia="宋体" w:cs="Times New Roman"/>
          <w:b/>
          <w:color w:val="auto"/>
          <w:sz w:val="24"/>
          <w:highlight w:val="none"/>
        </w:rPr>
        <w:t xml:space="preserve"> 项目主要高噪声设备及源强</w:t>
      </w:r>
    </w:p>
    <w:p>
      <w:pPr>
        <w:shd w:val="clear"/>
        <w:autoSpaceDE w:val="0"/>
        <w:autoSpaceDN w:val="0"/>
        <w:adjustRightInd w:val="0"/>
        <w:spacing w:before="2" w:line="40" w:lineRule="exact"/>
        <w:jc w:val="left"/>
        <w:rPr>
          <w:rFonts w:hint="default" w:ascii="Times New Roman" w:hAnsi="Times New Roman" w:eastAsia="宋体" w:cs="Times New Roman"/>
          <w:color w:val="auto"/>
          <w:kern w:val="0"/>
          <w:sz w:val="4"/>
          <w:szCs w:val="4"/>
          <w:highlight w:val="none"/>
        </w:rPr>
      </w:pPr>
    </w:p>
    <w:tbl>
      <w:tblPr>
        <w:tblStyle w:val="90"/>
        <w:tblW w:w="8260" w:type="dxa"/>
        <w:jc w:val="center"/>
        <w:tblLayout w:type="fixed"/>
        <w:tblCellMar>
          <w:top w:w="0" w:type="dxa"/>
          <w:left w:w="108" w:type="dxa"/>
          <w:bottom w:w="0" w:type="dxa"/>
          <w:right w:w="108" w:type="dxa"/>
        </w:tblCellMar>
      </w:tblPr>
      <w:tblGrid>
        <w:gridCol w:w="1685"/>
        <w:gridCol w:w="1442"/>
        <w:gridCol w:w="3565"/>
        <w:gridCol w:w="1568"/>
      </w:tblGrid>
      <w:tr>
        <w:tblPrEx>
          <w:tblCellMar>
            <w:top w:w="0" w:type="dxa"/>
            <w:left w:w="108" w:type="dxa"/>
            <w:bottom w:w="0" w:type="dxa"/>
            <w:right w:w="108" w:type="dxa"/>
          </w:tblCellMar>
        </w:tblPrEx>
        <w:trPr>
          <w:trHeight w:val="340" w:hRule="atLeast"/>
          <w:jc w:val="center"/>
        </w:trPr>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噪声设备名称</w:t>
            </w:r>
          </w:p>
        </w:tc>
        <w:tc>
          <w:tcPr>
            <w:tcW w:w="1442"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噪声源强Db</w:t>
            </w:r>
          </w:p>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（A）</w:t>
            </w:r>
          </w:p>
        </w:tc>
        <w:tc>
          <w:tcPr>
            <w:tcW w:w="3565"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防治措施</w:t>
            </w:r>
          </w:p>
        </w:tc>
        <w:tc>
          <w:tcPr>
            <w:tcW w:w="1568"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治理后车间外声级值dB（A）</w:t>
            </w:r>
          </w:p>
        </w:tc>
      </w:tr>
      <w:tr>
        <w:tblPrEx>
          <w:tblCellMar>
            <w:top w:w="0" w:type="dxa"/>
            <w:left w:w="108" w:type="dxa"/>
            <w:bottom w:w="0" w:type="dxa"/>
            <w:right w:w="108" w:type="dxa"/>
          </w:tblCellMar>
        </w:tblPrEx>
        <w:trPr>
          <w:trHeight w:val="340" w:hRule="atLeast"/>
          <w:jc w:val="center"/>
        </w:trPr>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破碎机</w:t>
            </w:r>
          </w:p>
        </w:tc>
        <w:tc>
          <w:tcPr>
            <w:tcW w:w="1442"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65～90</w:t>
            </w:r>
          </w:p>
        </w:tc>
        <w:tc>
          <w:tcPr>
            <w:tcW w:w="3565"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选用密闭性好的优质低噪声设备，设置在车间内部，隔声处理</w:t>
            </w:r>
          </w:p>
        </w:tc>
        <w:tc>
          <w:tcPr>
            <w:tcW w:w="1568"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35～60</w:t>
            </w:r>
          </w:p>
        </w:tc>
      </w:tr>
      <w:tr>
        <w:tblPrEx>
          <w:tblCellMar>
            <w:top w:w="0" w:type="dxa"/>
            <w:left w:w="108" w:type="dxa"/>
            <w:bottom w:w="0" w:type="dxa"/>
            <w:right w:w="108" w:type="dxa"/>
          </w:tblCellMar>
        </w:tblPrEx>
        <w:trPr>
          <w:trHeight w:val="340" w:hRule="atLeast"/>
          <w:jc w:val="center"/>
        </w:trPr>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甩干机</w:t>
            </w:r>
          </w:p>
        </w:tc>
        <w:tc>
          <w:tcPr>
            <w:tcW w:w="1442"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60～85</w:t>
            </w:r>
          </w:p>
        </w:tc>
        <w:tc>
          <w:tcPr>
            <w:tcW w:w="3565"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选用优质低噪声设备，全部设置在车间内部，通过车间隔声处理</w:t>
            </w:r>
          </w:p>
        </w:tc>
        <w:tc>
          <w:tcPr>
            <w:tcW w:w="1568"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30～55</w:t>
            </w:r>
          </w:p>
        </w:tc>
      </w:tr>
      <w:tr>
        <w:tblPrEx>
          <w:tblCellMar>
            <w:top w:w="0" w:type="dxa"/>
            <w:left w:w="108" w:type="dxa"/>
            <w:bottom w:w="0" w:type="dxa"/>
            <w:right w:w="108" w:type="dxa"/>
          </w:tblCellMar>
        </w:tblPrEx>
        <w:trPr>
          <w:trHeight w:val="340" w:hRule="atLeast"/>
          <w:jc w:val="center"/>
        </w:trPr>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切粒机</w:t>
            </w:r>
          </w:p>
        </w:tc>
        <w:tc>
          <w:tcPr>
            <w:tcW w:w="1442"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60～85</w:t>
            </w:r>
          </w:p>
        </w:tc>
        <w:tc>
          <w:tcPr>
            <w:tcW w:w="3565"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选用优质低噪声设备，全部设置在车间内部，通过车间隔声处理</w:t>
            </w:r>
          </w:p>
        </w:tc>
        <w:tc>
          <w:tcPr>
            <w:tcW w:w="1568"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30～55</w:t>
            </w:r>
          </w:p>
        </w:tc>
      </w:tr>
      <w:tr>
        <w:tblPrEx>
          <w:tblCellMar>
            <w:top w:w="0" w:type="dxa"/>
            <w:left w:w="108" w:type="dxa"/>
            <w:bottom w:w="0" w:type="dxa"/>
            <w:right w:w="108" w:type="dxa"/>
          </w:tblCellMar>
        </w:tblPrEx>
        <w:trPr>
          <w:trHeight w:val="340" w:hRule="atLeast"/>
          <w:jc w:val="center"/>
        </w:trPr>
        <w:tc>
          <w:tcPr>
            <w:tcW w:w="1685"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引风机</w:t>
            </w:r>
          </w:p>
        </w:tc>
        <w:tc>
          <w:tcPr>
            <w:tcW w:w="1442"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55～85</w:t>
            </w:r>
          </w:p>
        </w:tc>
        <w:tc>
          <w:tcPr>
            <w:tcW w:w="356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选用优质低噪声设备，加设空气消声器</w:t>
            </w:r>
          </w:p>
        </w:tc>
        <w:tc>
          <w:tcPr>
            <w:tcW w:w="1568"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25～55</w:t>
            </w:r>
          </w:p>
        </w:tc>
      </w:tr>
      <w:tr>
        <w:tblPrEx>
          <w:tblCellMar>
            <w:top w:w="0" w:type="dxa"/>
            <w:left w:w="108" w:type="dxa"/>
            <w:bottom w:w="0" w:type="dxa"/>
            <w:right w:w="108" w:type="dxa"/>
          </w:tblCellMar>
        </w:tblPrEx>
        <w:trPr>
          <w:trHeight w:val="340" w:hRule="atLeast"/>
          <w:jc w:val="center"/>
        </w:trPr>
        <w:tc>
          <w:tcPr>
            <w:tcW w:w="1685"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上料机、挤出机、牵引机、收卷机</w:t>
            </w:r>
          </w:p>
        </w:tc>
        <w:tc>
          <w:tcPr>
            <w:tcW w:w="1442"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55～80</w:t>
            </w:r>
          </w:p>
        </w:tc>
        <w:tc>
          <w:tcPr>
            <w:tcW w:w="3565"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选用优质低噪声设备，全部设置在车间内部，通过车间隔声处理</w:t>
            </w:r>
          </w:p>
        </w:tc>
        <w:tc>
          <w:tcPr>
            <w:tcW w:w="1568"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25～50</w:t>
            </w:r>
          </w:p>
        </w:tc>
      </w:tr>
    </w:tbl>
    <w:p>
      <w:pPr>
        <w:pStyle w:val="7"/>
        <w:keepNext/>
        <w:keepLines/>
        <w:pageBreakBefore w:val="0"/>
        <w:widowControl w:val="0"/>
        <w:kinsoku/>
        <w:wordWrap/>
        <w:overflowPunct/>
        <w:topLinePunct w:val="0"/>
        <w:autoSpaceDE/>
        <w:autoSpaceDN/>
        <w:bidi w:val="0"/>
        <w:adjustRightInd/>
        <w:snapToGrid/>
        <w:spacing w:before="0" w:after="0" w:line="377" w:lineRule="auto"/>
        <w:textAlignment w:val="auto"/>
        <w:rPr>
          <w:rFonts w:hint="default" w:ascii="Times New Roman" w:hAnsi="Times New Roman" w:eastAsia="宋体" w:cs="Times New Roman"/>
          <w:color w:val="auto"/>
          <w:sz w:val="24"/>
          <w:szCs w:val="24"/>
        </w:rPr>
      </w:pPr>
      <w:bookmarkStart w:id="155" w:name="_Toc464475358"/>
      <w:r>
        <w:rPr>
          <w:rFonts w:hint="default" w:ascii="Times New Roman" w:hAnsi="Times New Roman" w:eastAsia="宋体" w:cs="Times New Roman"/>
          <w:color w:val="auto"/>
          <w:sz w:val="24"/>
          <w:szCs w:val="24"/>
        </w:rPr>
        <w:t>3.3.2.4 运营期固废</w:t>
      </w:r>
      <w:bookmarkEnd w:id="155"/>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bookmarkStart w:id="156" w:name="_Toc353361665"/>
      <w:bookmarkStart w:id="157" w:name="_Toc464475359"/>
      <w:r>
        <w:rPr>
          <w:rFonts w:hint="default" w:ascii="Times New Roman" w:hAnsi="Times New Roman" w:eastAsia="宋体" w:cs="Times New Roman"/>
          <w:color w:val="auto"/>
          <w:sz w:val="24"/>
          <w:highlight w:val="none"/>
        </w:rPr>
        <w:t>本项目产生的固体废物主要有分拣废物、</w:t>
      </w:r>
      <w:r>
        <w:rPr>
          <w:rFonts w:hint="default" w:ascii="Times New Roman" w:hAnsi="Times New Roman" w:eastAsia="宋体" w:cs="Times New Roman"/>
          <w:color w:val="auto"/>
          <w:sz w:val="24"/>
          <w:highlight w:val="none"/>
          <w:lang w:eastAsia="zh-CN"/>
        </w:rPr>
        <w:t>三级沉淀池沉渣</w:t>
      </w:r>
      <w:r>
        <w:rPr>
          <w:rFonts w:hint="default" w:ascii="Times New Roman" w:hAnsi="Times New Roman" w:eastAsia="宋体" w:cs="Times New Roman"/>
          <w:color w:val="auto"/>
          <w:sz w:val="24"/>
          <w:highlight w:val="none"/>
        </w:rPr>
        <w:t>、废滤网</w:t>
      </w:r>
      <w:r>
        <w:rPr>
          <w:rFonts w:hint="default" w:ascii="Times New Roman" w:hAnsi="Times New Roman" w:eastAsia="宋体" w:cs="Times New Roman"/>
          <w:color w:val="auto"/>
          <w:sz w:val="24"/>
          <w:highlight w:val="none"/>
          <w:lang w:eastAsia="zh-CN"/>
        </w:rPr>
        <w:t>、混料工序收集的颗粒物、</w:t>
      </w:r>
      <w:r>
        <w:rPr>
          <w:rFonts w:hint="default" w:ascii="Times New Roman" w:hAnsi="Times New Roman" w:eastAsia="宋体" w:cs="Times New Roman"/>
          <w:color w:val="auto"/>
          <w:sz w:val="24"/>
          <w:highlight w:val="none"/>
        </w:rPr>
        <w:t>废</w:t>
      </w:r>
      <w:r>
        <w:rPr>
          <w:rFonts w:hint="default" w:ascii="Times New Roman" w:hAnsi="Times New Roman" w:eastAsia="宋体" w:cs="Times New Roman"/>
          <w:color w:val="auto"/>
          <w:sz w:val="24"/>
          <w:highlight w:val="none"/>
          <w:lang w:eastAsia="zh-CN"/>
        </w:rPr>
        <w:t>耐高温过滤棉</w:t>
      </w:r>
      <w:r>
        <w:rPr>
          <w:rFonts w:hint="eastAsia" w:cs="Times New Roman"/>
          <w:color w:val="auto"/>
          <w:sz w:val="24"/>
          <w:highlight w:val="none"/>
          <w:lang w:eastAsia="zh-CN"/>
        </w:rPr>
        <w:t>、</w:t>
      </w:r>
      <w:r>
        <w:rPr>
          <w:rFonts w:hint="eastAsia" w:cs="Times New Roman"/>
          <w:color w:val="auto"/>
          <w:sz w:val="24"/>
          <w:highlight w:val="none"/>
          <w:lang w:eastAsia="zh-CN"/>
        </w:rPr>
        <w:t>废灯管</w:t>
      </w:r>
      <w:r>
        <w:rPr>
          <w:rFonts w:hint="default" w:ascii="Times New Roman" w:hAnsi="Times New Roman" w:eastAsia="宋体" w:cs="Times New Roman"/>
          <w:color w:val="auto"/>
          <w:sz w:val="24"/>
          <w:highlight w:val="none"/>
        </w:rPr>
        <w:t>及废活性炭。</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（1）分拣废物（S1）</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本项目在回收企业点进行第一次分拣，分拣废物产生量为</w:t>
      </w:r>
      <w:r>
        <w:rPr>
          <w:rFonts w:hint="default" w:ascii="Times New Roman" w:hAnsi="Times New Roman" w:eastAsia="宋体" w:cs="Times New Roman"/>
          <w:color w:val="auto"/>
          <w:sz w:val="24"/>
          <w:highlight w:val="none"/>
          <w:lang w:val="en-US" w:eastAsia="zh-CN"/>
        </w:rPr>
        <w:t>103.778</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主要成分为泥土、杂草、石头等。</w:t>
      </w:r>
      <w:r>
        <w:rPr>
          <w:rFonts w:hint="default" w:ascii="Times New Roman" w:hAnsi="Times New Roman" w:eastAsia="宋体" w:cs="Times New Roman"/>
          <w:color w:val="auto"/>
          <w:sz w:val="24"/>
          <w:highlight w:val="none"/>
        </w:rPr>
        <w:t>属于一般工业固废。</w:t>
      </w:r>
      <w:r>
        <w:rPr>
          <w:rFonts w:hint="default" w:ascii="Times New Roman" w:hAnsi="Times New Roman" w:eastAsia="宋体" w:cs="Times New Roman"/>
          <w:color w:val="auto"/>
          <w:sz w:val="24"/>
          <w:highlight w:val="none"/>
          <w:lang w:eastAsia="zh-CN"/>
        </w:rPr>
        <w:t>原材料库</w:t>
      </w:r>
      <w:r>
        <w:rPr>
          <w:rFonts w:hint="default" w:ascii="Times New Roman" w:hAnsi="Times New Roman" w:eastAsia="宋体" w:cs="Times New Roman"/>
          <w:color w:val="auto"/>
          <w:sz w:val="24"/>
          <w:highlight w:val="none"/>
        </w:rPr>
        <w:t>内设一般固废暂存间，分拣废物暂存于</w:t>
      </w:r>
      <w:r>
        <w:rPr>
          <w:rFonts w:hint="default" w:ascii="Times New Roman" w:hAnsi="Times New Roman" w:eastAsia="宋体" w:cs="Times New Roman"/>
          <w:color w:val="auto"/>
          <w:sz w:val="24"/>
          <w:highlight w:val="none"/>
          <w:lang w:eastAsia="zh-CN"/>
        </w:rPr>
        <w:t>一般固废暂存间</w:t>
      </w:r>
      <w:r>
        <w:rPr>
          <w:rFonts w:hint="default" w:ascii="Times New Roman" w:hAnsi="Times New Roman" w:eastAsia="宋体" w:cs="Times New Roman"/>
          <w:color w:val="auto"/>
          <w:sz w:val="24"/>
          <w:highlight w:val="none"/>
        </w:rPr>
        <w:t>内，</w:t>
      </w:r>
      <w:r>
        <w:rPr>
          <w:rFonts w:hint="default" w:ascii="Times New Roman" w:hAnsi="Times New Roman" w:eastAsia="宋体" w:cs="Times New Roman"/>
          <w:color w:val="auto"/>
          <w:sz w:val="24"/>
          <w:highlight w:val="none"/>
          <w:lang w:eastAsia="zh-CN"/>
        </w:rPr>
        <w:t>交由当地环卫部门清运，统一处置</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废塑料回收与再生利用污染控制技术规范（试行）》（HJ/T364-2007），“废塑料在预处理、再生利用过程中产生的固体废物，包括分选出的不宜再生利用的废塑料按工业固体废物处置”，本项目使用的废塑料成分为PE，不含卤素，不回收工程塑料；不回收危险废物废旧塑料，包括被危险化学品、农药等污染的废弃塑料包装物；废弃的一次性医疗用塑料制品（如输液器、血袋）；盛装农药、废染料、强酸、强碱的废塑料等。故预处理、再生利用过程中产生的固体废物，包括分选出的不宜再生利用的废塑料</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eastAsia="zh-CN"/>
        </w:rPr>
        <w:t>三级沉淀池沉渣</w:t>
      </w:r>
      <w:r>
        <w:rPr>
          <w:rFonts w:hint="default" w:ascii="Times New Roman" w:hAnsi="Times New Roman" w:eastAsia="宋体" w:cs="Times New Roman"/>
          <w:color w:val="auto"/>
          <w:sz w:val="24"/>
          <w:highlight w:val="none"/>
        </w:rPr>
        <w:t>（S2）</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本项目湿法破碎及原料清洗过程中会产生一定量的废渣，废渣主要以</w:t>
      </w:r>
      <w:r>
        <w:rPr>
          <w:rFonts w:hint="default" w:ascii="Times New Roman" w:hAnsi="Times New Roman" w:eastAsia="宋体" w:cs="Times New Roman"/>
          <w:color w:val="auto"/>
          <w:sz w:val="24"/>
          <w:highlight w:val="none"/>
          <w:lang w:eastAsia="zh-CN"/>
        </w:rPr>
        <w:t>泥土和原料破碎产生的碎屑</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根据《排放源统计调查产排污核算方法和系数手册》（公告2021年第24号）--42废弃资源综合利用行业系数手册--4220 非金属废料和碎屑加工处理行业系数表</w:t>
      </w:r>
      <w:r>
        <w:rPr>
          <w:rFonts w:hint="default" w:ascii="Times New Roman" w:hAnsi="Times New Roman" w:eastAsia="宋体" w:cs="Times New Roman"/>
          <w:color w:val="auto"/>
          <w:sz w:val="24"/>
          <w:highlight w:val="none"/>
          <w:lang w:val="en-US" w:eastAsia="zh-CN"/>
        </w:rPr>
        <w:t>中湿法破碎+清洗过程中一般固体废物产污系数为8.3kg/t-原料，本项目废滴灌带、水带、地膜及棚膜消耗量约9000t/a，则</w:t>
      </w:r>
      <w:r>
        <w:rPr>
          <w:rFonts w:hint="default" w:ascii="Times New Roman" w:hAnsi="Times New Roman" w:eastAsia="宋体" w:cs="Times New Roman"/>
          <w:color w:val="auto"/>
          <w:sz w:val="24"/>
          <w:highlight w:val="none"/>
        </w:rPr>
        <w:t>湿法破碎及原料清洗过程废渣</w:t>
      </w:r>
      <w:r>
        <w:rPr>
          <w:rFonts w:hint="default" w:ascii="Times New Roman" w:hAnsi="Times New Roman" w:eastAsia="宋体" w:cs="Times New Roman"/>
          <w:color w:val="auto"/>
          <w:sz w:val="24"/>
          <w:highlight w:val="none"/>
          <w:lang w:eastAsia="zh-CN"/>
        </w:rPr>
        <w:t>产生量为</w:t>
      </w:r>
      <w:r>
        <w:rPr>
          <w:rFonts w:hint="default" w:ascii="Times New Roman" w:hAnsi="Times New Roman" w:eastAsia="宋体" w:cs="Times New Roman"/>
          <w:color w:val="auto"/>
          <w:sz w:val="24"/>
          <w:highlight w:val="none"/>
          <w:lang w:val="en-US" w:eastAsia="zh-CN"/>
        </w:rPr>
        <w:t>74.7</w:t>
      </w:r>
      <w:r>
        <w:rPr>
          <w:rFonts w:hint="default" w:ascii="Times New Roman" w:hAnsi="Times New Roman" w:eastAsia="宋体" w:cs="Times New Roman"/>
          <w:color w:val="auto"/>
          <w:sz w:val="24"/>
          <w:highlight w:val="none"/>
        </w:rPr>
        <w:t>t/a。根据《废塑料回收与再生利用污染控制技术规范（试行）》规定，本项目</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产生的</w:t>
      </w:r>
      <w:r>
        <w:rPr>
          <w:rFonts w:hint="default" w:ascii="Times New Roman" w:hAnsi="Times New Roman" w:eastAsia="宋体" w:cs="Times New Roman"/>
          <w:color w:val="auto"/>
          <w:sz w:val="24"/>
          <w:highlight w:val="none"/>
          <w:lang w:eastAsia="zh-CN"/>
        </w:rPr>
        <w:t>沉渣</w:t>
      </w:r>
      <w:r>
        <w:rPr>
          <w:rFonts w:hint="default" w:ascii="Times New Roman" w:hAnsi="Times New Roman" w:eastAsia="宋体" w:cs="Times New Roman"/>
          <w:color w:val="auto"/>
          <w:sz w:val="24"/>
          <w:highlight w:val="none"/>
        </w:rPr>
        <w:t>主要成分为悬浮物，不属于危险废物，属于一般工业固废</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湿法破碎及原料清洗过程</w:t>
      </w:r>
      <w:r>
        <w:rPr>
          <w:rFonts w:hint="default" w:ascii="Times New Roman" w:hAnsi="Times New Roman" w:eastAsia="宋体" w:cs="Times New Roman"/>
          <w:color w:val="auto"/>
          <w:sz w:val="24"/>
          <w:highlight w:val="none"/>
          <w:lang w:eastAsia="zh-CN"/>
        </w:rPr>
        <w:t>产生的</w:t>
      </w:r>
      <w:r>
        <w:rPr>
          <w:rFonts w:hint="default" w:ascii="Times New Roman" w:hAnsi="Times New Roman" w:eastAsia="宋体" w:cs="Times New Roman"/>
          <w:color w:val="auto"/>
          <w:sz w:val="24"/>
          <w:highlight w:val="none"/>
        </w:rPr>
        <w:t>废渣最终进入</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成为</w:t>
      </w:r>
      <w:r>
        <w:rPr>
          <w:rFonts w:hint="default" w:ascii="Times New Roman" w:hAnsi="Times New Roman" w:eastAsia="宋体" w:cs="Times New Roman"/>
          <w:color w:val="auto"/>
          <w:sz w:val="24"/>
          <w:highlight w:val="none"/>
          <w:lang w:eastAsia="zh-CN"/>
        </w:rPr>
        <w:t>沉渣，沉渣定期</w:t>
      </w:r>
      <w:r>
        <w:rPr>
          <w:rFonts w:hint="default" w:ascii="Times New Roman" w:hAnsi="Times New Roman" w:eastAsia="宋体" w:cs="Times New Roman"/>
          <w:color w:val="auto"/>
          <w:sz w:val="24"/>
          <w:highlight w:val="none"/>
        </w:rPr>
        <w:t>清掏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暂存于</w:t>
      </w:r>
      <w:r>
        <w:rPr>
          <w:rFonts w:hint="default" w:ascii="Times New Roman" w:hAnsi="Times New Roman" w:eastAsia="宋体" w:cs="Times New Roman"/>
          <w:color w:val="auto"/>
          <w:sz w:val="24"/>
          <w:highlight w:val="none"/>
          <w:lang w:eastAsia="zh-CN"/>
        </w:rPr>
        <w:t>一般固废暂存间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交由当地环卫部门清运，统一处置</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eastAsia="zh-CN"/>
        </w:rPr>
        <w:t>三级沉淀池沉渣</w:t>
      </w:r>
      <w:r>
        <w:rPr>
          <w:rFonts w:hint="default" w:ascii="Times New Roman" w:hAnsi="Times New Roman" w:eastAsia="宋体" w:cs="Times New Roman"/>
          <w:color w:val="auto"/>
          <w:sz w:val="24"/>
          <w:highlight w:val="none"/>
        </w:rPr>
        <w:t>主要</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eastAsia="zh-CN"/>
        </w:rPr>
        <w:t>泥土和原料碎屑</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属于无毒无害物质，与日常生活中产生</w:t>
      </w:r>
      <w:r>
        <w:rPr>
          <w:rFonts w:hint="default" w:ascii="Times New Roman" w:hAnsi="Times New Roman" w:eastAsia="宋体" w:cs="Times New Roman"/>
          <w:color w:val="auto"/>
          <w:sz w:val="24"/>
          <w:highlight w:val="none"/>
          <w:lang w:eastAsia="zh-CN"/>
        </w:rPr>
        <w:t>泥土和</w:t>
      </w:r>
      <w:r>
        <w:rPr>
          <w:rFonts w:hint="default" w:ascii="Times New Roman" w:hAnsi="Times New Roman" w:eastAsia="宋体" w:cs="Times New Roman"/>
          <w:color w:val="auto"/>
          <w:sz w:val="24"/>
          <w:highlight w:val="none"/>
          <w:lang w:val="en-US" w:eastAsia="zh-CN"/>
        </w:rPr>
        <w:t>废塑料成分相同，因此，可依托</w:t>
      </w:r>
      <w:r>
        <w:rPr>
          <w:rFonts w:hint="default" w:ascii="Times New Roman" w:hAnsi="Times New Roman" w:eastAsia="宋体" w:cs="Times New Roman"/>
          <w:color w:val="auto"/>
          <w:sz w:val="24"/>
          <w:highlight w:val="none"/>
          <w:lang w:eastAsia="zh-CN"/>
        </w:rPr>
        <w:t>当地环卫部门清运，统一处置。</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（3）废滤网（S3）</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塑料熔融过程中，螺杆出口</w:t>
      </w:r>
      <w:r>
        <w:rPr>
          <w:rFonts w:hint="default" w:ascii="Times New Roman" w:hAnsi="Times New Roman" w:eastAsia="宋体" w:cs="Times New Roman"/>
          <w:color w:val="auto"/>
          <w:sz w:val="24"/>
          <w:highlight w:val="none"/>
          <w:lang w:val="en-US" w:eastAsia="zh-CN"/>
        </w:rPr>
        <w:t>处设置</w:t>
      </w:r>
      <w:r>
        <w:rPr>
          <w:rFonts w:hint="default" w:ascii="Times New Roman" w:hAnsi="Times New Roman" w:eastAsia="宋体" w:cs="Times New Roman"/>
          <w:color w:val="auto"/>
          <w:sz w:val="24"/>
          <w:highlight w:val="none"/>
        </w:rPr>
        <w:t>过滤网片</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用于过滤可再生塑料熔融过程中的杂质，该过滤网需定期更换，其产生的废过滤网约</w:t>
      </w:r>
      <w:r>
        <w:rPr>
          <w:rFonts w:hint="default" w:ascii="Times New Roman" w:hAnsi="Times New Roman" w:eastAsia="宋体" w:cs="Times New Roman"/>
          <w:color w:val="auto"/>
          <w:sz w:val="24"/>
          <w:highlight w:val="none"/>
          <w:lang w:val="en-US" w:eastAsia="zh-CN"/>
        </w:rPr>
        <w:t>0.1296</w:t>
      </w:r>
      <w:r>
        <w:rPr>
          <w:rFonts w:hint="default" w:ascii="Times New Roman" w:hAnsi="Times New Roman" w:eastAsia="宋体" w:cs="Times New Roman"/>
          <w:color w:val="auto"/>
          <w:sz w:val="24"/>
          <w:highlight w:val="none"/>
        </w:rPr>
        <w:t>t/a（每天更换3次，每个过滤网重约0.08kg），废滤网</w:t>
      </w:r>
      <w:r>
        <w:rPr>
          <w:rFonts w:hint="default" w:ascii="Times New Roman" w:hAnsi="Times New Roman" w:eastAsia="宋体" w:cs="Times New Roman"/>
          <w:color w:val="auto"/>
          <w:sz w:val="24"/>
          <w:highlight w:val="none"/>
          <w:lang w:eastAsia="zh-CN"/>
        </w:rPr>
        <w:t>主要成分为金属，</w:t>
      </w:r>
      <w:r>
        <w:rPr>
          <w:rFonts w:hint="default" w:ascii="Times New Roman" w:hAnsi="Times New Roman" w:eastAsia="宋体" w:cs="Times New Roman"/>
          <w:color w:val="auto"/>
          <w:sz w:val="24"/>
          <w:highlight w:val="none"/>
        </w:rPr>
        <w:t>属于一般工业固废，暂存于</w:t>
      </w:r>
      <w:r>
        <w:rPr>
          <w:rFonts w:hint="default" w:ascii="Times New Roman" w:hAnsi="Times New Roman" w:eastAsia="宋体" w:cs="Times New Roman"/>
          <w:color w:val="auto"/>
          <w:sz w:val="24"/>
          <w:highlight w:val="none"/>
          <w:lang w:eastAsia="zh-CN"/>
        </w:rPr>
        <w:t>一般固废暂存间</w:t>
      </w:r>
      <w:r>
        <w:rPr>
          <w:rFonts w:hint="default" w:ascii="Times New Roman" w:hAnsi="Times New Roman" w:eastAsia="宋体" w:cs="Times New Roman"/>
          <w:color w:val="auto"/>
          <w:sz w:val="24"/>
          <w:highlight w:val="none"/>
        </w:rPr>
        <w:t>，产生后由厂家回收。</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eastAsia="zh-CN"/>
        </w:rPr>
        <w:t>混料工序收集的颗粒物</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混料</w:t>
      </w:r>
      <w:r>
        <w:rPr>
          <w:rFonts w:hint="default" w:ascii="Times New Roman" w:hAnsi="Times New Roman" w:eastAsia="宋体" w:cs="Times New Roman"/>
          <w:color w:val="auto"/>
          <w:sz w:val="24"/>
          <w:highlight w:val="none"/>
        </w:rPr>
        <w:t>机颗粒物</w:t>
      </w:r>
      <w:r>
        <w:rPr>
          <w:rFonts w:hint="default" w:ascii="Times New Roman" w:hAnsi="Times New Roman" w:eastAsia="宋体" w:cs="Times New Roman"/>
          <w:b w:val="0"/>
          <w:bCs w:val="0"/>
          <w:color w:val="auto"/>
          <w:kern w:val="0"/>
          <w:sz w:val="24"/>
          <w:szCs w:val="24"/>
          <w:lang w:val="en-US" w:eastAsia="zh-CN"/>
        </w:rPr>
        <w:t>产生量为54t/a，</w:t>
      </w:r>
      <w:r>
        <w:rPr>
          <w:rFonts w:hint="default" w:ascii="Times New Roman" w:hAnsi="Times New Roman" w:eastAsia="宋体" w:cs="Times New Roman"/>
          <w:color w:val="auto"/>
          <w:sz w:val="24"/>
          <w:highlight w:val="none"/>
          <w:lang w:val="en-US" w:eastAsia="zh-CN"/>
        </w:rPr>
        <w:t>混料</w:t>
      </w:r>
      <w:r>
        <w:rPr>
          <w:rFonts w:hint="default" w:ascii="Times New Roman" w:hAnsi="Times New Roman" w:eastAsia="宋体" w:cs="Times New Roman"/>
          <w:color w:val="auto"/>
          <w:sz w:val="24"/>
          <w:highlight w:val="none"/>
        </w:rPr>
        <w:t>机顶部自带1个除尘滤芯，</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rPr>
        <w:t>效率按99%计算，则</w:t>
      </w:r>
      <w:r>
        <w:rPr>
          <w:rFonts w:hint="default" w:ascii="Times New Roman" w:hAnsi="Times New Roman" w:eastAsia="宋体" w:cs="Times New Roman"/>
          <w:color w:val="auto"/>
          <w:sz w:val="24"/>
          <w:highlight w:val="none"/>
          <w:lang w:val="en-US" w:eastAsia="zh-CN"/>
        </w:rPr>
        <w:t>混料</w:t>
      </w:r>
      <w:r>
        <w:rPr>
          <w:rFonts w:hint="default" w:ascii="Times New Roman" w:hAnsi="Times New Roman" w:eastAsia="宋体" w:cs="Times New Roman"/>
          <w:color w:val="auto"/>
          <w:sz w:val="24"/>
          <w:highlight w:val="none"/>
        </w:rPr>
        <w:t>过程中粉尘的排放量为0.</w:t>
      </w:r>
      <w:r>
        <w:rPr>
          <w:rFonts w:hint="default" w:ascii="Times New Roman" w:hAnsi="Times New Roman" w:eastAsia="宋体" w:cs="Times New Roman"/>
          <w:color w:val="auto"/>
          <w:sz w:val="24"/>
          <w:highlight w:val="none"/>
          <w:lang w:val="en-US" w:eastAsia="zh-CN"/>
        </w:rPr>
        <w:t>54</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。混料工序收集的颗粒物量为</w:t>
      </w:r>
      <w:r>
        <w:rPr>
          <w:rFonts w:hint="default" w:ascii="Times New Roman" w:hAnsi="Times New Roman" w:eastAsia="宋体" w:cs="Times New Roman"/>
          <w:color w:val="auto"/>
          <w:sz w:val="24"/>
          <w:highlight w:val="none"/>
          <w:lang w:val="en-US" w:eastAsia="zh-CN"/>
        </w:rPr>
        <w:t>53.46t/a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回用于生产，不外排</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）废耐高温过滤棉（S</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废旧塑料在</w:t>
      </w:r>
      <w:r>
        <w:rPr>
          <w:rFonts w:hint="default" w:ascii="Times New Roman" w:hAnsi="Times New Roman" w:eastAsia="宋体" w:cs="Times New Roman"/>
          <w:color w:val="auto"/>
          <w:sz w:val="24"/>
          <w:highlight w:val="none"/>
          <w:lang w:eastAsia="zh-CN"/>
        </w:rPr>
        <w:t>挤塑、切</w:t>
      </w:r>
      <w:r>
        <w:rPr>
          <w:rFonts w:hint="default" w:ascii="Times New Roman" w:hAnsi="Times New Roman" w:eastAsia="宋体" w:cs="Times New Roman"/>
          <w:color w:val="auto"/>
          <w:sz w:val="24"/>
          <w:szCs w:val="24"/>
          <w:highlight w:val="none"/>
          <w:lang w:eastAsia="zh-CN"/>
        </w:rPr>
        <w:t>粒、</w:t>
      </w:r>
      <w:r>
        <w:rPr>
          <w:rFonts w:hint="default" w:ascii="Times New Roman" w:hAnsi="Times New Roman" w:eastAsia="宋体" w:cs="Times New Roman"/>
          <w:color w:val="auto"/>
          <w:sz w:val="24"/>
          <w:szCs w:val="24"/>
          <w:highlight w:val="none"/>
        </w:rPr>
        <w:t>吹塑过程中产生</w:t>
      </w:r>
      <w:r>
        <w:rPr>
          <w:rFonts w:hint="default" w:ascii="Times New Roman" w:hAnsi="Times New Roman" w:eastAsia="宋体" w:cs="Times New Roman"/>
          <w:color w:val="auto"/>
          <w:sz w:val="24"/>
          <w:szCs w:val="24"/>
          <w:highlight w:val="none"/>
          <w:lang w:eastAsia="zh-CN"/>
        </w:rPr>
        <w:t>颗粒物</w:t>
      </w:r>
      <w:r>
        <w:rPr>
          <w:rFonts w:hint="default" w:ascii="Times New Roman" w:hAnsi="Times New Roman" w:eastAsia="宋体" w:cs="Times New Roman"/>
          <w:color w:val="auto"/>
          <w:sz w:val="24"/>
          <w:szCs w:val="24"/>
          <w:highlight w:val="none"/>
        </w:rPr>
        <w:t>，本项目拟采用</w:t>
      </w:r>
      <w:r>
        <w:rPr>
          <w:rFonts w:hint="default" w:ascii="Times New Roman" w:hAnsi="Times New Roman" w:eastAsia="宋体" w:cs="Times New Roman"/>
          <w:color w:val="auto"/>
          <w:kern w:val="0"/>
          <w:sz w:val="24"/>
          <w:szCs w:val="24"/>
          <w:highlight w:val="none"/>
        </w:rPr>
        <w:t>耐高温过滤棉</w:t>
      </w:r>
      <w:r>
        <w:rPr>
          <w:rFonts w:hint="default" w:ascii="Times New Roman" w:hAnsi="Times New Roman" w:eastAsia="宋体" w:cs="Times New Roman"/>
          <w:color w:val="auto"/>
          <w:sz w:val="24"/>
          <w:highlight w:val="none"/>
        </w:rPr>
        <w:t>进行处理，为保证处理效率，企业需每个月对耐高温过滤棉进行更换</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1台耐高温过滤棉的过滤棉充装量为1kg</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造粒生产车间</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耐高温过滤棉</w:t>
      </w:r>
      <w:r>
        <w:rPr>
          <w:rFonts w:hint="default" w:ascii="Times New Roman" w:hAnsi="Times New Roman" w:eastAsia="宋体" w:cs="Times New Roman"/>
          <w:color w:val="auto"/>
          <w:sz w:val="24"/>
          <w:highlight w:val="none"/>
          <w:lang w:eastAsia="zh-CN"/>
        </w:rPr>
        <w:t>收集的颗粒物量</w:t>
      </w:r>
      <w:r>
        <w:rPr>
          <w:rFonts w:hint="default" w:ascii="Times New Roman" w:hAnsi="Times New Roman" w:eastAsia="宋体" w:cs="Times New Roman"/>
          <w:color w:val="auto"/>
          <w:sz w:val="24"/>
          <w:highlight w:val="none"/>
          <w:lang w:val="en-US" w:eastAsia="zh-CN"/>
        </w:rPr>
        <w:t>6.38t/a，</w:t>
      </w:r>
      <w:r>
        <w:rPr>
          <w:rFonts w:hint="default" w:ascii="Times New Roman" w:hAnsi="Times New Roman" w:eastAsia="宋体" w:cs="Times New Roman"/>
          <w:color w:val="auto"/>
          <w:sz w:val="24"/>
          <w:highlight w:val="none"/>
        </w:rPr>
        <w:t>废耐高温过滤棉</w:t>
      </w:r>
      <w:r>
        <w:rPr>
          <w:rFonts w:hint="default" w:ascii="Times New Roman" w:hAnsi="Times New Roman" w:eastAsia="宋体" w:cs="Times New Roman"/>
          <w:color w:val="auto"/>
          <w:sz w:val="24"/>
          <w:highlight w:val="none"/>
          <w:lang w:eastAsia="zh-CN"/>
        </w:rPr>
        <w:t>消耗量为</w:t>
      </w:r>
      <w:r>
        <w:rPr>
          <w:rFonts w:hint="default" w:ascii="Times New Roman" w:hAnsi="Times New Roman" w:eastAsia="宋体" w:cs="Times New Roman"/>
          <w:color w:val="auto"/>
          <w:sz w:val="24"/>
          <w:highlight w:val="none"/>
          <w:lang w:val="en-US" w:eastAsia="zh-CN"/>
        </w:rPr>
        <w:t>0.008t/a。</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塑料制品生产车间</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耐高温过滤棉</w:t>
      </w:r>
      <w:r>
        <w:rPr>
          <w:rFonts w:hint="default" w:ascii="Times New Roman" w:hAnsi="Times New Roman" w:eastAsia="宋体" w:cs="Times New Roman"/>
          <w:color w:val="auto"/>
          <w:sz w:val="24"/>
          <w:highlight w:val="none"/>
          <w:lang w:eastAsia="zh-CN"/>
        </w:rPr>
        <w:t>收集的颗粒物量</w:t>
      </w:r>
      <w:r>
        <w:rPr>
          <w:rFonts w:hint="default" w:ascii="Times New Roman" w:hAnsi="Times New Roman" w:eastAsia="宋体" w:cs="Times New Roman"/>
          <w:color w:val="auto"/>
          <w:sz w:val="24"/>
          <w:highlight w:val="none"/>
          <w:lang w:val="en-US" w:eastAsia="zh-CN"/>
        </w:rPr>
        <w:t>2.43t/a，</w:t>
      </w:r>
      <w:r>
        <w:rPr>
          <w:rFonts w:hint="default" w:ascii="Times New Roman" w:hAnsi="Times New Roman" w:eastAsia="宋体" w:cs="Times New Roman"/>
          <w:color w:val="auto"/>
          <w:sz w:val="24"/>
          <w:highlight w:val="none"/>
        </w:rPr>
        <w:t>废耐高温过滤棉</w:t>
      </w:r>
      <w:r>
        <w:rPr>
          <w:rFonts w:hint="default" w:ascii="Times New Roman" w:hAnsi="Times New Roman" w:eastAsia="宋体" w:cs="Times New Roman"/>
          <w:color w:val="auto"/>
          <w:sz w:val="24"/>
          <w:highlight w:val="none"/>
          <w:lang w:eastAsia="zh-CN"/>
        </w:rPr>
        <w:t>消耗量为</w:t>
      </w:r>
      <w:r>
        <w:rPr>
          <w:rFonts w:hint="default" w:ascii="Times New Roman" w:hAnsi="Times New Roman" w:eastAsia="宋体" w:cs="Times New Roman"/>
          <w:color w:val="auto"/>
          <w:sz w:val="24"/>
          <w:highlight w:val="none"/>
          <w:lang w:val="en-US" w:eastAsia="zh-CN"/>
        </w:rPr>
        <w:t>0.008t/a。</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综上，本项目废</w:t>
      </w:r>
      <w:r>
        <w:rPr>
          <w:rFonts w:hint="default" w:ascii="Times New Roman" w:hAnsi="Times New Roman" w:eastAsia="宋体" w:cs="Times New Roman"/>
          <w:color w:val="auto"/>
          <w:sz w:val="24"/>
          <w:highlight w:val="none"/>
        </w:rPr>
        <w:t>耐高温过滤棉</w:t>
      </w:r>
      <w:r>
        <w:rPr>
          <w:rFonts w:hint="default" w:ascii="Times New Roman" w:hAnsi="Times New Roman" w:eastAsia="宋体" w:cs="Times New Roman"/>
          <w:color w:val="auto"/>
          <w:sz w:val="24"/>
          <w:highlight w:val="none"/>
          <w:lang w:eastAsia="zh-CN"/>
        </w:rPr>
        <w:t>产生量为</w:t>
      </w:r>
      <w:r>
        <w:rPr>
          <w:rFonts w:hint="default" w:ascii="Times New Roman" w:hAnsi="Times New Roman" w:eastAsia="宋体" w:cs="Times New Roman"/>
          <w:color w:val="auto"/>
          <w:sz w:val="24"/>
          <w:highlight w:val="none"/>
          <w:lang w:val="en-US" w:eastAsia="zh-CN"/>
        </w:rPr>
        <w:t>8.826t/a，</w:t>
      </w:r>
      <w:r>
        <w:rPr>
          <w:rFonts w:hint="default" w:ascii="Times New Roman" w:hAnsi="Times New Roman" w:eastAsia="宋体" w:cs="Times New Roman"/>
          <w:color w:val="auto"/>
          <w:sz w:val="24"/>
          <w:highlight w:val="none"/>
        </w:rPr>
        <w:t>属于危险废物，产生后暂存于危废暂存间，定期委托有资质单位处置。</w:t>
      </w:r>
    </w:p>
    <w:p>
      <w:pPr>
        <w:keepNext w:val="0"/>
        <w:keepLines w:val="0"/>
        <w:pageBreakBefore w:val="0"/>
        <w:widowControl w:val="0"/>
        <w:numPr>
          <w:ilvl w:val="8"/>
          <w:numId w:val="0"/>
        </w:numP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）光氧化装置灯管（S</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本项目废气环保措施中UV光氧催化装置灯管每年更换一次，产生量约0.</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t/a，产生的废灯管属于危险废物，废物类别为HW49其他废物、废物代码为900-039-49，经PE桶收集，暂存于危废暂存间内，定期交由有资质的单位进行处置。</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）废活性炭（S</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废旧塑料在挤塑、吹塑过程中产生非甲烷总烃，本项目拟采用活性炭吸附装置进行吸附处理，为保证处理效率，企业需每个月对活性炭进行更换</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1台活性炭吸附装置的活性炭充装量为80kg</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本项目2台活性炭吸附装置</w:t>
      </w:r>
      <w:r>
        <w:rPr>
          <w:rFonts w:hint="default" w:ascii="Times New Roman" w:hAnsi="Times New Roman" w:eastAsia="宋体" w:cs="Times New Roman"/>
          <w:color w:val="auto"/>
          <w:sz w:val="24"/>
          <w:highlight w:val="none"/>
        </w:rPr>
        <w:t>吸收有机废气约</w:t>
      </w:r>
      <w:r>
        <w:rPr>
          <w:rFonts w:hint="default" w:ascii="Times New Roman" w:hAnsi="Times New Roman" w:eastAsia="宋体" w:cs="Times New Roman"/>
          <w:color w:val="auto"/>
          <w:sz w:val="24"/>
          <w:highlight w:val="none"/>
          <w:lang w:val="en-US" w:eastAsia="zh-CN"/>
        </w:rPr>
        <w:t>7.33</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则本项目</w:t>
      </w:r>
      <w:r>
        <w:rPr>
          <w:rFonts w:hint="default" w:ascii="Times New Roman" w:hAnsi="Times New Roman" w:eastAsia="宋体" w:cs="Times New Roman"/>
          <w:color w:val="auto"/>
          <w:sz w:val="24"/>
          <w:highlight w:val="none"/>
        </w:rPr>
        <w:t>废活性炭产生量为</w:t>
      </w:r>
      <w:r>
        <w:rPr>
          <w:rFonts w:hint="default" w:ascii="Times New Roman" w:hAnsi="Times New Roman" w:eastAsia="宋体" w:cs="Times New Roman"/>
          <w:color w:val="auto"/>
          <w:sz w:val="24"/>
          <w:highlight w:val="none"/>
          <w:lang w:val="en-US" w:eastAsia="zh-CN"/>
        </w:rPr>
        <w:t>8.61</w:t>
      </w:r>
      <w:r>
        <w:rPr>
          <w:rFonts w:hint="default" w:ascii="Times New Roman" w:hAnsi="Times New Roman" w:eastAsia="宋体" w:cs="Times New Roman"/>
          <w:color w:val="auto"/>
          <w:sz w:val="24"/>
          <w:highlight w:val="none"/>
        </w:rPr>
        <w:t>t/a。</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则</w:t>
      </w: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《国家危险废物名录》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2021年版</w:t>
      </w:r>
      <w:r>
        <w:rPr>
          <w:rFonts w:hint="default" w:ascii="Times New Roman" w:hAnsi="Times New Roman" w:eastAsia="宋体" w:cs="Times New Roman"/>
          <w:color w:val="auto"/>
          <w:sz w:val="24"/>
          <w:highlight w:val="none"/>
          <w:lang w:eastAsia="zh-CN"/>
        </w:rPr>
        <w:t>），本项目</w:t>
      </w:r>
      <w:r>
        <w:rPr>
          <w:rFonts w:hint="default" w:ascii="Times New Roman" w:hAnsi="Times New Roman" w:eastAsia="宋体" w:cs="Times New Roman"/>
          <w:color w:val="auto"/>
          <w:sz w:val="24"/>
          <w:highlight w:val="none"/>
        </w:rPr>
        <w:t>废活性炭</w:t>
      </w:r>
      <w:r>
        <w:rPr>
          <w:rFonts w:hint="default" w:ascii="Times New Roman" w:hAnsi="Times New Roman" w:eastAsia="宋体" w:cs="Times New Roman"/>
          <w:color w:val="auto"/>
          <w:sz w:val="24"/>
          <w:highlight w:val="none"/>
          <w:lang w:eastAsia="zh-CN"/>
        </w:rPr>
        <w:t>所属废物类别为</w:t>
      </w:r>
      <w:r>
        <w:rPr>
          <w:rFonts w:hint="default" w:ascii="Times New Roman" w:hAnsi="Times New Roman" w:eastAsia="宋体" w:cs="Times New Roman"/>
          <w:color w:val="auto"/>
          <w:sz w:val="24"/>
          <w:highlight w:val="none"/>
          <w:lang w:val="en-US" w:eastAsia="zh-CN"/>
        </w:rPr>
        <w:t>HW49其他废物</w:t>
      </w:r>
      <w:r>
        <w:rPr>
          <w:rFonts w:hint="default" w:ascii="Times New Roman" w:hAnsi="Times New Roman" w:eastAsia="宋体" w:cs="Times New Roman"/>
          <w:color w:val="auto"/>
          <w:sz w:val="24"/>
          <w:highlight w:val="none"/>
          <w:lang w:eastAsia="zh-CN"/>
        </w:rPr>
        <w:t>，废物代码为</w:t>
      </w:r>
      <w:r>
        <w:rPr>
          <w:rFonts w:hint="default" w:ascii="Times New Roman" w:hAnsi="Times New Roman" w:eastAsia="宋体" w:cs="Times New Roman"/>
          <w:color w:val="auto"/>
          <w:sz w:val="24"/>
          <w:highlight w:val="none"/>
          <w:lang w:val="en-US" w:eastAsia="zh-CN"/>
        </w:rPr>
        <w:t>900-039-49“VOCs治理过程（不包括餐饮行业油烟治理过程）产生的废活性炭”，</w:t>
      </w:r>
      <w:r>
        <w:rPr>
          <w:rFonts w:hint="default" w:ascii="Times New Roman" w:hAnsi="Times New Roman" w:eastAsia="宋体" w:cs="Times New Roman"/>
          <w:color w:val="auto"/>
          <w:sz w:val="24"/>
          <w:highlight w:val="none"/>
        </w:rPr>
        <w:t>属于危险废物，产生后暂存于危废暂存间，定期委托有资质单位处置。</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）生活垃圾</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本项目劳动定员</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人，生活垃圾产生量按</w:t>
      </w:r>
      <w:r>
        <w:rPr>
          <w:rFonts w:hint="default" w:ascii="Times New Roman" w:hAnsi="Times New Roman" w:eastAsia="宋体" w:cs="Times New Roman"/>
          <w:color w:val="auto"/>
          <w:sz w:val="24"/>
          <w:highlight w:val="none"/>
          <w:lang w:val="en-US" w:eastAsia="zh-CN"/>
        </w:rPr>
        <w:t>0.5</w:t>
      </w:r>
      <w:r>
        <w:rPr>
          <w:rFonts w:hint="default" w:ascii="Times New Roman" w:hAnsi="Times New Roman" w:eastAsia="宋体" w:cs="Times New Roman"/>
          <w:color w:val="auto"/>
          <w:sz w:val="24"/>
          <w:highlight w:val="none"/>
        </w:rPr>
        <w:t>kg/d人计，生产天数为240d，则生活垃圾产生量为1.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t/a。生活垃圾在厂内集中收集后，交由当地环卫部门清运，统一处置。</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本项目固废产生情况统计见表3.3-</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表3.3-</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 xml:space="preserve">   固体废物产生及处理处置情况汇总表</w:t>
      </w:r>
    </w:p>
    <w:tbl>
      <w:tblPr>
        <w:tblStyle w:val="90"/>
        <w:tblW w:w="8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76"/>
        <w:gridCol w:w="1377"/>
        <w:gridCol w:w="1377"/>
        <w:gridCol w:w="1377"/>
        <w:gridCol w:w="275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产生环节</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名称</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数量</w:t>
            </w:r>
            <w:r>
              <w:rPr>
                <w:rFonts w:hint="default" w:ascii="Times New Roman" w:hAnsi="Times New Roman" w:eastAsia="宋体" w:cs="Times New Roman"/>
                <w:color w:val="auto"/>
                <w:kern w:val="0"/>
                <w:sz w:val="21"/>
                <w:szCs w:val="21"/>
                <w:highlight w:val="none"/>
              </w:rPr>
              <w:t>（t</w:t>
            </w:r>
            <w:r>
              <w:rPr>
                <w:rFonts w:hint="default" w:ascii="Times New Roman" w:hAnsi="Times New Roman" w:eastAsia="宋体" w:cs="Times New Roman"/>
                <w:color w:val="auto"/>
                <w:kern w:val="0"/>
                <w:sz w:val="21"/>
                <w:szCs w:val="21"/>
                <w:highlight w:val="none"/>
                <w:lang w:val="en-US" w:eastAsia="zh-CN"/>
              </w:rPr>
              <w:t>/a</w:t>
            </w:r>
            <w:r>
              <w:rPr>
                <w:rFonts w:hint="default" w:ascii="Times New Roman" w:hAnsi="Times New Roman" w:eastAsia="宋体" w:cs="Times New Roman"/>
                <w:color w:val="auto"/>
                <w:kern w:val="0"/>
                <w:sz w:val="21"/>
                <w:szCs w:val="21"/>
                <w:highlight w:val="none"/>
              </w:rPr>
              <w:t>）</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废物类别</w:t>
            </w:r>
          </w:p>
        </w:tc>
        <w:tc>
          <w:tcPr>
            <w:tcW w:w="27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处置措施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分拣分类</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分拣固废</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103.778</w:t>
            </w:r>
          </w:p>
        </w:tc>
        <w:tc>
          <w:tcPr>
            <w:tcW w:w="1377"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一般工业固废</w:t>
            </w:r>
          </w:p>
        </w:tc>
        <w:tc>
          <w:tcPr>
            <w:tcW w:w="27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暂存于一般固废暂存间，</w:t>
            </w:r>
            <w:r>
              <w:rPr>
                <w:rFonts w:hint="default" w:ascii="Times New Roman" w:hAnsi="Times New Roman" w:eastAsia="宋体" w:cs="Times New Roman"/>
                <w:color w:val="auto"/>
                <w:sz w:val="21"/>
                <w:szCs w:val="21"/>
                <w:highlight w:val="none"/>
                <w:lang w:eastAsia="zh-CN"/>
              </w:rPr>
              <w:t>交由当地环卫部门清运，统一处置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三级沉淀池</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沉渣</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74.7</w:t>
            </w:r>
          </w:p>
        </w:tc>
        <w:tc>
          <w:tcPr>
            <w:tcW w:w="137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27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定期清掏</w:t>
            </w:r>
            <w:r>
              <w:rPr>
                <w:rFonts w:hint="default" w:ascii="Times New Roman" w:hAnsi="Times New Roman" w:eastAsia="宋体" w:cs="Times New Roman"/>
                <w:color w:val="auto"/>
                <w:kern w:val="0"/>
                <w:sz w:val="21"/>
                <w:szCs w:val="21"/>
                <w:highlight w:val="none"/>
              </w:rPr>
              <w:t>后</w:t>
            </w:r>
            <w:r>
              <w:rPr>
                <w:rFonts w:hint="default" w:ascii="Times New Roman" w:hAnsi="Times New Roman" w:eastAsia="宋体" w:cs="Times New Roman"/>
                <w:color w:val="auto"/>
                <w:kern w:val="0"/>
                <w:sz w:val="21"/>
                <w:szCs w:val="21"/>
                <w:highlight w:val="none"/>
                <w:lang w:eastAsia="zh-TW"/>
              </w:rPr>
              <w:t>，暂存于一般固废暂存间，</w:t>
            </w:r>
            <w:r>
              <w:rPr>
                <w:rFonts w:hint="default" w:ascii="Times New Roman" w:hAnsi="Times New Roman" w:eastAsia="宋体" w:cs="Times New Roman"/>
                <w:color w:val="auto"/>
                <w:kern w:val="0"/>
                <w:sz w:val="21"/>
                <w:szCs w:val="21"/>
                <w:highlight w:val="none"/>
                <w:lang w:eastAsia="zh-CN"/>
              </w:rPr>
              <w:t>交由当地环卫部门清运，统一处置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挤塑</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废滤网</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0.1296</w:t>
            </w:r>
          </w:p>
        </w:tc>
        <w:tc>
          <w:tcPr>
            <w:tcW w:w="137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27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暂存于一般固废暂存间，</w:t>
            </w:r>
            <w:r>
              <w:rPr>
                <w:rFonts w:hint="default" w:ascii="Times New Roman" w:hAnsi="Times New Roman" w:eastAsia="宋体" w:cs="Times New Roman"/>
                <w:color w:val="auto"/>
                <w:kern w:val="0"/>
                <w:sz w:val="21"/>
                <w:szCs w:val="21"/>
                <w:highlight w:val="none"/>
              </w:rPr>
              <w:t>定期</w:t>
            </w:r>
            <w:r>
              <w:rPr>
                <w:rFonts w:hint="default" w:ascii="Times New Roman" w:hAnsi="Times New Roman" w:eastAsia="宋体" w:cs="Times New Roman"/>
                <w:color w:val="auto"/>
                <w:kern w:val="0"/>
                <w:sz w:val="21"/>
                <w:szCs w:val="21"/>
                <w:highlight w:val="none"/>
                <w:lang w:eastAsia="zh-TW"/>
              </w:rPr>
              <w:t>由厂家回收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CN"/>
              </w:rPr>
              <w:t>混料工序</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收集的粉尘</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53.46</w:t>
            </w:r>
          </w:p>
        </w:tc>
        <w:tc>
          <w:tcPr>
            <w:tcW w:w="1377"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27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CN"/>
              </w:rPr>
              <w:t>回用于生产，不外排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76"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废气处理</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废</w:t>
            </w:r>
            <w:r>
              <w:rPr>
                <w:rFonts w:hint="default" w:ascii="Times New Roman" w:hAnsi="Times New Roman" w:eastAsia="宋体" w:cs="Times New Roman"/>
                <w:color w:val="auto"/>
                <w:kern w:val="0"/>
                <w:sz w:val="21"/>
                <w:szCs w:val="21"/>
                <w:highlight w:val="none"/>
              </w:rPr>
              <w:t>耐高温过滤棉</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8.826</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危险废物</w:t>
            </w:r>
          </w:p>
        </w:tc>
        <w:tc>
          <w:tcPr>
            <w:tcW w:w="27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暂存于危废暂存间，定期委托有资质单位处置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76"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1377" w:type="dxa"/>
            <w:shd w:val="clear" w:color="auto" w:fill="auto"/>
            <w:vAlign w:val="center"/>
          </w:tcPr>
          <w:p>
            <w:pPr>
              <w:widowControl/>
              <w:jc w:val="center"/>
              <w:rPr>
                <w:rFonts w:hint="default" w:ascii="Times New Roman" w:hAnsi="Times New Roman" w:eastAsia="宋体" w:cs="Times New Roman"/>
                <w:color w:val="auto"/>
                <w:kern w:val="0"/>
                <w:sz w:val="21"/>
                <w:szCs w:val="21"/>
                <w:highlight w:val="none"/>
                <w:lang w:val="en-US" w:eastAsia="zh-TW" w:bidi="ar-SA"/>
              </w:rPr>
            </w:pPr>
            <w:r>
              <w:rPr>
                <w:rFonts w:hint="eastAsia" w:cs="Times New Roman"/>
                <w:color w:val="auto"/>
                <w:kern w:val="0"/>
                <w:sz w:val="21"/>
                <w:szCs w:val="21"/>
                <w:highlight w:val="none"/>
                <w:lang w:val="en-US" w:eastAsia="zh-CN"/>
              </w:rPr>
              <w:t>废灯管</w:t>
            </w:r>
          </w:p>
        </w:tc>
        <w:tc>
          <w:tcPr>
            <w:tcW w:w="1377" w:type="dxa"/>
            <w:shd w:val="clear" w:color="auto" w:fill="auto"/>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1377" w:type="dxa"/>
            <w:shd w:val="clear" w:color="auto" w:fill="auto"/>
            <w:vAlign w:val="center"/>
          </w:tcPr>
          <w:p>
            <w:pPr>
              <w:widowControl/>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危险废物</w:t>
            </w:r>
          </w:p>
        </w:tc>
        <w:tc>
          <w:tcPr>
            <w:tcW w:w="2753" w:type="dxa"/>
            <w:shd w:val="clear" w:color="auto" w:fill="auto"/>
            <w:vAlign w:val="center"/>
          </w:tcPr>
          <w:p>
            <w:pPr>
              <w:widowControl/>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暂存于危废暂存间，</w:t>
            </w:r>
            <w:r>
              <w:rPr>
                <w:rFonts w:hint="default" w:ascii="Times New Roman" w:hAnsi="Times New Roman" w:eastAsia="宋体" w:cs="Times New Roman"/>
                <w:color w:val="auto"/>
                <w:kern w:val="0"/>
                <w:sz w:val="21"/>
                <w:szCs w:val="21"/>
                <w:highlight w:val="none"/>
                <w:lang w:eastAsia="zh-CN"/>
              </w:rPr>
              <w:t>定期</w:t>
            </w:r>
            <w:r>
              <w:rPr>
                <w:rFonts w:hint="default" w:ascii="Times New Roman" w:hAnsi="Times New Roman" w:eastAsia="宋体" w:cs="Times New Roman"/>
                <w:color w:val="auto"/>
                <w:kern w:val="0"/>
                <w:sz w:val="21"/>
                <w:szCs w:val="21"/>
                <w:highlight w:val="none"/>
                <w:lang w:eastAsia="zh-TW"/>
              </w:rPr>
              <w:t>交由有资质的单位进行处置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76"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废活性炭</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8.61</w:t>
            </w:r>
          </w:p>
        </w:tc>
        <w:tc>
          <w:tcPr>
            <w:tcW w:w="1377"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危险废物</w:t>
            </w:r>
          </w:p>
        </w:tc>
        <w:tc>
          <w:tcPr>
            <w:tcW w:w="2753"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暂存于危废暂存间，定期委托有资质单位处置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76"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办公生活</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生活垃圾</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val="en-US" w:eastAsia="zh-CN"/>
              </w:rPr>
              <w:t>2</w:t>
            </w:r>
          </w:p>
        </w:tc>
        <w:tc>
          <w:tcPr>
            <w:tcW w:w="137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生活垃圾</w:t>
            </w:r>
          </w:p>
        </w:tc>
        <w:tc>
          <w:tcPr>
            <w:tcW w:w="27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厂内集中收集后，交由当地环卫部门清运</w:t>
            </w:r>
          </w:p>
        </w:tc>
      </w:tr>
    </w:tbl>
    <w:p>
      <w:pPr>
        <w:pStyle w:val="5"/>
        <w:shd w:val="clear"/>
        <w:spacing w:before="60" w:after="60" w:line="360" w:lineRule="auto"/>
        <w:rPr>
          <w:rFonts w:hint="default" w:ascii="Times New Roman" w:hAnsi="Times New Roman" w:eastAsia="宋体" w:cs="Times New Roman"/>
          <w:color w:val="auto"/>
          <w:highlight w:val="none"/>
        </w:rPr>
      </w:pPr>
      <w:bookmarkStart w:id="158" w:name="_Toc13289"/>
      <w:r>
        <w:rPr>
          <w:rFonts w:hint="default" w:ascii="Times New Roman" w:hAnsi="Times New Roman" w:eastAsia="宋体" w:cs="Times New Roman"/>
          <w:color w:val="auto"/>
          <w:highlight w:val="none"/>
        </w:rPr>
        <w:t>3.4 项目各污染源汇总</w:t>
      </w:r>
      <w:bookmarkEnd w:id="158"/>
    </w:p>
    <w:p>
      <w:pPr>
        <w:numPr>
          <w:ilvl w:val="8"/>
          <w:numId w:val="0"/>
        </w:numPr>
        <w:shd w:val="clear"/>
        <w:tabs>
          <w:tab w:val="left" w:pos="360"/>
        </w:tabs>
        <w:autoSpaceDE w:val="0"/>
        <w:autoSpaceDN w:val="0"/>
        <w:adjustRightInd w:val="0"/>
        <w:spacing w:line="360" w:lineRule="auto"/>
        <w:ind w:firstLine="43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根据以上工程分析，对全厂正常工况主要污染源进行统计，见表3.4-1。</w:t>
      </w:r>
    </w:p>
    <w:p>
      <w:pPr>
        <w:numPr>
          <w:ilvl w:val="8"/>
          <w:numId w:val="0"/>
        </w:numPr>
        <w:shd w:val="clear"/>
        <w:tabs>
          <w:tab w:val="left" w:pos="360"/>
        </w:tabs>
        <w:autoSpaceDE w:val="0"/>
        <w:autoSpaceDN w:val="0"/>
        <w:adjustRightInd w:val="0"/>
        <w:spacing w:line="360" w:lineRule="auto"/>
        <w:ind w:firstLine="437"/>
        <w:jc w:val="center"/>
        <w:rPr>
          <w:rFonts w:hint="default" w:ascii="Times New Roman" w:hAnsi="Times New Roman" w:eastAsia="宋体" w:cs="Times New Roman"/>
          <w:b/>
          <w:color w:val="auto"/>
          <w:sz w:val="24"/>
          <w:highlight w:val="none"/>
        </w:rPr>
        <w:sectPr>
          <w:footerReference r:id="rId10" w:type="default"/>
          <w:pgSz w:w="11907" w:h="16840"/>
          <w:pgMar w:top="1440" w:right="1797" w:bottom="1440" w:left="1797" w:header="992" w:footer="992" w:gutter="0"/>
          <w:pgNumType w:fmt="decimal"/>
          <w:cols w:space="425" w:num="1"/>
          <w:docGrid w:linePitch="312" w:charSpace="0"/>
        </w:sectPr>
      </w:pP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表3.4-1全厂主要污染物排放汇总清单</w:t>
      </w:r>
    </w:p>
    <w:tbl>
      <w:tblPr>
        <w:tblStyle w:val="90"/>
        <w:tblW w:w="13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141"/>
        <w:gridCol w:w="1053"/>
        <w:gridCol w:w="1053"/>
        <w:gridCol w:w="908"/>
        <w:gridCol w:w="908"/>
        <w:gridCol w:w="908"/>
        <w:gridCol w:w="2470"/>
        <w:gridCol w:w="915"/>
        <w:gridCol w:w="908"/>
        <w:gridCol w:w="908"/>
        <w:gridCol w:w="908"/>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类别</w:t>
            </w:r>
          </w:p>
        </w:tc>
        <w:tc>
          <w:tcPr>
            <w:tcW w:w="114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污染源</w:t>
            </w:r>
          </w:p>
        </w:tc>
        <w:tc>
          <w:tcPr>
            <w:tcW w:w="2106" w:type="dxa"/>
            <w:gridSpan w:val="2"/>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污染因子</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产生情况</w:t>
            </w:r>
          </w:p>
        </w:tc>
        <w:tc>
          <w:tcPr>
            <w:tcW w:w="247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治理措施</w:t>
            </w:r>
          </w:p>
        </w:tc>
        <w:tc>
          <w:tcPr>
            <w:tcW w:w="915"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削减量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t/a</w:t>
            </w:r>
            <w:r>
              <w:rPr>
                <w:rFonts w:hint="default" w:ascii="Times New Roman" w:hAnsi="Times New Roman" w:eastAsia="宋体" w:cs="Times New Roman"/>
                <w:color w:val="auto"/>
                <w:kern w:val="0"/>
                <w:sz w:val="21"/>
                <w:szCs w:val="21"/>
                <w:highlight w:val="none"/>
                <w:lang w:eastAsia="zh-CN"/>
              </w:rPr>
              <w:t>）</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排放情况</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106" w:type="dxa"/>
            <w:gridSpan w:val="2"/>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 xml:space="preserve">产生量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t/a</w:t>
            </w:r>
            <w:r>
              <w:rPr>
                <w:rFonts w:hint="default" w:ascii="Times New Roman" w:hAnsi="Times New Roman" w:eastAsia="宋体" w:cs="Times New Roman"/>
                <w:color w:val="auto"/>
                <w:kern w:val="0"/>
                <w:sz w:val="21"/>
                <w:szCs w:val="21"/>
                <w:highlight w:val="none"/>
                <w:lang w:eastAsia="zh-CN"/>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 xml:space="preserve">产生速率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kg/h</w:t>
            </w:r>
            <w:r>
              <w:rPr>
                <w:rFonts w:hint="default" w:ascii="Times New Roman" w:hAnsi="Times New Roman" w:eastAsia="宋体" w:cs="Times New Roman"/>
                <w:color w:val="auto"/>
                <w:kern w:val="0"/>
                <w:sz w:val="21"/>
                <w:szCs w:val="21"/>
                <w:highlight w:val="none"/>
                <w:lang w:eastAsia="zh-CN"/>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 xml:space="preserve">产生浓度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mg/m</w:t>
            </w:r>
            <w:r>
              <w:rPr>
                <w:rFonts w:hint="default" w:ascii="Times New Roman" w:hAnsi="Times New Roman" w:eastAsia="宋体" w:cs="Times New Roman"/>
                <w:color w:val="auto"/>
                <w:kern w:val="0"/>
                <w:sz w:val="21"/>
                <w:szCs w:val="21"/>
                <w:highlight w:val="none"/>
                <w:vertAlign w:val="superscript"/>
                <w:lang w:eastAsia="zh-TW"/>
              </w:rPr>
              <w:t>3</w:t>
            </w:r>
            <w:r>
              <w:rPr>
                <w:rFonts w:hint="default" w:ascii="Times New Roman" w:hAnsi="Times New Roman" w:eastAsia="宋体" w:cs="Times New Roman"/>
                <w:color w:val="auto"/>
                <w:kern w:val="0"/>
                <w:sz w:val="21"/>
                <w:szCs w:val="21"/>
                <w:highlight w:val="none"/>
                <w:lang w:eastAsia="zh-CN"/>
              </w:rPr>
              <w:t>）</w:t>
            </w:r>
          </w:p>
        </w:tc>
        <w:tc>
          <w:tcPr>
            <w:tcW w:w="2470"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915"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 xml:space="preserve">排放量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t/a</w:t>
            </w:r>
            <w:r>
              <w:rPr>
                <w:rFonts w:hint="default" w:ascii="Times New Roman" w:hAnsi="Times New Roman" w:eastAsia="宋体" w:cs="Times New Roman"/>
                <w:color w:val="auto"/>
                <w:kern w:val="0"/>
                <w:sz w:val="21"/>
                <w:szCs w:val="21"/>
                <w:highlight w:val="none"/>
                <w:lang w:eastAsia="zh-CN"/>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排放速率</w:t>
            </w:r>
          </w:p>
          <w:p>
            <w:pPr>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kg/h</w:t>
            </w:r>
            <w:r>
              <w:rPr>
                <w:rFonts w:hint="default" w:ascii="Times New Roman" w:hAnsi="Times New Roman" w:eastAsia="宋体" w:cs="Times New Roman"/>
                <w:color w:val="auto"/>
                <w:kern w:val="0"/>
                <w:sz w:val="21"/>
                <w:szCs w:val="21"/>
                <w:highlight w:val="none"/>
                <w:lang w:eastAsia="zh-CN"/>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排放浓度</w:t>
            </w:r>
          </w:p>
          <w:p>
            <w:pPr>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lang w:eastAsia="zh-CN"/>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浓度</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mg/m</w:t>
            </w:r>
            <w:r>
              <w:rPr>
                <w:rFonts w:hint="default" w:ascii="Times New Roman" w:hAnsi="Times New Roman" w:eastAsia="宋体" w:cs="Times New Roman"/>
                <w:color w:val="auto"/>
                <w:kern w:val="0"/>
                <w:sz w:val="21"/>
                <w:szCs w:val="21"/>
                <w:highlight w:val="none"/>
                <w:vertAlign w:val="superscript"/>
                <w:lang w:eastAsia="zh-TW"/>
              </w:rPr>
              <w:t>3</w:t>
            </w:r>
            <w:r>
              <w:rPr>
                <w:rFonts w:hint="default"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restart"/>
            <w:shd w:val="clear" w:color="auto" w:fill="auto"/>
            <w:vAlign w:val="center"/>
          </w:tcPr>
          <w:p>
            <w:pPr>
              <w:widowControl/>
              <w:shd w:val="clear"/>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废气</w:t>
            </w:r>
          </w:p>
        </w:tc>
        <w:tc>
          <w:tcPr>
            <w:tcW w:w="114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造粒生产车间挤塑、切粒废气</w:t>
            </w:r>
          </w:p>
        </w:tc>
        <w:tc>
          <w:tcPr>
            <w:tcW w:w="1053"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NMHC</w:t>
            </w:r>
          </w:p>
        </w:tc>
        <w:tc>
          <w:tcPr>
            <w:tcW w:w="10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有组织</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2.52</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0.44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44.0 </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UV光氧催化（处理效率40%）+活性炭吸附装置（处理效率55%）</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84</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0.68</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12</w:t>
            </w:r>
            <w:r>
              <w:rPr>
                <w:rFonts w:hint="default" w:ascii="Times New Roman" w:hAnsi="Times New Roman" w:eastAsia="宋体" w:cs="Times New Roman"/>
                <w:color w:val="auto"/>
                <w:kern w:val="0"/>
                <w:sz w:val="21"/>
                <w:szCs w:val="21"/>
                <w:highlight w:val="none"/>
                <w:lang w:val="en-US" w:eastAsia="zh-CN"/>
              </w:rPr>
              <w:t xml:space="preserve">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w:t>
            </w:r>
            <w:r>
              <w:rPr>
                <w:rFonts w:hint="default" w:ascii="Times New Roman" w:hAnsi="Times New Roman" w:eastAsia="宋体" w:cs="Times New Roman"/>
                <w:color w:val="auto"/>
                <w:kern w:val="0"/>
                <w:sz w:val="21"/>
                <w:szCs w:val="21"/>
                <w:highlight w:val="none"/>
                <w:lang w:val="en-US" w:eastAsia="zh-CN"/>
              </w:rPr>
              <w:t xml:space="preserve">.0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无组织</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0.63</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0.11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无组织排放</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0.63</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0.11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vMerge w:val="restart"/>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颗粒物</w:t>
            </w:r>
          </w:p>
        </w:tc>
        <w:tc>
          <w:tcPr>
            <w:tcW w:w="10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有组织</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7.97</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1.38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138.0 </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val="en-US" w:eastAsia="zh-TW"/>
              </w:rPr>
              <w:t>耐高温过滤棉</w:t>
            </w:r>
            <w:r>
              <w:rPr>
                <w:rFonts w:hint="default" w:ascii="Times New Roman" w:hAnsi="Times New Roman" w:eastAsia="宋体" w:cs="Times New Roman"/>
                <w:color w:val="auto"/>
                <w:kern w:val="0"/>
                <w:sz w:val="21"/>
                <w:szCs w:val="21"/>
                <w:highlight w:val="none"/>
                <w:lang w:val="en-US" w:eastAsia="zh-CN"/>
              </w:rPr>
              <w:t>（处理效率80%）</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6.38</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1.59</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0.28</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28.0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无组织</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1.99</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0.35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val="en-US" w:eastAsia="zh-CN"/>
              </w:rPr>
              <w:t>封闭车间（处理效率60%）</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1.19</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0.80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0.14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restart"/>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塑料制品生产车间吹塑废气</w:t>
            </w:r>
          </w:p>
        </w:tc>
        <w:tc>
          <w:tcPr>
            <w:tcW w:w="1053" w:type="dxa"/>
            <w:vMerge w:val="restart"/>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NMHC</w:t>
            </w:r>
          </w:p>
        </w:tc>
        <w:tc>
          <w:tcPr>
            <w:tcW w:w="10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有组织</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10.8</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1.88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25.3</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UV光氧催化</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rPr>
              <w:t>活性炭吸附装置</w:t>
            </w:r>
            <w:r>
              <w:rPr>
                <w:rFonts w:hint="default" w:ascii="Times New Roman" w:hAnsi="Times New Roman" w:eastAsia="宋体" w:cs="Times New Roman"/>
                <w:color w:val="auto"/>
                <w:kern w:val="0"/>
                <w:sz w:val="21"/>
                <w:szCs w:val="21"/>
                <w:highlight w:val="none"/>
                <w:lang w:eastAsia="zh-CN"/>
              </w:rPr>
              <w:t>（非甲烷总烃</w:t>
            </w:r>
            <w:r>
              <w:rPr>
                <w:rFonts w:hint="default" w:ascii="Times New Roman" w:hAnsi="Times New Roman" w:eastAsia="宋体" w:cs="Times New Roman"/>
                <w:color w:val="auto"/>
                <w:kern w:val="0"/>
                <w:sz w:val="21"/>
                <w:szCs w:val="21"/>
                <w:highlight w:val="none"/>
                <w:lang w:val="en-US" w:eastAsia="zh-CN"/>
              </w:rPr>
              <w:t>处理效率</w:t>
            </w:r>
            <w:r>
              <w:rPr>
                <w:rFonts w:hint="default" w:ascii="Times New Roman" w:hAnsi="Times New Roman" w:eastAsia="宋体" w:cs="Times New Roman"/>
                <w:color w:val="auto"/>
                <w:sz w:val="21"/>
                <w:szCs w:val="21"/>
                <w:highlight w:val="none"/>
                <w:lang w:eastAsia="zh-CN"/>
              </w:rPr>
              <w:t>按</w:t>
            </w:r>
            <w:r>
              <w:rPr>
                <w:rFonts w:hint="eastAsia" w:ascii="Times New Roman" w:hAnsi="Times New Roman" w:eastAsia="宋体" w:cs="Times New Roman"/>
                <w:color w:val="auto"/>
                <w:kern w:val="0"/>
                <w:sz w:val="21"/>
                <w:szCs w:val="21"/>
                <w:highlight w:val="none"/>
                <w:lang w:val="en-US" w:eastAsia="zh-CN"/>
              </w:rPr>
              <w:t>24</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计</w:t>
            </w:r>
            <w:r>
              <w:rPr>
                <w:rFonts w:hint="default" w:ascii="Times New Roman" w:hAnsi="Times New Roman" w:eastAsia="宋体" w:cs="Times New Roman"/>
                <w:color w:val="auto"/>
                <w:kern w:val="0"/>
                <w:sz w:val="21"/>
                <w:szCs w:val="21"/>
                <w:highlight w:val="none"/>
                <w:lang w:eastAsia="zh-CN"/>
              </w:rPr>
              <w:t>）</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2.59</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8.21</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1.43</w:t>
            </w:r>
            <w:r>
              <w:rPr>
                <w:rFonts w:hint="default" w:ascii="Times New Roman" w:hAnsi="Times New Roman" w:eastAsia="宋体" w:cs="Times New Roman"/>
                <w:color w:val="auto"/>
                <w:kern w:val="0"/>
                <w:sz w:val="21"/>
                <w:szCs w:val="21"/>
                <w:highlight w:val="none"/>
                <w:lang w:val="en-US" w:eastAsia="zh-CN"/>
              </w:rPr>
              <w:t xml:space="preserve">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eastAsia" w:cs="Times New Roman"/>
                <w:color w:val="auto"/>
                <w:kern w:val="0"/>
                <w:sz w:val="21"/>
                <w:szCs w:val="21"/>
                <w:highlight w:val="none"/>
                <w:lang w:val="en-US" w:eastAsia="zh-CN"/>
              </w:rPr>
              <w:t>95.3</w:t>
            </w:r>
            <w:r>
              <w:rPr>
                <w:rFonts w:hint="default" w:ascii="Times New Roman" w:hAnsi="Times New Roman" w:eastAsia="宋体" w:cs="Times New Roman"/>
                <w:color w:val="auto"/>
                <w:kern w:val="0"/>
                <w:sz w:val="21"/>
                <w:szCs w:val="21"/>
                <w:highlight w:val="none"/>
                <w:lang w:val="en-US" w:eastAsia="zh-CN"/>
              </w:rPr>
              <w:t xml:space="preserve">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1</w:t>
            </w:r>
            <w:r>
              <w:rPr>
                <w:rFonts w:hint="default" w:ascii="Times New Roman" w:hAnsi="Times New Roman" w:eastAsia="宋体"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lang w:eastAsia="zh-T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无组织</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2.7</w:t>
            </w:r>
          </w:p>
        </w:tc>
        <w:tc>
          <w:tcPr>
            <w:tcW w:w="908" w:type="dxa"/>
            <w:shd w:val="clear" w:color="auto" w:fill="auto"/>
            <w:vAlign w:val="center"/>
          </w:tcPr>
          <w:p>
            <w:pPr>
              <w:keepNext w:val="0"/>
              <w:keepLines w:val="0"/>
              <w:widowControl/>
              <w:suppressLineNumbers w:val="0"/>
              <w:shd w:val="clear"/>
              <w:jc w:val="right"/>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0.47 </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无组织排放</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2.7</w:t>
            </w:r>
          </w:p>
        </w:tc>
        <w:tc>
          <w:tcPr>
            <w:tcW w:w="90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0.47</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vMerge w:val="restart"/>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颗粒物</w:t>
            </w:r>
          </w:p>
        </w:tc>
        <w:tc>
          <w:tcPr>
            <w:tcW w:w="10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有组织</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3.04</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0.58</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58.0</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TW"/>
              </w:rPr>
              <w:t>耐高温过滤棉</w:t>
            </w:r>
            <w:r>
              <w:rPr>
                <w:rFonts w:hint="default" w:ascii="Times New Roman" w:hAnsi="Times New Roman" w:eastAsia="宋体" w:cs="Times New Roman"/>
                <w:color w:val="auto"/>
                <w:kern w:val="0"/>
                <w:sz w:val="21"/>
                <w:szCs w:val="21"/>
                <w:highlight w:val="none"/>
                <w:lang w:val="en-US" w:eastAsia="zh-CN"/>
              </w:rPr>
              <w:t>（处理效率80%）</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2.43</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0.61</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0.11</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11</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0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无组织</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0.76</w:t>
            </w:r>
          </w:p>
        </w:tc>
        <w:tc>
          <w:tcPr>
            <w:tcW w:w="908" w:type="dxa"/>
            <w:shd w:val="clear" w:color="auto" w:fill="auto"/>
            <w:vAlign w:val="center"/>
          </w:tcPr>
          <w:p>
            <w:pPr>
              <w:keepNext w:val="0"/>
              <w:keepLines w:val="0"/>
              <w:widowControl/>
              <w:suppressLineNumbers w:val="0"/>
              <w:shd w:val="clear"/>
              <w:jc w:val="right"/>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0.13</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封闭车间（处理效率60%）</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0.46</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0.30</w:t>
            </w:r>
          </w:p>
        </w:tc>
        <w:tc>
          <w:tcPr>
            <w:tcW w:w="908" w:type="dxa"/>
            <w:shd w:val="clear" w:color="auto" w:fill="auto"/>
            <w:vAlign w:val="center"/>
          </w:tcPr>
          <w:p>
            <w:pPr>
              <w:keepNext w:val="0"/>
              <w:keepLines w:val="0"/>
              <w:widowControl/>
              <w:suppressLineNumbers w:val="0"/>
              <w:shd w:val="clear"/>
              <w:jc w:val="right"/>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0.05</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塑料制品生产车间混料废气</w:t>
            </w:r>
          </w:p>
        </w:tc>
        <w:tc>
          <w:tcPr>
            <w:tcW w:w="1053" w:type="dxa"/>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颗粒物</w:t>
            </w:r>
          </w:p>
        </w:tc>
        <w:tc>
          <w:tcPr>
            <w:tcW w:w="1053"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无组织</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9.38</w:t>
            </w:r>
          </w:p>
        </w:tc>
        <w:tc>
          <w:tcPr>
            <w:tcW w:w="908" w:type="dxa"/>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TW"/>
              </w:rPr>
              <w:t>/</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sz w:val="21"/>
                <w:szCs w:val="21"/>
                <w:highlight w:val="none"/>
              </w:rPr>
              <w:t>除尘滤芯</w:t>
            </w:r>
            <w:r>
              <w:rPr>
                <w:rFonts w:hint="default" w:ascii="Times New Roman" w:hAnsi="Times New Roman" w:eastAsia="宋体" w:cs="Times New Roman"/>
                <w:color w:val="auto"/>
                <w:kern w:val="0"/>
                <w:sz w:val="21"/>
                <w:szCs w:val="21"/>
                <w:highlight w:val="none"/>
                <w:lang w:val="en-US" w:eastAsia="zh-CN"/>
              </w:rPr>
              <w:t>（处理效率99%）</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53.46</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0.54</w:t>
            </w:r>
          </w:p>
        </w:tc>
        <w:tc>
          <w:tcPr>
            <w:tcW w:w="908" w:type="dxa"/>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9</w:t>
            </w:r>
          </w:p>
        </w:tc>
        <w:tc>
          <w:tcPr>
            <w:tcW w:w="908" w:type="dxa"/>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TW"/>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废水</w:t>
            </w:r>
          </w:p>
        </w:tc>
        <w:tc>
          <w:tcPr>
            <w:tcW w:w="114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湿法破碎废水、</w:t>
            </w:r>
            <w:r>
              <w:rPr>
                <w:rFonts w:hint="default" w:ascii="Times New Roman" w:hAnsi="Times New Roman" w:eastAsia="宋体" w:cs="Times New Roman"/>
                <w:color w:val="auto"/>
                <w:kern w:val="0"/>
                <w:sz w:val="21"/>
                <w:szCs w:val="21"/>
                <w:highlight w:val="none"/>
                <w:lang w:eastAsia="zh-TW"/>
              </w:rPr>
              <w:t>清洗废水</w:t>
            </w:r>
            <w:r>
              <w:rPr>
                <w:rFonts w:hint="default" w:ascii="Times New Roman" w:hAnsi="Times New Roman" w:eastAsia="宋体" w:cs="Times New Roman"/>
                <w:color w:val="auto"/>
                <w:kern w:val="0"/>
                <w:sz w:val="21"/>
                <w:szCs w:val="21"/>
                <w:highlight w:val="none"/>
              </w:rPr>
              <w:t>、甩干废水</w:t>
            </w:r>
          </w:p>
        </w:tc>
        <w:tc>
          <w:tcPr>
            <w:tcW w:w="2106"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38.925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d</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三级沉淀池</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38.925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d</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TW"/>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114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冷却废水</w:t>
            </w:r>
          </w:p>
        </w:tc>
        <w:tc>
          <w:tcPr>
            <w:tcW w:w="2106"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洁净水</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d</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冷却水</w:t>
            </w:r>
            <w:r>
              <w:rPr>
                <w:rFonts w:hint="default" w:ascii="Times New Roman" w:hAnsi="Times New Roman" w:eastAsia="宋体" w:cs="Times New Roman"/>
                <w:color w:val="auto"/>
                <w:kern w:val="0"/>
                <w:sz w:val="21"/>
                <w:szCs w:val="21"/>
                <w:highlight w:val="none"/>
                <w:lang w:eastAsia="zh-CN"/>
              </w:rPr>
              <w:t>池</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d</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生活污水</w:t>
            </w:r>
          </w:p>
        </w:tc>
        <w:tc>
          <w:tcPr>
            <w:tcW w:w="2106"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废水量</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115.2</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c>
          <w:tcPr>
            <w:tcW w:w="247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eastAsia="zh-CN"/>
              </w:rPr>
              <w:t>排入防渗化粪池内</w:t>
            </w:r>
            <w:r>
              <w:rPr>
                <w:rFonts w:hint="default" w:ascii="Times New Roman" w:hAnsi="Times New Roman" w:eastAsia="宋体" w:cs="Times New Roman"/>
                <w:color w:val="auto"/>
                <w:sz w:val="21"/>
                <w:szCs w:val="21"/>
                <w:highlight w:val="none"/>
                <w:lang w:val="en-US" w:eastAsia="zh-CN"/>
              </w:rPr>
              <w:t>，定期清掏</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115.2</w:t>
            </w:r>
            <w:r>
              <w:rPr>
                <w:rFonts w:hint="default" w:ascii="Times New Roman" w:hAnsi="Times New Roman" w:eastAsia="宋体" w:cs="Times New Roman"/>
                <w:color w:val="auto"/>
                <w:kern w:val="0"/>
                <w:sz w:val="21"/>
                <w:szCs w:val="21"/>
                <w:highlight w:val="none"/>
              </w:rPr>
              <w:t xml:space="preserve"> </w:t>
            </w:r>
            <w:r>
              <w:rPr>
                <w:rFonts w:hint="default" w:ascii="Times New Roman" w:hAnsi="Times New Roman" w:eastAsia="宋体" w:cs="Times New Roman"/>
                <w:color w:val="auto"/>
                <w:kern w:val="0"/>
                <w:sz w:val="21"/>
                <w:szCs w:val="21"/>
                <w:highlight w:val="none"/>
                <w:lang w:eastAsia="zh-TW"/>
              </w:rPr>
              <w:t>m</w:t>
            </w:r>
            <w:r>
              <w:rPr>
                <w:rFonts w:hint="default" w:ascii="Times New Roman" w:hAnsi="Times New Roman" w:eastAsia="宋体" w:cs="Times New Roman"/>
                <w:color w:val="auto"/>
                <w:kern w:val="0"/>
                <w:sz w:val="21"/>
                <w:szCs w:val="21"/>
                <w:highlight w:val="none"/>
                <w:vertAlign w:val="superscript"/>
                <w:lang w:eastAsia="zh-TW"/>
              </w:rPr>
              <w:t>3</w:t>
            </w:r>
            <w:r>
              <w:rPr>
                <w:rFonts w:hint="default" w:ascii="Times New Roman" w:hAnsi="Times New Roman" w:eastAsia="宋体" w:cs="Times New Roman"/>
                <w:color w:val="auto"/>
                <w:kern w:val="0"/>
                <w:sz w:val="21"/>
                <w:szCs w:val="21"/>
                <w:highlight w:val="none"/>
                <w:lang w:eastAsia="zh-TW"/>
              </w:rPr>
              <w:t>/a</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106"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380mg/L</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0.044</w:t>
            </w:r>
          </w:p>
        </w:tc>
        <w:tc>
          <w:tcPr>
            <w:tcW w:w="2470"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0.044</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380mg/L</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106"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BOD</w:t>
            </w:r>
            <w:r>
              <w:rPr>
                <w:rFonts w:hint="default" w:ascii="Times New Roman" w:hAnsi="Times New Roman" w:eastAsia="宋体" w:cs="Times New Roman"/>
                <w:color w:val="auto"/>
                <w:kern w:val="0"/>
                <w:sz w:val="21"/>
                <w:szCs w:val="21"/>
                <w:highlight w:val="none"/>
                <w:vertAlign w:val="subscript"/>
              </w:rPr>
              <w:t>5</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180mg/L</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0.021</w:t>
            </w:r>
          </w:p>
        </w:tc>
        <w:tc>
          <w:tcPr>
            <w:tcW w:w="2470"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0.021</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180mg/L</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106"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150mg/L</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0.017</w:t>
            </w:r>
          </w:p>
        </w:tc>
        <w:tc>
          <w:tcPr>
            <w:tcW w:w="2470"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0.017</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150mg/L</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41"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2106" w:type="dxa"/>
            <w:gridSpan w:val="2"/>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25mg/L</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0.003</w:t>
            </w:r>
          </w:p>
        </w:tc>
        <w:tc>
          <w:tcPr>
            <w:tcW w:w="2470"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0.003</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25mg/L</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固废</w:t>
            </w:r>
          </w:p>
        </w:tc>
        <w:tc>
          <w:tcPr>
            <w:tcW w:w="3247"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分拣固废</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103.778</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暂存一般固废暂存间，</w:t>
            </w:r>
            <w:r>
              <w:rPr>
                <w:rFonts w:hint="default" w:ascii="Times New Roman" w:hAnsi="Times New Roman" w:eastAsia="宋体" w:cs="Times New Roman"/>
                <w:color w:val="auto"/>
                <w:sz w:val="21"/>
                <w:szCs w:val="21"/>
                <w:highlight w:val="none"/>
                <w:lang w:eastAsia="zh-CN"/>
              </w:rPr>
              <w:t>交由当地环卫部门清运，统一处置</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103.778</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0</w:t>
            </w:r>
          </w:p>
        </w:tc>
        <w:tc>
          <w:tcPr>
            <w:tcW w:w="908"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3247"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三级沉淀池沉渣</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74.7</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定期清掏后</w:t>
            </w:r>
            <w:r>
              <w:rPr>
                <w:rFonts w:hint="default" w:ascii="Times New Roman" w:hAnsi="Times New Roman" w:eastAsia="宋体" w:cs="Times New Roman"/>
                <w:color w:val="auto"/>
                <w:kern w:val="0"/>
                <w:sz w:val="21"/>
                <w:szCs w:val="21"/>
                <w:highlight w:val="none"/>
                <w:lang w:eastAsia="zh-TW"/>
              </w:rPr>
              <w:t>，暂存一般固废暂存间，</w:t>
            </w:r>
            <w:r>
              <w:rPr>
                <w:rFonts w:hint="default" w:ascii="Times New Roman" w:hAnsi="Times New Roman" w:eastAsia="宋体" w:cs="Times New Roman"/>
                <w:color w:val="auto"/>
                <w:sz w:val="21"/>
                <w:szCs w:val="21"/>
                <w:highlight w:val="none"/>
                <w:lang w:eastAsia="zh-CN"/>
              </w:rPr>
              <w:t>交由当地环卫部门清运，统一处置</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74.7</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0</w:t>
            </w:r>
          </w:p>
        </w:tc>
        <w:tc>
          <w:tcPr>
            <w:tcW w:w="9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3247"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废滤网</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0.1296</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暂存于一般固废暂存间，</w:t>
            </w:r>
            <w:r>
              <w:rPr>
                <w:rFonts w:hint="default" w:ascii="Times New Roman" w:hAnsi="Times New Roman" w:eastAsia="宋体" w:cs="Times New Roman"/>
                <w:color w:val="auto"/>
                <w:kern w:val="0"/>
                <w:sz w:val="21"/>
                <w:szCs w:val="21"/>
                <w:highlight w:val="none"/>
              </w:rPr>
              <w:t>定期</w:t>
            </w:r>
            <w:r>
              <w:rPr>
                <w:rFonts w:hint="default" w:ascii="Times New Roman" w:hAnsi="Times New Roman" w:eastAsia="宋体" w:cs="Times New Roman"/>
                <w:color w:val="auto"/>
                <w:kern w:val="0"/>
                <w:sz w:val="21"/>
                <w:szCs w:val="21"/>
                <w:highlight w:val="none"/>
                <w:lang w:eastAsia="zh-TW"/>
              </w:rPr>
              <w:t>由厂家回收</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0.1296</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0</w:t>
            </w:r>
          </w:p>
        </w:tc>
        <w:tc>
          <w:tcPr>
            <w:tcW w:w="9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3247"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混料工序收集的颗粒物</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53.46</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CN"/>
              </w:rPr>
              <w:t>回用于生产，不外排</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53.46</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rPr>
              <w:t>0</w:t>
            </w:r>
          </w:p>
        </w:tc>
        <w:tc>
          <w:tcPr>
            <w:tcW w:w="9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3247"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废耐高温过滤棉</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8.826</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暂存于危废暂存间，定期委托有资质单位处置</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8.826</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0</w:t>
            </w:r>
          </w:p>
        </w:tc>
        <w:tc>
          <w:tcPr>
            <w:tcW w:w="9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3247"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TW"/>
              </w:rPr>
              <w:t>废</w:t>
            </w:r>
            <w:r>
              <w:rPr>
                <w:rFonts w:hint="eastAsia" w:cs="Times New Roman"/>
                <w:color w:val="auto"/>
                <w:kern w:val="0"/>
                <w:sz w:val="21"/>
                <w:szCs w:val="21"/>
                <w:highlight w:val="none"/>
                <w:lang w:val="en-US" w:eastAsia="zh-CN"/>
              </w:rPr>
              <w:t>灯管</w:t>
            </w:r>
          </w:p>
        </w:tc>
        <w:tc>
          <w:tcPr>
            <w:tcW w:w="9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247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暂存于危废暂存间，</w:t>
            </w:r>
            <w:r>
              <w:rPr>
                <w:rFonts w:hint="default" w:ascii="Times New Roman" w:hAnsi="Times New Roman" w:eastAsia="宋体" w:cs="Times New Roman"/>
                <w:color w:val="auto"/>
                <w:kern w:val="0"/>
                <w:sz w:val="21"/>
                <w:szCs w:val="21"/>
                <w:highlight w:val="none"/>
                <w:lang w:eastAsia="zh-CN"/>
              </w:rPr>
              <w:t>定期</w:t>
            </w:r>
            <w:r>
              <w:rPr>
                <w:rFonts w:hint="default" w:ascii="Times New Roman" w:hAnsi="Times New Roman" w:eastAsia="宋体" w:cs="Times New Roman"/>
                <w:color w:val="auto"/>
                <w:kern w:val="0"/>
                <w:sz w:val="21"/>
                <w:szCs w:val="21"/>
                <w:highlight w:val="none"/>
                <w:lang w:eastAsia="zh-TW"/>
              </w:rPr>
              <w:t>交由有资质的单位进行处置</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9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w:t>
            </w:r>
          </w:p>
        </w:tc>
        <w:tc>
          <w:tcPr>
            <w:tcW w:w="9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w:t>
            </w:r>
          </w:p>
        </w:tc>
        <w:tc>
          <w:tcPr>
            <w:tcW w:w="90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0</w:t>
            </w:r>
          </w:p>
        </w:tc>
        <w:tc>
          <w:tcPr>
            <w:tcW w:w="9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3247"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废活性炭</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8.61</w:t>
            </w:r>
          </w:p>
        </w:tc>
        <w:tc>
          <w:tcPr>
            <w:tcW w:w="2470"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暂存于危废暂存间，定期委托有资质单位处置</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8.61</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0</w:t>
            </w:r>
          </w:p>
        </w:tc>
        <w:tc>
          <w:tcPr>
            <w:tcW w:w="9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3247"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生活垃圾</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val="en-US" w:eastAsia="zh-CN"/>
              </w:rPr>
              <w:t>2</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集中收集后</w:t>
            </w:r>
            <w:r>
              <w:rPr>
                <w:rFonts w:hint="default" w:ascii="Times New Roman" w:hAnsi="Times New Roman" w:eastAsia="宋体" w:cs="Times New Roman"/>
                <w:color w:val="auto"/>
                <w:kern w:val="0"/>
                <w:sz w:val="21"/>
                <w:szCs w:val="21"/>
                <w:highlight w:val="none"/>
              </w:rPr>
              <w:t>由环卫部门处置</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val="en-US" w:eastAsia="zh-CN"/>
              </w:rPr>
              <w:t>2</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0</w:t>
            </w:r>
          </w:p>
        </w:tc>
        <w:tc>
          <w:tcPr>
            <w:tcW w:w="908"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噪声</w:t>
            </w:r>
          </w:p>
        </w:tc>
        <w:tc>
          <w:tcPr>
            <w:tcW w:w="3247"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设备噪声dB</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A</w:t>
            </w:r>
            <w:r>
              <w:rPr>
                <w:rFonts w:hint="default" w:ascii="Times New Roman" w:hAnsi="Times New Roman" w:eastAsia="宋体" w:cs="Times New Roman"/>
                <w:color w:val="auto"/>
                <w:kern w:val="0"/>
                <w:sz w:val="21"/>
                <w:szCs w:val="21"/>
                <w:highlight w:val="none"/>
                <w:lang w:eastAsia="zh-CN"/>
              </w:rPr>
              <w:t>）</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w:t>
            </w:r>
            <w:r>
              <w:rPr>
                <w:rFonts w:hint="default" w:ascii="Times New Roman" w:hAnsi="Times New Roman" w:eastAsia="宋体" w:cs="Times New Roman"/>
                <w:color w:val="auto"/>
                <w:kern w:val="0"/>
                <w:sz w:val="21"/>
                <w:szCs w:val="21"/>
                <w:highlight w:val="none"/>
                <w:lang w:val="en-US" w:eastAsia="zh-CN"/>
              </w:rPr>
              <w:t>90</w:t>
            </w:r>
            <w:r>
              <w:rPr>
                <w:rFonts w:hint="default" w:ascii="Times New Roman" w:hAnsi="Times New Roman" w:eastAsia="宋体" w:cs="Times New Roman"/>
                <w:color w:val="auto"/>
                <w:kern w:val="0"/>
                <w:sz w:val="21"/>
                <w:szCs w:val="21"/>
                <w:highlight w:val="none"/>
                <w:lang w:eastAsia="zh-TW"/>
              </w:rPr>
              <w:t>dB</w:t>
            </w:r>
          </w:p>
        </w:tc>
        <w:tc>
          <w:tcPr>
            <w:tcW w:w="247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墙体隔声、距离衰减</w:t>
            </w:r>
          </w:p>
        </w:tc>
        <w:tc>
          <w:tcPr>
            <w:tcW w:w="915"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val="en-US" w:eastAsia="zh-CN"/>
              </w:rPr>
              <w:t>25</w:t>
            </w:r>
            <w:r>
              <w:rPr>
                <w:rFonts w:hint="default" w:ascii="Times New Roman" w:hAnsi="Times New Roman" w:eastAsia="宋体" w:cs="Times New Roman"/>
                <w:color w:val="auto"/>
                <w:kern w:val="0"/>
                <w:sz w:val="21"/>
                <w:szCs w:val="21"/>
                <w:highlight w:val="none"/>
                <w:lang w:eastAsia="zh-TW"/>
              </w:rPr>
              <w:t>dB</w:t>
            </w:r>
          </w:p>
        </w:tc>
        <w:tc>
          <w:tcPr>
            <w:tcW w:w="2724" w:type="dxa"/>
            <w:gridSpan w:val="3"/>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&lt;</w:t>
            </w:r>
            <w:r>
              <w:rPr>
                <w:rFonts w:hint="default" w:ascii="Times New Roman" w:hAnsi="Times New Roman" w:eastAsia="宋体" w:cs="Times New Roman"/>
                <w:color w:val="auto"/>
                <w:kern w:val="0"/>
                <w:sz w:val="21"/>
                <w:szCs w:val="21"/>
                <w:highlight w:val="none"/>
                <w:lang w:val="en-US" w:eastAsia="zh-CN"/>
              </w:rPr>
              <w:t>50</w:t>
            </w:r>
            <w:r>
              <w:rPr>
                <w:rFonts w:hint="default" w:ascii="Times New Roman" w:hAnsi="Times New Roman" w:eastAsia="宋体" w:cs="Times New Roman"/>
                <w:color w:val="auto"/>
                <w:kern w:val="0"/>
                <w:sz w:val="21"/>
                <w:szCs w:val="21"/>
                <w:highlight w:val="none"/>
                <w:lang w:eastAsia="zh-TW"/>
              </w:rPr>
              <w:t>dB</w:t>
            </w:r>
          </w:p>
        </w:tc>
        <w:tc>
          <w:tcPr>
            <w:tcW w:w="908"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TW"/>
              </w:rPr>
              <w:t>昼间6</w:t>
            </w:r>
            <w:r>
              <w:rPr>
                <w:rFonts w:hint="default" w:ascii="Times New Roman" w:hAnsi="Times New Roman" w:eastAsia="宋体"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lang w:eastAsia="zh-TW"/>
              </w:rPr>
              <w:t>，夜间5</w:t>
            </w:r>
            <w:r>
              <w:rPr>
                <w:rFonts w:hint="default" w:ascii="Times New Roman" w:hAnsi="Times New Roman" w:eastAsia="宋体" w:cs="Times New Roman"/>
                <w:color w:val="auto"/>
                <w:kern w:val="0"/>
                <w:sz w:val="21"/>
                <w:szCs w:val="21"/>
                <w:highlight w:val="none"/>
                <w:lang w:val="en-US" w:eastAsia="zh-CN"/>
              </w:rPr>
              <w:t>0</w:t>
            </w:r>
          </w:p>
        </w:tc>
      </w:tr>
    </w:tbl>
    <w:p>
      <w:pPr>
        <w:numPr>
          <w:ilvl w:val="8"/>
          <w:numId w:val="0"/>
        </w:numPr>
        <w:shd w:val="clear"/>
        <w:tabs>
          <w:tab w:val="left" w:pos="360"/>
        </w:tabs>
        <w:autoSpaceDE w:val="0"/>
        <w:autoSpaceDN w:val="0"/>
        <w:adjustRightInd w:val="0"/>
        <w:spacing w:line="360" w:lineRule="auto"/>
        <w:ind w:firstLine="437"/>
        <w:rPr>
          <w:rFonts w:hint="default" w:ascii="Times New Roman" w:hAnsi="Times New Roman" w:eastAsia="宋体" w:cs="Times New Roman"/>
          <w:b/>
          <w:color w:val="auto"/>
          <w:sz w:val="24"/>
          <w:highlight w:val="none"/>
        </w:rPr>
        <w:sectPr>
          <w:pgSz w:w="16840" w:h="11907" w:orient="landscape"/>
          <w:pgMar w:top="1440" w:right="1797" w:bottom="1440" w:left="1797" w:header="992" w:footer="992" w:gutter="0"/>
          <w:pgNumType w:fmt="decimal"/>
          <w:cols w:space="425" w:num="1"/>
          <w:docGrid w:linePitch="312" w:charSpace="0"/>
        </w:sectPr>
      </w:pPr>
    </w:p>
    <w:p>
      <w:pPr>
        <w:pStyle w:val="5"/>
        <w:keepNext/>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32"/>
          <w:szCs w:val="32"/>
          <w:lang w:val="en-US" w:eastAsia="zh-CN"/>
        </w:rPr>
      </w:pPr>
      <w:bookmarkStart w:id="159" w:name="_Toc3693"/>
      <w:bookmarkStart w:id="160" w:name="_Toc6643"/>
      <w:bookmarkStart w:id="161" w:name="_Toc3294"/>
      <w:bookmarkStart w:id="162" w:name="_Toc13197"/>
      <w:bookmarkStart w:id="163" w:name="_Toc9345"/>
      <w:r>
        <w:rPr>
          <w:rFonts w:hint="default" w:ascii="Times New Roman" w:hAnsi="Times New Roman" w:eastAsia="宋体" w:cs="Times New Roman"/>
          <w:color w:val="auto"/>
          <w:sz w:val="32"/>
          <w:szCs w:val="32"/>
          <w:lang w:val="en-US" w:eastAsia="zh-CN"/>
        </w:rPr>
        <w:t>3.5总量控制</w:t>
      </w:r>
      <w:bookmarkEnd w:id="159"/>
      <w:bookmarkEnd w:id="160"/>
      <w:bookmarkEnd w:id="161"/>
      <w:bookmarkEnd w:id="162"/>
      <w:bookmarkEnd w:id="16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164" w:name="_Toc18110"/>
      <w:r>
        <w:rPr>
          <w:rFonts w:hint="default" w:ascii="Times New Roman" w:hAnsi="Times New Roman" w:eastAsia="宋体" w:cs="Times New Roman"/>
          <w:color w:val="auto"/>
          <w:sz w:val="24"/>
          <w:szCs w:val="24"/>
          <w:lang w:val="en-US" w:eastAsia="zh-CN"/>
        </w:rPr>
        <w:t>根据国家污染物总量控制要求，本项目实施排放总量控制的污染物为：废气中的非甲烷总烃，以及生活污水中的COD和氨氮。</w:t>
      </w:r>
      <w:bookmarkEnd w:id="16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165" w:name="_Toc17892"/>
      <w:r>
        <w:rPr>
          <w:rFonts w:hint="default" w:ascii="Times New Roman" w:hAnsi="Times New Roman" w:eastAsia="宋体" w:cs="Times New Roman"/>
          <w:color w:val="auto"/>
          <w:sz w:val="24"/>
          <w:szCs w:val="24"/>
          <w:lang w:val="en-US" w:eastAsia="zh-CN"/>
        </w:rPr>
        <w:t>（1）废气</w:t>
      </w:r>
      <w:bookmarkEnd w:id="16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bookmarkStart w:id="166" w:name="_Toc2931"/>
      <w:r>
        <w:rPr>
          <w:rFonts w:hint="default" w:ascii="Times New Roman" w:hAnsi="Times New Roman" w:eastAsia="宋体" w:cs="Times New Roman"/>
          <w:color w:val="auto"/>
          <w:sz w:val="24"/>
          <w:szCs w:val="24"/>
          <w:lang w:val="en-US" w:eastAsia="zh-CN"/>
        </w:rPr>
        <w:t>本项目废气总量控制因子为非甲烷总烃：根据工程分析本项目</w:t>
      </w:r>
      <w:bookmarkEnd w:id="166"/>
      <w:r>
        <w:rPr>
          <w:rFonts w:hint="default" w:ascii="Times New Roman" w:hAnsi="Times New Roman" w:eastAsia="宋体" w:cs="Times New Roman"/>
          <w:color w:val="auto"/>
          <w:sz w:val="24"/>
          <w:szCs w:val="24"/>
          <w:lang w:val="en-US" w:eastAsia="zh-CN"/>
        </w:rPr>
        <w:t>有组织排放的非甲烷总烃量为4.94t/a。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本项目总量控制</w:t>
      </w:r>
      <w:r>
        <w:rPr>
          <w:rFonts w:hint="default" w:ascii="Times New Roman" w:hAnsi="Times New Roman" w:eastAsia="宋体" w:cs="Times New Roman"/>
          <w:color w:val="auto"/>
          <w:sz w:val="24"/>
          <w:szCs w:val="24"/>
          <w:lang w:val="en-US" w:eastAsia="zh-CN"/>
        </w:rPr>
        <w:t>因子非甲烷总烃</w:t>
      </w:r>
      <w:r>
        <w:rPr>
          <w:rFonts w:hint="default" w:ascii="Times New Roman" w:hAnsi="Times New Roman" w:eastAsia="宋体" w:cs="Times New Roman"/>
          <w:color w:val="auto"/>
          <w:sz w:val="24"/>
          <w:szCs w:val="24"/>
        </w:rPr>
        <w:t>的排放量见表</w:t>
      </w:r>
      <w:r>
        <w:rPr>
          <w:rFonts w:hint="default"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w:t>
      </w:r>
      <w:r>
        <w:rPr>
          <w:rFonts w:hint="default" w:ascii="Times New Roman" w:hAnsi="Times New Roman" w:eastAsia="宋体" w:cs="Times New Roman"/>
          <w:b/>
          <w:bCs/>
          <w:color w:val="auto"/>
          <w:kern w:val="0"/>
          <w:sz w:val="24"/>
          <w:szCs w:val="24"/>
          <w:highlight w:val="none"/>
          <w:lang w:val="en-US" w:eastAsia="zh-CN"/>
        </w:rPr>
        <w:t>3.5-1</w:t>
      </w:r>
      <w:r>
        <w:rPr>
          <w:rFonts w:hint="default" w:ascii="Times New Roman" w:hAnsi="Times New Roman" w:eastAsia="宋体" w:cs="Times New Roman"/>
          <w:b/>
          <w:bCs/>
          <w:color w:val="auto"/>
          <w:kern w:val="0"/>
          <w:sz w:val="24"/>
          <w:szCs w:val="24"/>
          <w:highlight w:val="none"/>
        </w:rPr>
        <w:t xml:space="preserve"> 项目总量控制</w:t>
      </w:r>
      <w:r>
        <w:rPr>
          <w:rFonts w:hint="default" w:ascii="Times New Roman" w:hAnsi="Times New Roman" w:eastAsia="宋体" w:cs="Times New Roman"/>
          <w:b/>
          <w:bCs/>
          <w:color w:val="auto"/>
          <w:kern w:val="0"/>
          <w:sz w:val="24"/>
          <w:szCs w:val="24"/>
          <w:highlight w:val="none"/>
          <w:lang w:val="en-US" w:eastAsia="zh-CN"/>
        </w:rPr>
        <w:t>因子</w:t>
      </w:r>
      <w:r>
        <w:rPr>
          <w:rFonts w:hint="default" w:ascii="Times New Roman" w:hAnsi="Times New Roman" w:eastAsia="宋体" w:cs="Times New Roman"/>
          <w:b/>
          <w:bCs/>
          <w:color w:val="auto"/>
          <w:kern w:val="0"/>
          <w:sz w:val="24"/>
          <w:szCs w:val="24"/>
          <w:highlight w:val="none"/>
        </w:rPr>
        <w:t>排放量计算结果</w:t>
      </w:r>
    </w:p>
    <w:tbl>
      <w:tblPr>
        <w:tblStyle w:val="9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8"/>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8" w:type="dxa"/>
            <w:noWrap w:val="0"/>
            <w:vAlign w:val="center"/>
          </w:tcPr>
          <w:p>
            <w:pPr>
              <w:pStyle w:val="2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总量控制指标</w:t>
            </w:r>
          </w:p>
        </w:tc>
        <w:tc>
          <w:tcPr>
            <w:tcW w:w="2759" w:type="dxa"/>
            <w:noWrap w:val="0"/>
            <w:vAlign w:val="center"/>
          </w:tcPr>
          <w:p>
            <w:pPr>
              <w:pStyle w:val="2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kern w:val="2"/>
                <w:sz w:val="21"/>
                <w:szCs w:val="21"/>
                <w:highlight w:val="none"/>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8" w:type="dxa"/>
            <w:noWrap w:val="0"/>
            <w:vAlign w:val="center"/>
          </w:tcPr>
          <w:p>
            <w:pPr>
              <w:pStyle w:val="2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本项目排放量（总量建议值）（t/a）</w:t>
            </w:r>
          </w:p>
        </w:tc>
        <w:tc>
          <w:tcPr>
            <w:tcW w:w="2759" w:type="dxa"/>
            <w:noWrap w:val="0"/>
            <w:vAlign w:val="center"/>
          </w:tcPr>
          <w:p>
            <w:pPr>
              <w:pStyle w:val="2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8.89</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ascii="Times New Roman" w:hAnsi="Times New Roman" w:eastAsia="宋体" w:cs="Times New Roman"/>
          <w:color w:val="auto"/>
          <w:sz w:val="24"/>
          <w:szCs w:val="24"/>
          <w:lang w:val="en-US" w:eastAsia="zh-CN"/>
        </w:rPr>
        <w:t>本项目生活污水排入防渗化粪池内，定期清掏，不再申请总量控制指标。</w:t>
      </w:r>
    </w:p>
    <w:p>
      <w:pPr>
        <w:bidi w:val="0"/>
        <w:rPr>
          <w:rFonts w:hint="default"/>
          <w:color w:val="auto"/>
        </w:rPr>
      </w:pPr>
    </w:p>
    <w:p>
      <w:pPr>
        <w:bidi w:val="0"/>
        <w:rPr>
          <w:rFonts w:hint="default"/>
          <w:color w:val="auto"/>
        </w:rPr>
      </w:pPr>
    </w:p>
    <w:p>
      <w:pPr>
        <w:bidi w:val="0"/>
        <w:rPr>
          <w:rFonts w:hint="default"/>
          <w:color w:val="auto"/>
        </w:rPr>
      </w:pPr>
    </w:p>
    <w:p>
      <w:pPr>
        <w:bidi w:val="0"/>
        <w:rPr>
          <w:rFonts w:hint="default"/>
          <w:color w:val="auto"/>
        </w:rPr>
      </w:pPr>
    </w:p>
    <w:p>
      <w:pPr>
        <w:bidi w:val="0"/>
        <w:rPr>
          <w:rFonts w:hint="default"/>
          <w:color w:val="auto"/>
        </w:rPr>
      </w:pPr>
    </w:p>
    <w:p>
      <w:pPr>
        <w:pStyle w:val="2"/>
        <w:rPr>
          <w:rFonts w:hint="default" w:ascii="Times New Roman" w:hAnsi="Times New Roman" w:eastAsia="宋体" w:cs="Times New Roman"/>
          <w:b/>
          <w:color w:val="auto"/>
          <w:sz w:val="24"/>
          <w:highlight w:val="none"/>
        </w:rPr>
      </w:pPr>
    </w:p>
    <w:p>
      <w:pPr>
        <w:pStyle w:val="2"/>
        <w:rPr>
          <w:rFonts w:hint="default" w:ascii="Times New Roman" w:hAnsi="Times New Roman" w:eastAsia="宋体" w:cs="Times New Roman"/>
          <w:b/>
          <w:color w:val="auto"/>
          <w:sz w:val="24"/>
          <w:highlight w:val="none"/>
        </w:rPr>
        <w:sectPr>
          <w:pgSz w:w="11907" w:h="16840"/>
          <w:pgMar w:top="1797" w:right="1440" w:bottom="1797" w:left="1440" w:header="992" w:footer="992" w:gutter="0"/>
          <w:pgNumType w:fmt="decimal"/>
          <w:cols w:space="425" w:num="1"/>
          <w:docGrid w:linePitch="312" w:charSpace="0"/>
        </w:sectPr>
      </w:pPr>
    </w:p>
    <w:bookmarkEnd w:id="149"/>
    <w:bookmarkEnd w:id="156"/>
    <w:bookmarkEnd w:id="157"/>
    <w:p>
      <w:pPr>
        <w:pStyle w:val="4"/>
        <w:keepNext w:val="0"/>
        <w:keepLines w:val="0"/>
        <w:pageBreakBefore/>
        <w:widowControl w:val="0"/>
        <w:shd w:val="clear"/>
        <w:kinsoku/>
        <w:wordWrap/>
        <w:overflowPunct/>
        <w:topLinePunct w:val="0"/>
        <w:bidi w:val="0"/>
        <w:snapToGrid/>
        <w:spacing w:before="120" w:after="120" w:line="360" w:lineRule="auto"/>
        <w:textAlignment w:val="auto"/>
        <w:rPr>
          <w:rFonts w:hint="default" w:ascii="Times New Roman" w:hAnsi="Times New Roman" w:eastAsia="宋体" w:cs="Times New Roman"/>
          <w:color w:val="auto"/>
          <w:szCs w:val="28"/>
          <w:highlight w:val="none"/>
        </w:rPr>
      </w:pPr>
      <w:bookmarkStart w:id="167" w:name="_Toc464475360"/>
      <w:bookmarkStart w:id="168" w:name="_Toc13873"/>
      <w:bookmarkStart w:id="169" w:name="_Toc327383083"/>
      <w:r>
        <w:rPr>
          <w:rFonts w:hint="default" w:ascii="Times New Roman" w:hAnsi="Times New Roman" w:eastAsia="宋体" w:cs="Times New Roman"/>
          <w:color w:val="auto"/>
          <w:szCs w:val="28"/>
          <w:highlight w:val="none"/>
        </w:rPr>
        <w:t>4</w:t>
      </w:r>
      <w:bookmarkEnd w:id="167"/>
      <w:r>
        <w:rPr>
          <w:rFonts w:hint="default" w:ascii="Times New Roman" w:hAnsi="Times New Roman" w:eastAsia="宋体" w:cs="Times New Roman"/>
          <w:bCs w:val="0"/>
          <w:color w:val="auto"/>
          <w:szCs w:val="28"/>
          <w:highlight w:val="none"/>
        </w:rPr>
        <w:t>环境现状调查与评价</w:t>
      </w:r>
      <w:bookmarkEnd w:id="168"/>
    </w:p>
    <w:bookmarkEnd w:id="127"/>
    <w:bookmarkEnd w:id="169"/>
    <w:p>
      <w:pPr>
        <w:pStyle w:val="5"/>
        <w:keepNext w:val="0"/>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bookmarkStart w:id="170" w:name="_Toc327383084"/>
      <w:bookmarkStart w:id="171" w:name="_Toc84754940"/>
      <w:bookmarkStart w:id="172" w:name="_Toc2133"/>
      <w:bookmarkStart w:id="173" w:name="_Toc84754795"/>
      <w:bookmarkStart w:id="174" w:name="_Toc464475361"/>
      <w:bookmarkStart w:id="175" w:name="_Toc81996649"/>
      <w:bookmarkStart w:id="176" w:name="_Toc82330818"/>
      <w:bookmarkStart w:id="177" w:name="_Toc85339378"/>
      <w:bookmarkStart w:id="178" w:name="_Toc243119328"/>
      <w:r>
        <w:rPr>
          <w:rFonts w:hint="default" w:ascii="Times New Roman" w:hAnsi="Times New Roman" w:eastAsia="宋体" w:cs="Times New Roman"/>
          <w:color w:val="auto"/>
          <w:highlight w:val="none"/>
        </w:rPr>
        <w:t>4.1自然环境概况</w:t>
      </w:r>
      <w:bookmarkEnd w:id="170"/>
      <w:bookmarkEnd w:id="171"/>
      <w:bookmarkEnd w:id="172"/>
      <w:bookmarkEnd w:id="173"/>
      <w:bookmarkEnd w:id="174"/>
      <w:bookmarkEnd w:id="175"/>
      <w:bookmarkEnd w:id="176"/>
      <w:bookmarkEnd w:id="177"/>
      <w:bookmarkEnd w:id="178"/>
    </w:p>
    <w:p>
      <w:pPr>
        <w:pStyle w:val="6"/>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bookmarkStart w:id="179" w:name="_Toc243119329"/>
      <w:bookmarkStart w:id="180" w:name="_Toc464475362"/>
      <w:bookmarkStart w:id="181" w:name="_Toc327383085"/>
      <w:r>
        <w:rPr>
          <w:rFonts w:hint="default" w:ascii="Times New Roman" w:hAnsi="Times New Roman" w:eastAsia="宋体" w:cs="Times New Roman"/>
          <w:color w:val="auto"/>
          <w:highlight w:val="none"/>
        </w:rPr>
        <w:t>4.1.1</w:t>
      </w:r>
      <w:bookmarkEnd w:id="179"/>
      <w:r>
        <w:rPr>
          <w:rFonts w:hint="default" w:ascii="Times New Roman" w:hAnsi="Times New Roman" w:eastAsia="宋体" w:cs="Times New Roman"/>
          <w:color w:val="auto"/>
          <w:sz w:val="30"/>
          <w:highlight w:val="none"/>
        </w:rPr>
        <w:t>地理位置</w:t>
      </w:r>
      <w:bookmarkEnd w:id="180"/>
      <w:bookmarkEnd w:id="181"/>
    </w:p>
    <w:p>
      <w:pPr>
        <w:keepNext w:val="0"/>
        <w:keepLines w:val="0"/>
        <w:widowControl w:val="0"/>
        <w:shd w:val="clear"/>
        <w:tabs>
          <w:tab w:val="center" w:pos="4153"/>
          <w:tab w:val="right" w:pos="8306"/>
        </w:tabs>
        <w:kinsoku/>
        <w:wordWrap/>
        <w:overflowPunct/>
        <w:topLinePunct w:val="0"/>
        <w:bidi w:val="0"/>
        <w:snapToGrid/>
        <w:spacing w:line="360" w:lineRule="auto"/>
        <w:ind w:firstLine="480"/>
        <w:textAlignment w:val="auto"/>
        <w:rPr>
          <w:rFonts w:hint="default" w:ascii="Times New Roman" w:hAnsi="Times New Roman" w:eastAsia="宋体" w:cs="Times New Roman"/>
          <w:color w:val="auto"/>
          <w:sz w:val="24"/>
          <w:szCs w:val="32"/>
          <w:highlight w:val="none"/>
        </w:rPr>
      </w:pPr>
      <w:bookmarkStart w:id="182" w:name="_Toc243119330"/>
      <w:bookmarkStart w:id="183" w:name="_Toc327383086"/>
      <w:r>
        <w:rPr>
          <w:rFonts w:hint="default" w:ascii="Times New Roman" w:hAnsi="Times New Roman" w:eastAsia="宋体" w:cs="Times New Roman"/>
          <w:color w:val="auto"/>
          <w:sz w:val="24"/>
          <w:szCs w:val="32"/>
          <w:highlight w:val="none"/>
        </w:rPr>
        <w:t>乌拉特前旗是巴彦淖尔市下辖旗，位于内蒙古自治区西部，巴彦淖尔市东南部，黄河北岸，河套平原东端。地理坐标为东经108°11′-109°54′，北纬40°28′-41°16′。东与包头毗邻，西与五原县相连，北与乌拉特中旗接壤，南至黄河与鄂尔多斯市杭锦旗和达拉特旗隔河相望。总面积7476平方千米。旗人民政府驻乌拉山镇。</w:t>
      </w:r>
    </w:p>
    <w:p>
      <w:pPr>
        <w:pStyle w:val="6"/>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bookmarkStart w:id="184" w:name="_Toc464475363"/>
      <w:r>
        <w:rPr>
          <w:rFonts w:hint="default" w:ascii="Times New Roman" w:hAnsi="Times New Roman" w:eastAsia="宋体" w:cs="Times New Roman"/>
          <w:color w:val="auto"/>
          <w:highlight w:val="none"/>
        </w:rPr>
        <w:t>4.1.2地形地貌</w:t>
      </w:r>
      <w:bookmarkEnd w:id="184"/>
    </w:p>
    <w:p>
      <w:pPr>
        <w:keepNext w:val="0"/>
        <w:keepLines w:val="0"/>
        <w:widowControl w:val="0"/>
        <w:shd w:val="clear"/>
        <w:tabs>
          <w:tab w:val="center" w:pos="4153"/>
          <w:tab w:val="right" w:pos="8306"/>
        </w:tabs>
        <w:kinsoku/>
        <w:wordWrap/>
        <w:overflowPunct/>
        <w:topLinePunct w:val="0"/>
        <w:bidi w:val="0"/>
        <w:snapToGrid/>
        <w:spacing w:line="360" w:lineRule="auto"/>
        <w:ind w:firstLine="48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乌拉特前旗地形属内蒙古高原的一部分，东北部为丘陵山区、西部南部为黄河冲积平原、（西部为河套平原，南部为三湖河平原）平原区海拔1007m。乌拉特前旗地形地貌较为复杂，中的地形趋势为东北高、西南地区，大体可分为“三山两川一平原，乌粱素海据中间”。境内主要山峰有：乌拉山、白云查汗山和查斯太山。三山所夹形成了山间盆地明安川和小佘太川。</w:t>
      </w:r>
    </w:p>
    <w:p>
      <w:pPr>
        <w:pStyle w:val="6"/>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bookmarkStart w:id="185" w:name="_Toc464475364"/>
      <w:r>
        <w:rPr>
          <w:rFonts w:hint="default" w:ascii="Times New Roman" w:hAnsi="Times New Roman" w:eastAsia="宋体" w:cs="Times New Roman"/>
          <w:color w:val="auto"/>
          <w:highlight w:val="none"/>
        </w:rPr>
        <w:t>4.1.</w:t>
      </w:r>
      <w:bookmarkEnd w:id="182"/>
      <w:r>
        <w:rPr>
          <w:rFonts w:hint="default" w:ascii="Times New Roman" w:hAnsi="Times New Roman" w:eastAsia="宋体" w:cs="Times New Roman"/>
          <w:color w:val="auto"/>
          <w:highlight w:val="none"/>
        </w:rPr>
        <w:t>3气候与气象</w:t>
      </w:r>
      <w:bookmarkEnd w:id="183"/>
      <w:bookmarkEnd w:id="185"/>
    </w:p>
    <w:p>
      <w:pPr>
        <w:pStyle w:val="186"/>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bookmarkStart w:id="186" w:name="_Toc327383087"/>
      <w:r>
        <w:rPr>
          <w:rFonts w:hint="default" w:ascii="Times New Roman" w:hAnsi="Times New Roman" w:eastAsia="宋体" w:cs="Times New Roman"/>
          <w:color w:val="auto"/>
          <w:highlight w:val="none"/>
        </w:rPr>
        <w:t>乌拉特前旗属中温带大陆多风干旱气候区，冬寒而长，夏热而短，昼夜温差大，光照充分；春季风沙较大；雨热同季，对农作物生长十分有利。年平均气温6～7℃，年均日照3202小时，积温3200℃，无霜期110～145天，年降雨量200～500mm，年平均降水量为270mm，最大降水量为8月，极端日降水量达109.6mm，蒸发量大，年平均蒸发量为2388mm；年平均气温7.9℃，1月平均气温零下10℃左右，7月平均气温24℃左右，7月份气温最高为36.5℃，最低气温－22.7℃；年平均日照3196小时，无霜期127天，积温</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大于10℃</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3200小时，土壤最大冻结深度115cm。该地区年主导风向为SSE，出现频率18.1%。且春、夏、秋和冬四季的主导风向为SSE，出现频率分别为17.7%、21.9%、20.1%和14.1%；全年静风频率也高达17.3%。</w:t>
      </w:r>
    </w:p>
    <w:p>
      <w:pPr>
        <w:pStyle w:val="6"/>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bookmarkStart w:id="187" w:name="_Toc464475365"/>
      <w:r>
        <w:rPr>
          <w:rFonts w:hint="default" w:ascii="Times New Roman" w:hAnsi="Times New Roman" w:eastAsia="宋体" w:cs="Times New Roman"/>
          <w:color w:val="auto"/>
          <w:highlight w:val="none"/>
        </w:rPr>
        <w:t>4.1.</w:t>
      </w:r>
      <w:bookmarkEnd w:id="186"/>
      <w:r>
        <w:rPr>
          <w:rFonts w:hint="default" w:ascii="Times New Roman" w:hAnsi="Times New Roman" w:eastAsia="宋体" w:cs="Times New Roman"/>
          <w:color w:val="auto"/>
          <w:highlight w:val="none"/>
        </w:rPr>
        <w:t>4水文水系</w:t>
      </w:r>
      <w:bookmarkEnd w:id="187"/>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bookmarkStart w:id="188" w:name="_Toc327383088"/>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地表水</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乌拉特前旗境内河流均属黄河水系。黄河由西向东流经旗南边。季节性河流有乌松秃鲁河、苏海河、昆都仑河、摩愣河、有季节性山洪沟104条。黄河灌渠有总干渠、长和渠、塔布渠、通济渠、三湖河、华惠渠、义和渠、总排干沟、通长干沟、长塔干沟、塔南干沟、三湖一分、二分、三分、四分干沟、新安分干沟、通北分干沟，河流总长度为1817.09km，河川径流量8720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，该旗水资源量66565.72万m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，平均水资源模数9.13万m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黄河从二十里柳子上游8km处的治沙渠口入巴彦淖尔市境内，至乌拉特前旗池家圪堵入包头市境，境内长153km，水面面积226.40km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，年平均流水量246亿m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，境内流域面积3.4万km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，流经巴彦淖尔市南缘的磴口县、临河区、五原县和乌拉特前旗，套内土地全部引黄自流灌溉。灌区内共有总干渠1条，干渠13条，分干渠49条，支渠372条，斗、农、毛渠5.2 万多条，各级灌渠总长度16800km。此外还建有排水系统，有总排干1条，干沟12条，分干沟60条，支沟225条，斗、农、毛沟2.2万条，各级沟道总长度为12670km。整个流域范围沟渠密布，纵横交错，构成了比较完善的灌排体系。从行政区域上该灌区流域包括：杭锦后旗、临河区、五原县的全部及磴口县、乌拉特后旗、乌拉特中旗和乌拉特前旗的部分地区。</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地下水</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bookmarkStart w:id="189" w:name="_Toc464475366"/>
      <w:r>
        <w:rPr>
          <w:rFonts w:hint="default" w:ascii="Times New Roman" w:hAnsi="Times New Roman" w:eastAsia="宋体" w:cs="Times New Roman"/>
          <w:color w:val="auto"/>
          <w:sz w:val="24"/>
          <w:highlight w:val="none"/>
        </w:rPr>
        <w:t>地下水主要靠大气降水渗入而形成的南部乌拉山及北部色尔腾山基岩裂隙水及第四系孔隙潜水的补给。在整个补给区范围内，以乌兰忽洞——台梁断裂为界，可分为两大独立的水文地质单元。在断裂以东，其地下水通过裂隙及孔隙补给山前冲积洪积裙。由于在断裂以东色尔腾山及乌拉山相隔仅8-12公里，使两山冲积洪积裙在补拉——鲁家头分子一带相接。主要由上部厚约40-50米的砂砾石（在冲积洪积裙顶部）或粘性土夹砂砾石；中部厚度小于50-60米的粘性土层及下部角闪岩、花岗片麻岩组成。中部粘性土层为良好的隔水层，下部角闪岩或花岗片麻岩含水微弱。上部砂砾石层在冲积洪积裙顶部，由于所处位置较高，一般透水不含水。只是在冲积洪积裙中部及边部含水点。含水层厚度小于15米，水量根据所搜集的资料，单位涌水量约0.4-2.5L/s·m，水位埋藏由近山麓的大于40-60米向冲积洪积裙边部递减为小于10米或是10-30米。水质良好，矿化度小于0.5g/l。</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上述冲积洪积裙之地下水，在管家窑子—王巨成圪卜一带形成一分水岭，从分水岭往东，地下水往东流，补给昆都仑河；往西经乌兰忽洞—台梁断裂补给西部含水层。在断裂以东补给断裂西部含水层地下水的补给区，色尔腾山约268平方公里，乌拉山月80平方公里。这些补给区的地下水经过乌兰忽洞——台梁断裂形成地下跌水补给断裂西部含水层。使不到两公里范围内，水位高差大于100米，形成地下瀑布。</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乌兰忽洞—台梁断裂以西色尔腾山补给区面积为2596平方公里。其地下水除乌松秃力河口，由于侏罗系砾岩的隔阻，形成地下水坝，使地下水出露形成总流量为400-500L/s的大泉外，其余地下水通过基岩裂隙或沟谷孔隙水补给色尔腾山冲积洪积裙。色尔腾山地下水补给色尔腾山洪积裙时，由于山前断裂的影响，也形成地下跌水，其落差大于60米。</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色尔腾山红积洪积裙，由大小不等的很多冲积洪积扇相连而成。其厚度大于200米，由厚层砂砾石层夹粘性土组成，砂砾石层绝大部分含水，在200米以内，含水层厚度由60-120米，一般在100米左右，水量丰富，单位涌水量一般在5-10L/s.m，在全盛西沟以西，在群的边缘部分略小些，为1-5L/s.m。水位埋藏因受地形的影响，有由东向西由裙的顶部向裙的边部递减的规律；在东部及裙的顶部水位埋藏为60-100米左右或更深，往西在裙的边部小于10米。水质在全盛西沟以西，由于水泉—乌兰忽洞断裂沟通了深部高矿化含水层，使淤泥层（位于100-150米）下部地下水矿化度增高（大于1.0g/L），以Cl—HC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—Na水为主。淤泥层上部，由于淤泥层的阻隔，水质较下部好，矿化度小于1.0g/L，以HCO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—Cl—Na水为主。在全盛西沟以东，除在大佘太三分子有高矿化度渗入的迹象外，其余地区水质均良好，矿化度小于0.5g/L。</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整个色尔腾山冲积洪积裙，其南界约在八分子—十九分子—德虎补隆—红山口—打花补隆一带。根据这一带附近冲积洪积砂砾石层向冲积湖平原突变为粉细砂层，推断裙的边部为一断陷（或坳陷）带。</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乌兰忽洞—台梁断裂以西之乌拉山，补给区面积为404平方公里。其地下水主要通过基岩裂隙及沟谷孔隙及泉水下渗等形式补给北部冲积洪积裙。同样由于山前断裂的影响，在山前形成地下跌水，使乌拉山地下水水位与冲积洪积裙地下水水位高差大于60米。</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乌拉山麓，在大坝沟以西，由于第二断裂的影响，使南部红层抬高，形成红土台地及山前倾斜平原，其含水层都很微弱，没有供水价值。红土台地及山前倾斜平原的厚层第三系红层还构成供水勘探区的隔水边界，使含水层分布变狭。在大坝沟以东，由于红层大部分被冲刷，不影响乌拉山地下水对冲积洪积裙的补给。</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红土台地、山前倾斜平原及乌拉山北为乌拉山冲积洪积裙，北界以断陷（或坳陷）与冲湖积平原相接，西界以第四断裂带与断陷冲积湖平原相连，东界直抵乌兰忽洞—台梁断裂并在大、小西滩一带与北部色尔腾山冲积洪积裙相连，使乌兰忽洞—台梁断裂以西的冲积洪积裙呈马蹄形互有水力联系的统一含水体。</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整个乌拉山冲积洪积裙，根据形成时期不同可分为老冲积洪积裙及新冲积洪积裙。老冲积洪积裙北界略比新冲积洪积裙小，大致在庙壕——小庙子——西公忽洞以南一带。南界主要以第二断裂带为界，但主要含水层分布在第三断裂带以北。东界尚不清楚，可能以乌兰忽洞—台梁断裂为界，西界以第四断裂为界。使整个老冲积洪积裙为一宽仅5-6公里，长可达40-50公里的呈东西向分布的条形地。在第三断裂以北的啦哦冲积洪积裙宽度还要狭窄，仅3-4公里。主要由砂砾石及粘性土组成，并由南向北倾斜，其厚层砂砾石埋藏深度由南部200米左右向北增至220米以下，根据ZK23、试Ⅰ-1、试Ⅱ-4、试Ⅱ-5孔资料，在孔深200-300米以内，揭露的老冲积洪积裙厚度仅70-80米，其中砂砾石厚层厚37-50米，分布尚稳定。</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新冲积洪积裙，由许多大小不等的冲积洪积扇相互迭置而成。岩性变化剧烈，尤其沿冲积洪积裙轴部变化更大，加上断裂的影响，使水文地质条件复杂化。但是整个冲积洪积裙无论在岩性、水量、水位埋藏均有由裙的顶部向边部变细，变小，变浅的水平分带。在垂直方向上，在达里干沟以西，除在冲积洪积裙顶部由砂砾石层组成一个统一含水体外，稍离裙的顶部可分为三个含水组。</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乌拉山冲击洪积裙与色尔腾山冲积洪积裙之间，为冲积湖积平原，其以断陷（或拗陷）与冲积洪积群相接。其西界为乌梁素海，根据乌梁素海东西两侧水文地质条件不同推测，沿乌梁素海轴部可能有一断裂。在断裂以西为河套平原主要有湖积淤泥层夹薄层粉细砂组成，透水性弱。单位涌水量小于0.18升/秒·米。近冲积洪积裙边部稍大些，约1.0升/秒·米。矿化度大于1.0克/升，高者达44克/升。断裂以东即所述的冲积湖积平原，主要由粉细砂、淤泥质粉砂，粉砂质淤泥与淤泥等物质组成，近冲积洪积裙地带夹有一些砂砾石层。整个冲积湖积平原，除十九分子以东外，以淤泥层为界均可以分为两层水。上部为潜水，水量微弱，没工业供水价值，在近北部冲积洪积裙一带水量尚大，可斟酌利用。水质有由近冲积洪积裙向乌梁素海逐渐变坏的水平分带，在大兴公矿化度高达14.44克/升。在潜水含水层下部，为一由南向北，由东向西倾斜的湖积淤泥层，淤泥层下部为承压含水层，由粉细砂、粘土质或淤泥质粉细砂组成。偶夹薄层砂砾石层，其埋藏在30–90米以下，并由东向西，由近冲积洪积裙边部向口口脑包、大兴公一带埋藏变深的规律。含水层厚度、水量、水位埋藏亦沿此方向递变。在200米以内含水层厚度沿上述方向由110-120米递减为60-70米，单位涌水量由5.0-10.0升/秒·米递减为0.5-1.0升/秒·米，水位埋藏由30-60米至地面。水质优良，矿化度小于0.5克/升。</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冲积湖积平原承压含水组，虽然含水层厚，水质优良。离隔水边界远，水位埋藏浅而且喷出地面等优点，可作为供水水源地，但与冲积洪积裙相比，水量较小。</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冲积湖积平原承压含水组各含水层之间，尚有厚度不等的淤泥、粉砂质淤泥及砂质粘土作为隔水层，这些隔水层至冲积洪积裙则变薄或歼灭，使其与冲积洪积砂砾石含水层成为互有水利联系的统一含水体。因此冲积湖积平原承压含水组透水性强弱与水量为贫富直接影响供水水源地的开采。根据现有资料，我们认为湖相含水组透水性虽然较差，但厚度大，对以后供水地段地下水水源补给为其有利的一面，另一方面，由于其透水性远较北部色尔腾山冲积洪积砂砾石含水层弱，影响北部色尔腾山冲积洪积裙地下水对开采地段的补给。因此我们认为：以后开采时冲积湖积平原承压含水组影响色尔腾山冲积洪积裙地下水对水源地地下水的补给。</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断陷冲积湖积平原。位于第四断裂与断陷（拗陷）带之间。根据勘探资料，主要含水组在淤泥层下部。淤泥层上部有厚度小于10米的粉砂含水层，水量微弱，矿化度常大于1.0克/升，没工业供水价值。淤泥层下部含水组，顶板埋藏约20-50米，底板埋藏90-140米，含水组中含水层厚30-70米，并由南向北变薄。单位涌水量0.57-3.55升/秒·米，水位埋藏在庙壕一带近地地面，往北与西喷出地面，喷出高度8-13米。矿化度小于0.5克/升。在含水组下部为厚达60-80米以上的粘砂土，中夹薄层（小于2.5米）粉砂及砂砾石层，由于含水层较薄，没开采价值。</w:t>
      </w:r>
    </w:p>
    <w:p>
      <w:pPr>
        <w:pStyle w:val="6"/>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w:t>
      </w:r>
      <w:bookmarkStart w:id="190" w:name="_Toc243119331"/>
      <w:r>
        <w:rPr>
          <w:rFonts w:hint="default" w:ascii="Times New Roman" w:hAnsi="Times New Roman" w:eastAsia="宋体" w:cs="Times New Roman"/>
          <w:color w:val="auto"/>
          <w:highlight w:val="none"/>
        </w:rPr>
        <w:t>5</w:t>
      </w:r>
      <w:bookmarkEnd w:id="188"/>
      <w:bookmarkEnd w:id="190"/>
      <w:r>
        <w:rPr>
          <w:rFonts w:hint="default" w:ascii="Times New Roman" w:hAnsi="Times New Roman" w:eastAsia="宋体" w:cs="Times New Roman"/>
          <w:color w:val="auto"/>
          <w:highlight w:val="none"/>
        </w:rPr>
        <w:t>土壤</w:t>
      </w:r>
      <w:bookmarkEnd w:id="189"/>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乌拉特前旗总面积7476km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，其中平原占三分之二，山地和川地面积约三分之一。全旗农民人均耕地0.53hm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，有种植草地1.67万hm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。用于工、农业发展的土地资源丰富。</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土壤普查，乌拉特前旗境内土壤共有6个土类，18个亚类，49个土属，395个土种。分别为灌淤土、草甸土、盐土、风沙土、栗钙土和灰褐土。乌拉特前旗境内土壤盐渍化比较严重，并有逐年发展的趋势，与地下水位及矿化度相关。</w:t>
      </w:r>
    </w:p>
    <w:p>
      <w:pPr>
        <w:pStyle w:val="6"/>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bookmarkStart w:id="191" w:name="_Toc464475367"/>
      <w:r>
        <w:rPr>
          <w:rFonts w:hint="default" w:ascii="Times New Roman" w:hAnsi="Times New Roman" w:eastAsia="宋体" w:cs="Times New Roman"/>
          <w:color w:val="auto"/>
          <w:highlight w:val="none"/>
        </w:rPr>
        <w:t>4.1.6</w:t>
      </w:r>
      <w:bookmarkEnd w:id="191"/>
      <w:r>
        <w:rPr>
          <w:rFonts w:hint="default" w:ascii="Times New Roman" w:hAnsi="Times New Roman" w:eastAsia="宋体" w:cs="Times New Roman"/>
          <w:color w:val="auto"/>
          <w:highlight w:val="none"/>
        </w:rPr>
        <w:t>自然资源</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乌拉特前旗自然资源丰富。全旗可耕地面积达205万亩，草牧场面积635万亩，森林面积67万亩。黄河从旗南境流过，过境长153公里，境内防洪堤全长133.5公里，年平均水流量246亿立方米，全灌区有六大灌水渠，年引黄河水6.2亿立方米。境内有莫楞河、昆都仑河、乌松图勒河、苏海河，年均清水总量3154万立方米，地下水储量约6.46亿立方米。全旗有大小湖泊65个，总面积58万亩，可养殖水面56万亩，总储水量约3.5亿立方米。</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已查明的野生植物有94科，313属，572种。天然树种有松、柏、杨、桦、榆等69种，其中，古柏、胡杨王为珍稀古树。主要沙生灌木有柠条、花棒、杨柴等。经济林有苹果、李子、葡萄、梨、杏、枸杞等。药用植物有麻黄、甘草、黄芪、党参、枸杞等300多种。森林覆盖率达到14.7%。</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全旗有野生动物资源280属、503种。其中团羊、青羊为国家二级保护动物。乌拉山山区和乌梁素海有大量飞禽鸟类，是我国重要鸟类资源宝库之一。乌梁素海有珍禽异鸟180多种，其中《中日候鸟协定》保护鸟类48种，国家一级保护鸟类5种，二级保护鸟类疣鼻天鹅、大天鹅和斑咀鹈鹕等25种。</w:t>
      </w:r>
    </w:p>
    <w:p>
      <w:pPr>
        <w:pStyle w:val="6"/>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bookmarkStart w:id="192" w:name="_Toc464475368"/>
      <w:r>
        <w:rPr>
          <w:rFonts w:hint="default" w:ascii="Times New Roman" w:hAnsi="Times New Roman" w:eastAsia="宋体" w:cs="Times New Roman"/>
          <w:color w:val="auto"/>
          <w:highlight w:val="none"/>
        </w:rPr>
        <w:t>4.1.7</w:t>
      </w:r>
      <w:bookmarkEnd w:id="192"/>
      <w:r>
        <w:rPr>
          <w:rFonts w:hint="default" w:ascii="Times New Roman" w:hAnsi="Times New Roman" w:eastAsia="宋体" w:cs="Times New Roman"/>
          <w:color w:val="auto"/>
          <w:highlight w:val="none"/>
        </w:rPr>
        <w:t>地震</w:t>
      </w:r>
    </w:p>
    <w:p>
      <w:pPr>
        <w:keepLines w:val="0"/>
        <w:widowControl w:val="0"/>
        <w:shd w:val="clea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根据GB18306-2015图A1《中国地震动峰值区划图》，本区属地震动峰值加速度0.15g地区，对照烈度为7度。据了解调查区内以往十几年来，未发生过较大的破坏性地震。</w:t>
      </w:r>
    </w:p>
    <w:p>
      <w:pPr>
        <w:pStyle w:val="5"/>
        <w:keepLines w:val="0"/>
        <w:widowControl w:val="0"/>
        <w:shd w:val="clear"/>
        <w:kinsoku/>
        <w:wordWrap/>
        <w:overflowPunct/>
        <w:topLinePunct w:val="0"/>
        <w:bidi w:val="0"/>
        <w:snapToGrid/>
        <w:spacing w:before="60" w:after="60" w:line="360" w:lineRule="auto"/>
        <w:textAlignment w:val="auto"/>
        <w:rPr>
          <w:rFonts w:hint="default" w:ascii="Times New Roman" w:hAnsi="Times New Roman" w:eastAsia="宋体" w:cs="Times New Roman"/>
          <w:color w:val="auto"/>
          <w:highlight w:val="none"/>
        </w:rPr>
      </w:pPr>
      <w:bookmarkStart w:id="193" w:name="_Toc464475388"/>
      <w:bookmarkStart w:id="194" w:name="_Toc248741087"/>
      <w:bookmarkStart w:id="195" w:name="_Toc196454849"/>
      <w:bookmarkStart w:id="196" w:name="_Toc10114"/>
      <w:bookmarkStart w:id="197" w:name="_Toc157322185"/>
      <w:bookmarkStart w:id="198" w:name="_Toc327383103"/>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环境空气质量现状调查与评价</w:t>
      </w:r>
      <w:bookmarkEnd w:id="193"/>
      <w:bookmarkEnd w:id="194"/>
      <w:bookmarkEnd w:id="195"/>
      <w:bookmarkEnd w:id="196"/>
      <w:bookmarkEnd w:id="197"/>
      <w:bookmarkEnd w:id="198"/>
    </w:p>
    <w:p>
      <w:pPr>
        <w:pStyle w:val="6"/>
        <w:keepLines w:val="0"/>
        <w:widowControl w:val="0"/>
        <w:shd w:val="clear"/>
        <w:kinsoku/>
        <w:wordWrap/>
        <w:overflowPunct/>
        <w:topLinePunct w:val="0"/>
        <w:bidi w:val="0"/>
        <w:snapToGrid/>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.1环境空气质量现状调查与评价</w:t>
      </w:r>
    </w:p>
    <w:p>
      <w:pPr>
        <w:keepNext w:val="0"/>
        <w:keepLines w:val="0"/>
        <w:pageBreakBefore w:val="0"/>
        <w:widowControl w:val="0"/>
        <w:shd w:val="clear"/>
        <w:tabs>
          <w:tab w:val="center" w:pos="4153"/>
          <w:tab w:val="right" w:pos="8306"/>
        </w:tabs>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空气质量达标区判定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本项目环境质量现状数据来源于</w:t>
      </w:r>
      <w:r>
        <w:rPr>
          <w:rFonts w:hint="default" w:ascii="Times New Roman" w:hAnsi="Times New Roman" w:eastAsia="宋体" w:cs="Times New Roman"/>
          <w:color w:val="auto"/>
          <w:sz w:val="24"/>
          <w:szCs w:val="32"/>
          <w:lang w:eastAsia="zh-CN"/>
        </w:rPr>
        <w:t>《巴彦淖尔市环境质量状况公报</w:t>
      </w:r>
      <w:r>
        <w:rPr>
          <w:rFonts w:hint="default" w:ascii="Times New Roman" w:hAnsi="Times New Roman" w:eastAsia="宋体" w:cs="Times New Roman"/>
          <w:color w:val="auto"/>
          <w:sz w:val="24"/>
          <w:szCs w:val="32"/>
          <w:lang w:val="en-US" w:eastAsia="zh-CN"/>
        </w:rPr>
        <w:t>2020年</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中的内容，内蒙古巴彦淖尔市</w:t>
      </w:r>
      <w:r>
        <w:rPr>
          <w:rFonts w:hint="default" w:ascii="Times New Roman" w:hAnsi="Times New Roman" w:eastAsia="宋体" w:cs="Times New Roman"/>
          <w:color w:val="auto"/>
          <w:sz w:val="24"/>
          <w:szCs w:val="32"/>
          <w:lang w:eastAsia="zh-CN"/>
        </w:rPr>
        <w:t>乌拉特前旗</w:t>
      </w:r>
      <w:r>
        <w:rPr>
          <w:rFonts w:hint="default" w:ascii="Times New Roman" w:hAnsi="Times New Roman" w:eastAsia="宋体" w:cs="Times New Roman"/>
          <w:color w:val="auto"/>
          <w:sz w:val="24"/>
          <w:szCs w:val="32"/>
        </w:rPr>
        <w:t>20</w:t>
      </w:r>
      <w:r>
        <w:rPr>
          <w:rFonts w:hint="default" w:ascii="Times New Roman" w:hAnsi="Times New Roman" w:eastAsia="宋体" w:cs="Times New Roman"/>
          <w:color w:val="auto"/>
          <w:sz w:val="24"/>
          <w:szCs w:val="32"/>
          <w:lang w:val="en-US" w:eastAsia="zh-CN"/>
        </w:rPr>
        <w:t>20</w:t>
      </w:r>
      <w:r>
        <w:rPr>
          <w:rFonts w:hint="default" w:ascii="Times New Roman" w:hAnsi="Times New Roman" w:eastAsia="宋体" w:cs="Times New Roman"/>
          <w:color w:val="auto"/>
          <w:sz w:val="24"/>
          <w:szCs w:val="32"/>
        </w:rPr>
        <w:t>年六项污染物</w:t>
      </w:r>
      <w:r>
        <w:rPr>
          <w:rFonts w:hint="default" w:ascii="Times New Roman" w:hAnsi="Times New Roman" w:eastAsia="宋体" w:cs="Times New Roman"/>
          <w:color w:val="auto"/>
          <w:sz w:val="24"/>
          <w:szCs w:val="32"/>
          <w:lang w:eastAsia="zh-CN"/>
        </w:rPr>
        <w:t>环境质量数据见下表</w:t>
      </w:r>
      <w:r>
        <w:rPr>
          <w:rFonts w:hint="default" w:ascii="Times New Roman" w:hAnsi="Times New Roman" w:eastAsia="宋体" w:cs="Times New Roman"/>
          <w:color w:val="auto"/>
          <w:sz w:val="24"/>
          <w:szCs w:val="32"/>
        </w:rPr>
        <w:t>。</w:t>
      </w:r>
    </w:p>
    <w:p>
      <w:pPr>
        <w:keepNext w:val="0"/>
        <w:keepLines w:val="0"/>
        <w:pageBreakBefore w:val="0"/>
        <w:widowControl w:val="0"/>
        <w:suppressLineNumbers w:val="0"/>
        <w:shd w:val="clear"/>
        <w:kinsoku/>
        <w:wordWrap/>
        <w:overflowPunct/>
        <w:topLinePunct w:val="0"/>
        <w:bidi w:val="0"/>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2020年乌拉山镇区域环境空气质量现状评价见表如下：</w:t>
      </w:r>
    </w:p>
    <w:p>
      <w:pPr>
        <w:shd w:val="clea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 xml:space="preserve">-1    区域空气质量现状评价表 </w:t>
      </w:r>
      <w:r>
        <w:rPr>
          <w:rFonts w:hint="default" w:ascii="Times New Roman" w:hAnsi="Times New Roman" w:eastAsia="宋体" w:cs="Times New Roman"/>
          <w:b/>
          <w:color w:val="auto"/>
          <w:highlight w:val="none"/>
        </w:rPr>
        <w:t xml:space="preserve"> </w:t>
      </w:r>
    </w:p>
    <w:tbl>
      <w:tblPr>
        <w:tblStyle w:val="90"/>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06"/>
        <w:gridCol w:w="1644"/>
        <w:gridCol w:w="1079"/>
        <w:gridCol w:w="1237"/>
        <w:gridCol w:w="1098"/>
        <w:gridCol w:w="13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污染物</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年评价指标</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现状浓度（ug/m</w:t>
            </w:r>
            <w:r>
              <w:rPr>
                <w:rFonts w:hint="default" w:ascii="Times New Roman" w:hAnsi="Times New Roman" w:eastAsia="宋体" w:cs="Times New Roman"/>
                <w:color w:val="auto"/>
                <w:spacing w:val="-16"/>
                <w:vertAlign w:val="superscript"/>
              </w:rPr>
              <w:t>3</w:t>
            </w:r>
            <w:r>
              <w:rPr>
                <w:rFonts w:hint="default" w:ascii="Times New Roman" w:hAnsi="Times New Roman" w:eastAsia="宋体" w:cs="Times New Roman"/>
                <w:color w:val="auto"/>
                <w:spacing w:val="-16"/>
              </w:rPr>
              <w:t>）</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标准值（ug/m</w:t>
            </w:r>
            <w:r>
              <w:rPr>
                <w:rFonts w:hint="default" w:ascii="Times New Roman" w:hAnsi="Times New Roman" w:eastAsia="宋体" w:cs="Times New Roman"/>
                <w:color w:val="auto"/>
                <w:spacing w:val="-16"/>
                <w:vertAlign w:val="superscript"/>
              </w:rPr>
              <w:t>3</w:t>
            </w:r>
            <w:r>
              <w:rPr>
                <w:rFonts w:hint="default" w:ascii="Times New Roman" w:hAnsi="Times New Roman" w:eastAsia="宋体" w:cs="Times New Roman"/>
                <w:color w:val="auto"/>
                <w:spacing w:val="-16"/>
              </w:rPr>
              <w:t>）</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占标率%</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细颗粒物（PM</w:t>
            </w:r>
            <w:r>
              <w:rPr>
                <w:rFonts w:hint="default" w:ascii="Times New Roman" w:hAnsi="Times New Roman" w:eastAsia="宋体" w:cs="Times New Roman"/>
                <w:color w:val="auto"/>
                <w:spacing w:val="-16"/>
                <w:vertAlign w:val="subscript"/>
              </w:rPr>
              <w:t>2.5</w:t>
            </w:r>
            <w:r>
              <w:rPr>
                <w:rFonts w:hint="default" w:ascii="Times New Roman" w:hAnsi="Times New Roman" w:eastAsia="宋体" w:cs="Times New Roman"/>
                <w:color w:val="auto"/>
                <w:spacing w:val="-16"/>
              </w:rPr>
              <w:t>）</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年平均质量</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16"/>
                <w:kern w:val="2"/>
                <w:sz w:val="21"/>
                <w:szCs w:val="24"/>
                <w:lang w:val="en-US" w:eastAsia="zh-CN" w:bidi="ar-SA"/>
              </w:rPr>
            </w:pPr>
            <w:r>
              <w:rPr>
                <w:rFonts w:hint="default" w:ascii="Times New Roman" w:hAnsi="Times New Roman" w:eastAsia="宋体" w:cs="Times New Roman"/>
                <w:color w:val="auto"/>
                <w:spacing w:val="-16"/>
                <w:lang w:val="en-US" w:eastAsia="zh-CN"/>
              </w:rPr>
              <w:t>22</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35</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6</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可吸入颗粒物（PM</w:t>
            </w:r>
            <w:r>
              <w:rPr>
                <w:rFonts w:hint="default" w:ascii="Times New Roman" w:hAnsi="Times New Roman" w:eastAsia="宋体" w:cs="Times New Roman"/>
                <w:color w:val="auto"/>
                <w:spacing w:val="-16"/>
                <w:vertAlign w:val="subscript"/>
              </w:rPr>
              <w:t>10</w:t>
            </w:r>
            <w:r>
              <w:rPr>
                <w:rFonts w:hint="default" w:ascii="Times New Roman" w:hAnsi="Times New Roman" w:eastAsia="宋体" w:cs="Times New Roman"/>
                <w:color w:val="auto"/>
                <w:spacing w:val="-16"/>
              </w:rPr>
              <w:t>）</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年平均质量</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16"/>
                <w:kern w:val="2"/>
                <w:sz w:val="21"/>
                <w:szCs w:val="24"/>
                <w:lang w:val="en-US" w:eastAsia="zh-CN" w:bidi="ar-SA"/>
              </w:rPr>
            </w:pPr>
            <w:r>
              <w:rPr>
                <w:rFonts w:hint="default" w:ascii="Times New Roman" w:hAnsi="Times New Roman" w:eastAsia="宋体" w:cs="Times New Roman"/>
                <w:color w:val="auto"/>
                <w:spacing w:val="-16"/>
                <w:lang w:val="en-US" w:eastAsia="zh-CN"/>
              </w:rPr>
              <w:t>63</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70</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90</w:t>
            </w:r>
            <w:r>
              <w:rPr>
                <w:rFonts w:hint="default" w:ascii="Times New Roman" w:hAnsi="Times New Roman" w:eastAsia="宋体" w:cs="Times New Roman"/>
                <w:color w:val="auto"/>
              </w:rPr>
              <w:t>%</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b/>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二氧化硫</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年平均质量</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16"/>
                <w:kern w:val="2"/>
                <w:sz w:val="21"/>
                <w:szCs w:val="24"/>
                <w:lang w:val="en-US" w:eastAsia="zh-CN" w:bidi="ar-SA"/>
              </w:rPr>
            </w:pPr>
            <w:r>
              <w:rPr>
                <w:rFonts w:hint="default" w:ascii="Times New Roman" w:hAnsi="Times New Roman" w:eastAsia="宋体" w:cs="Times New Roman"/>
                <w:color w:val="auto"/>
                <w:spacing w:val="-16"/>
              </w:rPr>
              <w:t>17</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60</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28%</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二氧化氮</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年平均质量</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16"/>
                <w:kern w:val="2"/>
                <w:sz w:val="21"/>
                <w:szCs w:val="24"/>
                <w:lang w:val="en-US" w:eastAsia="zh-CN" w:bidi="ar-SA"/>
              </w:rPr>
            </w:pPr>
            <w:r>
              <w:rPr>
                <w:rFonts w:hint="default" w:ascii="Times New Roman" w:hAnsi="Times New Roman" w:eastAsia="宋体" w:cs="Times New Roman"/>
                <w:color w:val="auto"/>
                <w:spacing w:val="-16"/>
              </w:rPr>
              <w:t>28</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40</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70%</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一氧化碳</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日平均浓度</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16"/>
                <w:kern w:val="2"/>
                <w:sz w:val="21"/>
                <w:szCs w:val="24"/>
                <w:lang w:val="en-US" w:eastAsia="zh-CN" w:bidi="ar-SA"/>
              </w:rPr>
            </w:pPr>
            <w:r>
              <w:rPr>
                <w:rFonts w:hint="default" w:ascii="Times New Roman" w:hAnsi="Times New Roman" w:eastAsia="宋体" w:cs="Times New Roman"/>
                <w:color w:val="auto"/>
                <w:spacing w:val="-16"/>
              </w:rPr>
              <w:t>1400</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4000</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35%</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臭氧</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8小时平均浓度</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16"/>
                <w:kern w:val="2"/>
                <w:sz w:val="21"/>
                <w:szCs w:val="24"/>
                <w:lang w:val="en-US" w:eastAsia="zh-CN" w:bidi="ar-SA"/>
              </w:rPr>
            </w:pPr>
            <w:r>
              <w:rPr>
                <w:rFonts w:hint="default" w:ascii="Times New Roman" w:hAnsi="Times New Roman" w:eastAsia="宋体" w:cs="Times New Roman"/>
                <w:color w:val="auto"/>
                <w:spacing w:val="-16"/>
              </w:rPr>
              <w:t>13</w:t>
            </w:r>
            <w:r>
              <w:rPr>
                <w:rFonts w:hint="default" w:ascii="Times New Roman" w:hAnsi="Times New Roman" w:eastAsia="宋体" w:cs="Times New Roman"/>
                <w:color w:val="auto"/>
                <w:spacing w:val="-16"/>
                <w:lang w:val="en-US" w:eastAsia="zh-CN"/>
              </w:rPr>
              <w:t>5</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160</w:t>
            </w: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8</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line="240" w:lineRule="auto"/>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bl>
    <w:p>
      <w:pPr>
        <w:shd w:val="clear"/>
        <w:spacing w:line="360" w:lineRule="auto"/>
        <w:ind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从上表可以看出，</w:t>
      </w:r>
      <w:r>
        <w:rPr>
          <w:rFonts w:hint="default" w:ascii="Times New Roman" w:hAnsi="Times New Roman" w:eastAsia="宋体" w:cs="Times New Roman"/>
          <w:color w:val="auto"/>
          <w:kern w:val="0"/>
          <w:sz w:val="24"/>
          <w:szCs w:val="24"/>
          <w:highlight w:val="none"/>
          <w:lang w:eastAsia="zh-CN"/>
        </w:rPr>
        <w:t>巴彦淖尔市乌拉特前旗</w:t>
      </w:r>
      <w:r>
        <w:rPr>
          <w:rFonts w:hint="default" w:ascii="Times New Roman" w:hAnsi="Times New Roman" w:eastAsia="宋体" w:cs="Times New Roman"/>
          <w:color w:val="auto"/>
          <w:kern w:val="0"/>
          <w:sz w:val="24"/>
          <w:szCs w:val="24"/>
          <w:highlight w:val="none"/>
          <w:lang w:val="en-US" w:eastAsia="zh-CN"/>
        </w:rPr>
        <w:t>2020年大气环境中6项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default" w:ascii="Times New Roman" w:hAnsi="Times New Roman" w:eastAsia="宋体" w:cs="Times New Roman"/>
          <w:color w:val="auto"/>
          <w:sz w:val="24"/>
          <w:szCs w:val="24"/>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特征因子</w:t>
      </w:r>
      <w:r>
        <w:rPr>
          <w:rFonts w:hint="default" w:ascii="Times New Roman" w:hAnsi="Times New Roman" w:eastAsia="宋体" w:cs="Times New Roman"/>
          <w:color w:val="auto"/>
          <w:sz w:val="24"/>
          <w:szCs w:val="24"/>
          <w:highlight w:val="none"/>
          <w:lang w:eastAsia="zh-CN"/>
        </w:rPr>
        <w:t>补充监测</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本项目特征因子为非甲烷总烃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TSP</w:t>
      </w:r>
      <w:r>
        <w:rPr>
          <w:rFonts w:hint="default" w:ascii="Times New Roman" w:hAnsi="Times New Roman" w:eastAsia="宋体" w:cs="Times New Roman"/>
          <w:color w:val="auto"/>
          <w:sz w:val="24"/>
          <w:szCs w:val="24"/>
          <w:highlight w:val="none"/>
          <w:lang w:eastAsia="zh-CN"/>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非甲烷总烃</w:t>
      </w:r>
    </w:p>
    <w:p>
      <w:pPr>
        <w:keepNext w:val="0"/>
        <w:shd w:val="clear"/>
        <w:tabs>
          <w:tab w:val="center" w:pos="4153"/>
          <w:tab w:val="right" w:pos="8306"/>
        </w:tabs>
        <w:spacing w:line="360" w:lineRule="auto"/>
        <w:ind w:firstLine="480"/>
        <w:rPr>
          <w:rFonts w:hint="default" w:ascii="Times New Roman" w:hAnsi="Times New Roman" w:eastAsia="宋体" w:cs="Times New Roman"/>
          <w:bCs/>
          <w:color w:val="auto"/>
          <w:sz w:val="24"/>
          <w:szCs w:val="24"/>
          <w:highlight w:val="none"/>
          <w:lang w:eastAsia="ja-JP"/>
        </w:rPr>
      </w:pPr>
      <w:r>
        <w:rPr>
          <w:rFonts w:hint="default" w:ascii="Times New Roman" w:hAnsi="Times New Roman" w:eastAsia="宋体" w:cs="Times New Roman"/>
          <w:color w:val="auto"/>
          <w:sz w:val="24"/>
          <w:szCs w:val="24"/>
          <w:highlight w:val="none"/>
        </w:rPr>
        <w:t>非甲烷总烃</w:t>
      </w: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lang w:val="en-US" w:eastAsia="zh-CN"/>
        </w:rPr>
        <w:t>委托内蒙古蓝箭环保有限责任公司进行监测，监测时间为</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日至</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日。</w:t>
      </w:r>
    </w:p>
    <w:p>
      <w:pPr>
        <w:keepNext w:val="0"/>
        <w:shd w:val="clear"/>
        <w:tabs>
          <w:tab w:val="center" w:pos="4153"/>
          <w:tab w:val="right" w:pos="8306"/>
        </w:tabs>
        <w:spacing w:line="360" w:lineRule="auto"/>
        <w:ind w:firstLine="48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ja-JP"/>
        </w:rPr>
        <w:t>①</w:t>
      </w:r>
      <w:r>
        <w:rPr>
          <w:rFonts w:hint="default" w:ascii="Times New Roman" w:hAnsi="Times New Roman" w:eastAsia="宋体" w:cs="Times New Roman"/>
          <w:bCs/>
          <w:color w:val="auto"/>
          <w:sz w:val="24"/>
          <w:szCs w:val="24"/>
          <w:highlight w:val="none"/>
        </w:rPr>
        <w:t>监测点位</w:t>
      </w:r>
    </w:p>
    <w:p>
      <w:pPr>
        <w:keepNext w:val="0"/>
        <w:shd w:val="clear"/>
        <w:tabs>
          <w:tab w:val="center" w:pos="4153"/>
          <w:tab w:val="right" w:pos="8306"/>
        </w:tabs>
        <w:spacing w:line="360" w:lineRule="auto"/>
        <w:ind w:firstLine="48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布设了</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个非甲烷总烃现状监测点，</w:t>
      </w:r>
      <w:r>
        <w:rPr>
          <w:rFonts w:hint="default" w:ascii="Times New Roman" w:hAnsi="Times New Roman" w:eastAsia="宋体" w:cs="Times New Roman"/>
          <w:bCs/>
          <w:color w:val="auto"/>
          <w:sz w:val="24"/>
          <w:szCs w:val="24"/>
          <w:highlight w:val="none"/>
          <w:lang w:val="en-US" w:eastAsia="zh-CN"/>
        </w:rPr>
        <w:t>监测点设置在拟建项目厂址</w:t>
      </w:r>
      <w:r>
        <w:rPr>
          <w:rFonts w:hint="default" w:ascii="Times New Roman" w:hAnsi="Times New Roman" w:eastAsia="宋体" w:cs="Times New Roman"/>
          <w:bCs/>
          <w:color w:val="auto"/>
          <w:sz w:val="24"/>
          <w:szCs w:val="24"/>
          <w:highlight w:val="none"/>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ja-JP"/>
        </w:rPr>
        <w:fldChar w:fldCharType="begin"/>
      </w:r>
      <w:r>
        <w:rPr>
          <w:rFonts w:hint="default" w:ascii="Times New Roman" w:hAnsi="Times New Roman" w:eastAsia="宋体" w:cs="Times New Roman"/>
          <w:color w:val="auto"/>
          <w:sz w:val="24"/>
          <w:szCs w:val="24"/>
          <w:highlight w:val="none"/>
        </w:rPr>
        <w:instrText xml:space="preserve"> = 2 \* GB3 </w:instrText>
      </w:r>
      <w:r>
        <w:rPr>
          <w:rFonts w:hint="default" w:ascii="Times New Roman" w:hAnsi="Times New Roman" w:eastAsia="宋体" w:cs="Times New Roman"/>
          <w:color w:val="auto"/>
          <w:sz w:val="24"/>
          <w:szCs w:val="24"/>
          <w:highlight w:val="none"/>
          <w:lang w:eastAsia="ja-JP"/>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eastAsia="ja-JP"/>
        </w:rPr>
        <w:fldChar w:fldCharType="end"/>
      </w:r>
      <w:r>
        <w:rPr>
          <w:rFonts w:hint="default" w:ascii="Times New Roman" w:hAnsi="Times New Roman" w:eastAsia="宋体" w:cs="Times New Roman"/>
          <w:color w:val="auto"/>
          <w:sz w:val="24"/>
          <w:szCs w:val="24"/>
          <w:highlight w:val="none"/>
        </w:rPr>
        <w:t>监测分析方法</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采样点、采样环境、采样高度的要求，按《环境空气质量标准》（GB3095-2012）中规定的方法。采样仪器及分析方法见表4.</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pPr>
        <w:shd w:val="clear"/>
        <w:jc w:val="center"/>
        <w:rPr>
          <w:rFonts w:hint="default" w:ascii="Times New Roman" w:hAnsi="Times New Roman" w:eastAsia="宋体" w:cs="Times New Roman"/>
          <w:b/>
          <w:color w:val="auto"/>
          <w:sz w:val="24"/>
          <w:highlight w:val="none"/>
        </w:rPr>
      </w:pPr>
    </w:p>
    <w:p>
      <w:pPr>
        <w:shd w:val="clear"/>
        <w:jc w:val="center"/>
        <w:rPr>
          <w:rFonts w:hint="default" w:ascii="Times New Roman" w:hAnsi="Times New Roman" w:eastAsia="宋体" w:cs="Times New Roman"/>
          <w:b/>
          <w:color w:val="auto"/>
          <w:sz w:val="24"/>
          <w:highlight w:val="none"/>
        </w:rPr>
      </w:pP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 xml:space="preserve">2  </w:t>
      </w:r>
      <w:r>
        <w:rPr>
          <w:rFonts w:hint="default" w:ascii="Times New Roman" w:hAnsi="Times New Roman" w:eastAsia="宋体" w:cs="Times New Roman"/>
          <w:b/>
          <w:color w:val="auto"/>
          <w:sz w:val="24"/>
          <w:highlight w:val="none"/>
        </w:rPr>
        <w:t xml:space="preserve"> 监测仪器及分析方法</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49"/>
        <w:gridCol w:w="1987"/>
        <w:gridCol w:w="3341"/>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序号</w:t>
            </w:r>
          </w:p>
        </w:tc>
        <w:tc>
          <w:tcPr>
            <w:tcW w:w="84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项目名称</w:t>
            </w:r>
          </w:p>
        </w:tc>
        <w:tc>
          <w:tcPr>
            <w:tcW w:w="1987"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监测仪器名称</w:t>
            </w:r>
          </w:p>
        </w:tc>
        <w:tc>
          <w:tcPr>
            <w:tcW w:w="3341"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分析方法及方法依据</w:t>
            </w:r>
          </w:p>
        </w:tc>
        <w:tc>
          <w:tcPr>
            <w:tcW w:w="1390"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最低检出限（mg/m</w:t>
            </w:r>
            <w:r>
              <w:rPr>
                <w:rFonts w:hint="default" w:ascii="Times New Roman" w:hAnsi="Times New Roman" w:eastAsia="宋体" w:cs="Times New Roman"/>
                <w:color w:val="auto"/>
                <w:kern w:val="0"/>
                <w:szCs w:val="21"/>
                <w:highlight w:val="none"/>
                <w:vertAlign w:val="superscript"/>
              </w:rPr>
              <w:t>3</w:t>
            </w:r>
            <w:r>
              <w:rPr>
                <w:rFonts w:hint="default" w:ascii="Times New Roman" w:hAnsi="Times New Roman" w:eastAsia="宋体" w:cs="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849"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非甲烷总烃</w:t>
            </w:r>
          </w:p>
        </w:tc>
        <w:tc>
          <w:tcPr>
            <w:tcW w:w="1987" w:type="dxa"/>
            <w:shd w:val="clear" w:color="auto" w:fill="auto"/>
            <w:vAlign w:val="center"/>
          </w:tcPr>
          <w:p>
            <w:pPr>
              <w:widowControl/>
              <w:shd w:val="clear"/>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崂应3036型废气VOCS采样器(LJHB-07-028</w:t>
            </w:r>
            <w:r>
              <w:rPr>
                <w:rFonts w:hint="default" w:ascii="Times New Roman" w:hAnsi="Times New Roman" w:eastAsia="宋体" w:cs="Times New Roman"/>
                <w:color w:val="auto"/>
                <w:szCs w:val="21"/>
                <w:highlight w:val="none"/>
                <w:lang w:eastAsia="zh-CN"/>
              </w:rPr>
              <w:t>）</w:t>
            </w:r>
          </w:p>
          <w:p>
            <w:pPr>
              <w:widowControl/>
              <w:shd w:val="clear"/>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GC9790</w:t>
            </w:r>
            <w:r>
              <w:rPr>
                <w:rFonts w:hint="default" w:ascii="Times New Roman" w:hAnsi="Times New Roman" w:eastAsia="宋体" w:cs="Times New Roman"/>
                <w:color w:val="auto"/>
                <w:szCs w:val="21"/>
                <w:highlight w:val="none"/>
                <w:lang w:eastAsia="zh-CN"/>
              </w:rPr>
              <w:t>Ⅱ</w:t>
            </w:r>
            <w:r>
              <w:rPr>
                <w:rFonts w:hint="default" w:ascii="Times New Roman" w:hAnsi="Times New Roman" w:eastAsia="宋体" w:cs="Times New Roman"/>
                <w:color w:val="auto"/>
                <w:szCs w:val="21"/>
                <w:highlight w:val="none"/>
              </w:rPr>
              <w:t>气相色谱仪(LJHB-10-002</w:t>
            </w:r>
            <w:r>
              <w:rPr>
                <w:rFonts w:hint="default" w:ascii="Times New Roman" w:hAnsi="Times New Roman" w:eastAsia="宋体" w:cs="Times New Roman"/>
                <w:color w:val="auto"/>
                <w:szCs w:val="21"/>
                <w:highlight w:val="none"/>
                <w:lang w:eastAsia="zh-CN"/>
              </w:rPr>
              <w:t>）</w:t>
            </w:r>
          </w:p>
        </w:tc>
        <w:tc>
          <w:tcPr>
            <w:tcW w:w="3341" w:type="dxa"/>
            <w:shd w:val="clear" w:color="auto" w:fill="auto"/>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环境空气 总烃、非甲烷总烃、甲烷的测定 直接进样-气相色谱法</w:t>
            </w:r>
          </w:p>
        </w:tc>
        <w:tc>
          <w:tcPr>
            <w:tcW w:w="1390"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0.07</w:t>
            </w:r>
          </w:p>
        </w:tc>
      </w:tr>
    </w:tbl>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ja-JP"/>
        </w:rPr>
        <w:fldChar w:fldCharType="begin"/>
      </w:r>
      <w:r>
        <w:rPr>
          <w:rFonts w:hint="default" w:ascii="Times New Roman" w:hAnsi="Times New Roman" w:eastAsia="宋体" w:cs="Times New Roman"/>
          <w:color w:val="auto"/>
          <w:sz w:val="24"/>
          <w:szCs w:val="24"/>
          <w:highlight w:val="none"/>
        </w:rPr>
        <w:instrText xml:space="preserve"> = 3 \* GB3 </w:instrText>
      </w:r>
      <w:r>
        <w:rPr>
          <w:rFonts w:hint="default" w:ascii="Times New Roman" w:hAnsi="Times New Roman" w:eastAsia="宋体" w:cs="Times New Roman"/>
          <w:color w:val="auto"/>
          <w:sz w:val="24"/>
          <w:szCs w:val="24"/>
          <w:highlight w:val="none"/>
          <w:lang w:eastAsia="ja-JP"/>
        </w:rPr>
        <w:fldChar w:fldCharType="separate"/>
      </w: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lang w:eastAsia="ja-JP"/>
        </w:rPr>
        <w:fldChar w:fldCharType="end"/>
      </w:r>
      <w:r>
        <w:rPr>
          <w:rFonts w:hint="default" w:ascii="Times New Roman" w:hAnsi="Times New Roman" w:eastAsia="宋体" w:cs="Times New Roman"/>
          <w:color w:val="auto"/>
          <w:sz w:val="24"/>
          <w:szCs w:val="24"/>
          <w:highlight w:val="none"/>
        </w:rPr>
        <w:t>监测结果</w:t>
      </w:r>
    </w:p>
    <w:p>
      <w:pPr>
        <w:shd w:val="clear"/>
        <w:tabs>
          <w:tab w:val="center" w:pos="4218"/>
          <w:tab w:val="left" w:pos="6477"/>
        </w:tabs>
        <w:spacing w:line="240" w:lineRule="auto"/>
        <w:jc w:val="center"/>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 xml:space="preserve">3  </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szCs w:val="24"/>
          <w:lang w:val="en-US" w:eastAsia="zh-CN"/>
        </w:rPr>
        <w:t>现场检测气象参数一览表</w:t>
      </w:r>
    </w:p>
    <w:tbl>
      <w:tblPr>
        <w:tblStyle w:val="90"/>
        <w:tblW w:w="8277" w:type="dxa"/>
        <w:jc w:val="center"/>
        <w:tblLayout w:type="fixed"/>
        <w:tblCellMar>
          <w:top w:w="0" w:type="dxa"/>
          <w:left w:w="0" w:type="dxa"/>
          <w:bottom w:w="0" w:type="dxa"/>
          <w:right w:w="0" w:type="dxa"/>
        </w:tblCellMar>
      </w:tblPr>
      <w:tblGrid>
        <w:gridCol w:w="1181"/>
        <w:gridCol w:w="1181"/>
        <w:gridCol w:w="1183"/>
        <w:gridCol w:w="1183"/>
        <w:gridCol w:w="1183"/>
        <w:gridCol w:w="1183"/>
        <w:gridCol w:w="1183"/>
      </w:tblGrid>
      <w:tr>
        <w:tblPrEx>
          <w:tblCellMar>
            <w:top w:w="0" w:type="dxa"/>
            <w:left w:w="0" w:type="dxa"/>
            <w:bottom w:w="0" w:type="dxa"/>
            <w:right w:w="0" w:type="dxa"/>
          </w:tblCellMar>
        </w:tblPrEx>
        <w:trPr>
          <w:trHeight w:val="340" w:hRule="atLeast"/>
          <w:jc w:val="center"/>
        </w:trPr>
        <w:tc>
          <w:tcPr>
            <w:tcW w:w="2068" w:type="dxa"/>
            <w:gridSpan w:val="2"/>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采样时间</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气压</w:t>
            </w:r>
          </w:p>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(KPa）</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气温</w:t>
            </w:r>
          </w:p>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风速</w:t>
            </w:r>
          </w:p>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(m/s）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风向</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天气</w:t>
            </w:r>
          </w:p>
        </w:tc>
      </w:tr>
      <w:tr>
        <w:tblPrEx>
          <w:tblCellMar>
            <w:top w:w="0" w:type="dxa"/>
            <w:left w:w="0" w:type="dxa"/>
            <w:bottom w:w="0" w:type="dxa"/>
            <w:right w:w="0" w:type="dxa"/>
          </w:tblCellMar>
        </w:tblPrEx>
        <w:trPr>
          <w:trHeight w:val="340" w:hRule="atLeast"/>
          <w:jc w:val="center"/>
        </w:trPr>
        <w:tc>
          <w:tcPr>
            <w:tcW w:w="103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2020.09.19</w:t>
            </w: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89.6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14.7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WN</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89.4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18.9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2.1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89.2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23.4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1.9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89.4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19.8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WN</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2020.09.20</w:t>
            </w: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89.5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15.1</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1.8</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89.4</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19.3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89.3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24.0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1.7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89.3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20.6</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1.9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2020.09.21</w:t>
            </w: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90.2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13.9</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90.1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19.7</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90.0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22.4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90.1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18.6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w:t>
            </w:r>
          </w:p>
        </w:tc>
      </w:tr>
      <w:tr>
        <w:tblPrEx>
          <w:tblCellMar>
            <w:top w:w="0" w:type="dxa"/>
            <w:left w:w="0" w:type="dxa"/>
            <w:bottom w:w="0" w:type="dxa"/>
            <w:right w:w="0" w:type="dxa"/>
          </w:tblCellMar>
        </w:tblPrEx>
        <w:trPr>
          <w:trHeight w:val="340" w:hRule="atLeast"/>
          <w:jc w:val="center"/>
        </w:trPr>
        <w:tc>
          <w:tcPr>
            <w:tcW w:w="103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2020.09.22</w:t>
            </w: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91.5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10.2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2.1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91.4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14.4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91.3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17.9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91.4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14.1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w:t>
            </w:r>
          </w:p>
        </w:tc>
      </w:tr>
      <w:tr>
        <w:tblPrEx>
          <w:tblCellMar>
            <w:top w:w="0" w:type="dxa"/>
            <w:left w:w="0" w:type="dxa"/>
            <w:bottom w:w="0" w:type="dxa"/>
            <w:right w:w="0" w:type="dxa"/>
          </w:tblCellMar>
        </w:tblPrEx>
        <w:trPr>
          <w:trHeight w:val="340" w:hRule="atLeast"/>
          <w:jc w:val="center"/>
        </w:trPr>
        <w:tc>
          <w:tcPr>
            <w:tcW w:w="103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2020.09.23</w:t>
            </w: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90.2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11.3</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89.9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14.9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2.1</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89.8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21.2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90.0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17.3</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2020.09.24</w:t>
            </w: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89.6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12.4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2.2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89.5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15.8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89.4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22.6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89.5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18.5</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1.9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2020.09.25</w:t>
            </w: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89.3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14.9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2.3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89.2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20.7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25.4</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2.0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r>
        <w:tblPrEx>
          <w:tblCellMar>
            <w:top w:w="0" w:type="dxa"/>
            <w:left w:w="0" w:type="dxa"/>
            <w:bottom w:w="0" w:type="dxa"/>
            <w:right w:w="0" w:type="dxa"/>
          </w:tblCellMar>
        </w:tblPrEx>
        <w:trPr>
          <w:trHeight w:val="340" w:hRule="atLeast"/>
          <w:jc w:val="center"/>
        </w:trPr>
        <w:tc>
          <w:tcPr>
            <w:tcW w:w="1034"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hd w:val="clear"/>
              <w:jc w:val="center"/>
              <w:rPr>
                <w:rFonts w:hint="default" w:ascii="Times New Roman" w:hAnsi="Times New Roman" w:eastAsia="宋体" w:cs="Times New Roman"/>
                <w:i w:val="0"/>
                <w:color w:val="auto"/>
                <w:sz w:val="21"/>
                <w:szCs w:val="21"/>
                <w:u w:val="none"/>
              </w:rPr>
            </w:pPr>
          </w:p>
        </w:tc>
        <w:tc>
          <w:tcPr>
            <w:tcW w:w="103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20:00</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 xml:space="preserve">89.1 </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18.6</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2.3</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ES</w:t>
            </w:r>
          </w:p>
        </w:tc>
        <w:tc>
          <w:tcPr>
            <w:tcW w:w="103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keepNext w:val="0"/>
              <w:keepLines w:val="0"/>
              <w:widowControl/>
              <w:suppressLineNumbers w:val="0"/>
              <w:shd w:val="clear"/>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晴</w:t>
            </w:r>
          </w:p>
        </w:tc>
      </w:tr>
    </w:tbl>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非甲烷总烃环境质量监测数据</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2448"/>
        <w:gridCol w:w="3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Align w:val="center"/>
          </w:tcPr>
          <w:p>
            <w:pPr>
              <w:shd w:val="clear"/>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检测日期</w:t>
            </w:r>
          </w:p>
        </w:tc>
        <w:tc>
          <w:tcPr>
            <w:tcW w:w="2448" w:type="dxa"/>
            <w:vAlign w:val="center"/>
          </w:tcPr>
          <w:p>
            <w:pPr>
              <w:shd w:val="clear"/>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检测时间</w:t>
            </w:r>
          </w:p>
        </w:tc>
        <w:tc>
          <w:tcPr>
            <w:tcW w:w="3037" w:type="dxa"/>
            <w:vAlign w:val="center"/>
          </w:tcPr>
          <w:p>
            <w:pPr>
              <w:shd w:val="clear"/>
              <w:tabs>
                <w:tab w:val="left" w:pos="2121"/>
                <w:tab w:val="center" w:pos="4355"/>
              </w:tabs>
              <w:snapToGrid w:val="0"/>
              <w:jc w:val="center"/>
              <w:outlineLvl w:val="9"/>
              <w:rPr>
                <w:rFonts w:hint="default" w:ascii="Times New Roman" w:hAnsi="Times New Roman" w:eastAsia="宋体" w:cs="Times New Roman"/>
                <w:b w:val="0"/>
                <w:bCs w:val="0"/>
                <w:color w:val="auto"/>
                <w:sz w:val="21"/>
                <w:szCs w:val="21"/>
                <w:highlight w:val="none"/>
              </w:rPr>
            </w:pPr>
            <w:bookmarkStart w:id="199" w:name="_Toc26194245"/>
            <w:bookmarkStart w:id="200" w:name="_Toc4634"/>
            <w:bookmarkStart w:id="201" w:name="_Toc531702624"/>
            <w:r>
              <w:rPr>
                <w:rFonts w:hint="default" w:ascii="Times New Roman" w:hAnsi="Times New Roman" w:eastAsia="宋体" w:cs="Times New Roman"/>
                <w:b w:val="0"/>
                <w:color w:val="auto"/>
                <w:sz w:val="21"/>
                <w:szCs w:val="21"/>
                <w:highlight w:val="none"/>
              </w:rPr>
              <w:t>非甲烷总烃检测结果（mg/m</w:t>
            </w:r>
            <w:r>
              <w:rPr>
                <w:rFonts w:hint="default" w:ascii="Times New Roman" w:hAnsi="Times New Roman" w:eastAsia="宋体" w:cs="Times New Roman"/>
                <w:b w:val="0"/>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rPr>
              <w:t>）</w:t>
            </w:r>
            <w:bookmarkEnd w:id="199"/>
            <w:bookmarkEnd w:id="200"/>
            <w:bookmarkEnd w:id="2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restart"/>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2020.09.19</w:t>
            </w: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20200919NMHC01</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20200919NMHC02</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20200919NMHC03</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20200919NMHC04</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restart"/>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2020.09.20</w:t>
            </w: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20200920NMHC01</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20200920NMHC02</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20200920NMHC03</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20200920NMHC04</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restart"/>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2020.09.21</w:t>
            </w: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20200921NMHC01</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20200921NMHC02</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20200921NMHC03</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20200921NMHC04</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restart"/>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2020.09.22</w:t>
            </w: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20200922NMHC01</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20200922NMHC02</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20200922NMHC03</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20200922NMHC04</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restart"/>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2020.09.23</w:t>
            </w: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20200923NMHC01</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20200923NMHC02</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20200923NMHC03</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20200923NMHC04</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restart"/>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2020.09.24</w:t>
            </w: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20200924NMHC01</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20200924NMHC02</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20200924NMHC03</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20200924NMHC04</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restart"/>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2020.09.25</w:t>
            </w: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20200925NMHC01</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20200925NMHC02</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20200925NMHC03</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Merge w:val="continue"/>
            <w:shd w:val="clear" w:color="auto" w:fill="auto"/>
            <w:vAlign w:val="center"/>
          </w:tcPr>
          <w:p>
            <w:pPr>
              <w:widowControl/>
              <w:shd w:val="clear"/>
              <w:jc w:val="center"/>
              <w:rPr>
                <w:rFonts w:hint="default" w:ascii="Times New Roman" w:hAnsi="Times New Roman" w:eastAsia="宋体" w:cs="Times New Roman"/>
                <w:color w:val="auto"/>
                <w:sz w:val="21"/>
                <w:szCs w:val="21"/>
                <w:highlight w:val="none"/>
              </w:rPr>
            </w:pPr>
          </w:p>
        </w:tc>
        <w:tc>
          <w:tcPr>
            <w:tcW w:w="2448"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20200925NMHC04</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0.13</w:t>
            </w:r>
          </w:p>
        </w:tc>
      </w:tr>
    </w:tbl>
    <w:p>
      <w:pPr>
        <w:shd w:val="clea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eastAsia="zh-CN"/>
        </w:rPr>
      </w:pPr>
      <w:bookmarkStart w:id="202" w:name="_Toc464475390"/>
      <w:bookmarkStart w:id="203" w:name="_Toc327383106"/>
      <w:bookmarkStart w:id="204" w:name="_Ref203299991"/>
      <w:bookmarkStart w:id="205" w:name="_Toc248741090"/>
      <w:r>
        <w:rPr>
          <w:rFonts w:hint="default" w:ascii="Times New Roman" w:hAnsi="Times New Roman" w:eastAsia="宋体" w:cs="Times New Roman"/>
          <w:color w:val="auto"/>
          <w:kern w:val="0"/>
          <w:sz w:val="24"/>
          <w:szCs w:val="24"/>
          <w:highlight w:val="none"/>
        </w:rPr>
        <w:t>监测结果表明：非甲烷总烃</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小时</w:t>
      </w:r>
      <w:r>
        <w:rPr>
          <w:rFonts w:hint="default" w:ascii="Times New Roman" w:hAnsi="Times New Roman" w:eastAsia="宋体" w:cs="Times New Roman"/>
          <w:color w:val="auto"/>
          <w:kern w:val="0"/>
          <w:sz w:val="24"/>
          <w:szCs w:val="24"/>
          <w:highlight w:val="none"/>
          <w:lang w:eastAsia="zh-CN"/>
        </w:rPr>
        <w:t>平均</w:t>
      </w:r>
      <w:r>
        <w:rPr>
          <w:rFonts w:hint="default" w:ascii="Times New Roman" w:hAnsi="Times New Roman" w:eastAsia="宋体" w:cs="Times New Roman"/>
          <w:color w:val="auto"/>
          <w:kern w:val="0"/>
          <w:sz w:val="24"/>
          <w:szCs w:val="24"/>
          <w:highlight w:val="none"/>
        </w:rPr>
        <w:t>浓度</w:t>
      </w:r>
      <w:r>
        <w:rPr>
          <w:rFonts w:hint="default" w:ascii="Times New Roman" w:hAnsi="Times New Roman" w:eastAsia="宋体" w:cs="Times New Roman"/>
          <w:color w:val="auto"/>
          <w:kern w:val="0"/>
          <w:sz w:val="24"/>
          <w:szCs w:val="24"/>
          <w:highlight w:val="none"/>
          <w:lang w:eastAsia="zh-CN"/>
        </w:rPr>
        <w:t>均</w:t>
      </w:r>
      <w:r>
        <w:rPr>
          <w:rFonts w:hint="default" w:ascii="Times New Roman" w:hAnsi="Times New Roman" w:eastAsia="宋体" w:cs="Times New Roman"/>
          <w:color w:val="auto"/>
          <w:kern w:val="0"/>
          <w:sz w:val="24"/>
          <w:szCs w:val="24"/>
          <w:highlight w:val="none"/>
        </w:rPr>
        <w:t>满足河北省地方标准《环境空气质量</w:t>
      </w:r>
      <w:r>
        <w:rPr>
          <w:rFonts w:hint="default"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rPr>
        <w:t>非甲烷总烃限值》（</w:t>
      </w:r>
      <w:r>
        <w:rPr>
          <w:rFonts w:hint="default" w:ascii="Times New Roman" w:hAnsi="Times New Roman" w:eastAsia="宋体" w:cs="Times New Roman"/>
          <w:color w:val="auto"/>
          <w:kern w:val="0"/>
          <w:sz w:val="24"/>
          <w:szCs w:val="24"/>
          <w:highlight w:val="none"/>
          <w:lang w:eastAsia="zh-CN"/>
        </w:rPr>
        <w:t>DB13/1577</w:t>
      </w:r>
      <w:r>
        <w:rPr>
          <w:rFonts w:hint="default" w:ascii="Times New Roman" w:hAnsi="Times New Roman" w:eastAsia="宋体" w:cs="Times New Roman"/>
          <w:color w:val="auto"/>
          <w:kern w:val="0"/>
          <w:sz w:val="24"/>
          <w:szCs w:val="24"/>
          <w:highlight w:val="none"/>
        </w:rPr>
        <w:t>-2012）中浓度限值</w:t>
      </w:r>
      <w:r>
        <w:rPr>
          <w:rFonts w:hint="default" w:ascii="Times New Roman" w:hAnsi="Times New Roman" w:eastAsia="宋体" w:cs="Times New Roman"/>
          <w:color w:val="auto"/>
          <w:kern w:val="0"/>
          <w:sz w:val="24"/>
          <w:szCs w:val="24"/>
          <w:highlight w:val="none"/>
          <w:lang w:eastAsia="zh-CN"/>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2）TSP</w:t>
      </w:r>
    </w:p>
    <w:p>
      <w:pPr>
        <w:keepNext w:val="0"/>
        <w:shd w:val="clear"/>
        <w:tabs>
          <w:tab w:val="center" w:pos="4153"/>
          <w:tab w:val="right" w:pos="8306"/>
        </w:tabs>
        <w:spacing w:line="360" w:lineRule="auto"/>
        <w:ind w:firstLine="480"/>
        <w:rPr>
          <w:rFonts w:hint="default" w:ascii="Times New Roman" w:hAnsi="Times New Roman" w:eastAsia="宋体" w:cs="Times New Roman"/>
          <w:bCs/>
          <w:color w:val="auto"/>
          <w:sz w:val="24"/>
          <w:szCs w:val="24"/>
          <w:highlight w:val="none"/>
          <w:lang w:eastAsia="ja-JP"/>
        </w:rPr>
      </w:pPr>
      <w:r>
        <w:rPr>
          <w:rFonts w:hint="default" w:ascii="Times New Roman" w:hAnsi="Times New Roman" w:eastAsia="宋体" w:cs="Times New Roman"/>
          <w:color w:val="auto"/>
          <w:sz w:val="24"/>
          <w:szCs w:val="24"/>
          <w:highlight w:val="none"/>
          <w:lang w:eastAsia="zh-CN"/>
        </w:rPr>
        <w:t>TSP监测</w:t>
      </w:r>
      <w:r>
        <w:rPr>
          <w:rFonts w:hint="default" w:ascii="Times New Roman" w:hAnsi="Times New Roman" w:eastAsia="宋体" w:cs="Times New Roman"/>
          <w:color w:val="auto"/>
          <w:sz w:val="24"/>
          <w:szCs w:val="24"/>
          <w:highlight w:val="none"/>
          <w:lang w:val="en-US" w:eastAsia="zh-CN"/>
        </w:rPr>
        <w:t>委托内蒙古华智鼎环保科技有限公司进行监测，监测时间为2021年09月22日~2021年09月28日</w:t>
      </w:r>
      <w:r>
        <w:rPr>
          <w:rFonts w:hint="default" w:ascii="Times New Roman" w:hAnsi="Times New Roman" w:eastAsia="宋体" w:cs="Times New Roman"/>
          <w:color w:val="auto"/>
          <w:sz w:val="24"/>
          <w:szCs w:val="24"/>
          <w:highlight w:val="none"/>
        </w:rPr>
        <w:t>。</w:t>
      </w:r>
    </w:p>
    <w:p>
      <w:pPr>
        <w:keepNext w:val="0"/>
        <w:shd w:val="clear"/>
        <w:tabs>
          <w:tab w:val="center" w:pos="4153"/>
          <w:tab w:val="right" w:pos="8306"/>
        </w:tabs>
        <w:spacing w:line="360" w:lineRule="auto"/>
        <w:ind w:firstLine="48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ja-JP"/>
        </w:rPr>
        <w:t>①</w:t>
      </w:r>
      <w:r>
        <w:rPr>
          <w:rFonts w:hint="default" w:ascii="Times New Roman" w:hAnsi="Times New Roman" w:eastAsia="宋体" w:cs="Times New Roman"/>
          <w:bCs/>
          <w:color w:val="auto"/>
          <w:sz w:val="24"/>
          <w:szCs w:val="24"/>
          <w:highlight w:val="none"/>
        </w:rPr>
        <w:t>监测点位</w:t>
      </w:r>
    </w:p>
    <w:p>
      <w:pPr>
        <w:keepNext w:val="0"/>
        <w:shd w:val="clear"/>
        <w:tabs>
          <w:tab w:val="center" w:pos="4153"/>
          <w:tab w:val="right" w:pos="8306"/>
        </w:tabs>
        <w:spacing w:line="360" w:lineRule="auto"/>
        <w:ind w:firstLine="48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布设了</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个TSP现状监测点，</w:t>
      </w:r>
      <w:r>
        <w:rPr>
          <w:rFonts w:hint="default" w:ascii="Times New Roman" w:hAnsi="Times New Roman" w:eastAsia="宋体" w:cs="Times New Roman"/>
          <w:bCs/>
          <w:color w:val="auto"/>
          <w:sz w:val="24"/>
          <w:szCs w:val="24"/>
          <w:highlight w:val="none"/>
          <w:lang w:val="en-US" w:eastAsia="zh-CN"/>
        </w:rPr>
        <w:t>监测点设置在拟建项目厂址</w:t>
      </w:r>
      <w:r>
        <w:rPr>
          <w:rFonts w:hint="default" w:ascii="Times New Roman" w:hAnsi="Times New Roman" w:eastAsia="宋体" w:cs="Times New Roman"/>
          <w:bCs/>
          <w:color w:val="auto"/>
          <w:sz w:val="24"/>
          <w:szCs w:val="24"/>
          <w:highlight w:val="none"/>
        </w:rPr>
        <w:t>。</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ja-JP"/>
        </w:rPr>
        <w:fldChar w:fldCharType="begin"/>
      </w:r>
      <w:r>
        <w:rPr>
          <w:rFonts w:hint="default" w:ascii="Times New Roman" w:hAnsi="Times New Roman" w:eastAsia="宋体" w:cs="Times New Roman"/>
          <w:color w:val="auto"/>
          <w:sz w:val="24"/>
          <w:szCs w:val="24"/>
          <w:highlight w:val="none"/>
        </w:rPr>
        <w:instrText xml:space="preserve"> = 2 \* GB3 </w:instrText>
      </w:r>
      <w:r>
        <w:rPr>
          <w:rFonts w:hint="default" w:ascii="Times New Roman" w:hAnsi="Times New Roman" w:eastAsia="宋体" w:cs="Times New Roman"/>
          <w:color w:val="auto"/>
          <w:sz w:val="24"/>
          <w:szCs w:val="24"/>
          <w:highlight w:val="none"/>
          <w:lang w:eastAsia="ja-JP"/>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eastAsia="ja-JP"/>
        </w:rPr>
        <w:fldChar w:fldCharType="end"/>
      </w:r>
      <w:r>
        <w:rPr>
          <w:rFonts w:hint="default" w:ascii="Times New Roman" w:hAnsi="Times New Roman" w:eastAsia="宋体" w:cs="Times New Roman"/>
          <w:color w:val="auto"/>
          <w:sz w:val="24"/>
          <w:szCs w:val="24"/>
          <w:highlight w:val="none"/>
        </w:rPr>
        <w:t>监测分析方法</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采样点、采样环境、采样高度的要求，按《环境空气质量标准》（GB3095-2012）中规定的方法。采样仪器及分析方法见表4.</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 xml:space="preserve">5  </w:t>
      </w:r>
      <w:r>
        <w:rPr>
          <w:rFonts w:hint="default" w:ascii="Times New Roman" w:hAnsi="Times New Roman" w:eastAsia="宋体" w:cs="Times New Roman"/>
          <w:b/>
          <w:color w:val="auto"/>
          <w:sz w:val="24"/>
          <w:highlight w:val="none"/>
        </w:rPr>
        <w:t xml:space="preserve"> 监测仪器及分析方法</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49"/>
        <w:gridCol w:w="1987"/>
        <w:gridCol w:w="3341"/>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84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项目名称</w:t>
            </w:r>
          </w:p>
        </w:tc>
        <w:tc>
          <w:tcPr>
            <w:tcW w:w="1987"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监测仪器名称</w:t>
            </w:r>
          </w:p>
        </w:tc>
        <w:tc>
          <w:tcPr>
            <w:tcW w:w="334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分析方法及方法依据</w:t>
            </w:r>
          </w:p>
        </w:tc>
        <w:tc>
          <w:tcPr>
            <w:tcW w:w="139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最低检出限（mg/m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849"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val="en-US" w:eastAsia="zh-CN"/>
              </w:rPr>
              <w:t>总悬浮颗粒物</w:t>
            </w:r>
          </w:p>
        </w:tc>
        <w:tc>
          <w:tcPr>
            <w:tcW w:w="1987" w:type="dxa"/>
            <w:shd w:val="clear" w:color="auto" w:fill="auto"/>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电子天平（</w:t>
            </w:r>
            <w:r>
              <w:rPr>
                <w:rFonts w:hint="default" w:ascii="Times New Roman" w:hAnsi="Times New Roman" w:eastAsia="宋体" w:cs="Times New Roman"/>
                <w:color w:val="auto"/>
                <w:sz w:val="21"/>
                <w:szCs w:val="21"/>
                <w:lang w:val="en-US" w:eastAsia="zh-CN"/>
              </w:rPr>
              <w:t>十</w:t>
            </w:r>
            <w:r>
              <w:rPr>
                <w:rFonts w:hint="default" w:ascii="Times New Roman" w:hAnsi="Times New Roman" w:eastAsia="宋体" w:cs="Times New Roman"/>
                <w:color w:val="auto"/>
                <w:sz w:val="21"/>
                <w:szCs w:val="21"/>
              </w:rPr>
              <w:t>万分之一）/AUW120D</w:t>
            </w:r>
          </w:p>
        </w:tc>
        <w:tc>
          <w:tcPr>
            <w:tcW w:w="3341" w:type="dxa"/>
            <w:vMerge w:val="restart"/>
            <w:shd w:val="clear" w:color="auto" w:fill="auto"/>
            <w:vAlign w:val="center"/>
          </w:tcPr>
          <w:p>
            <w:pPr>
              <w:widowControl/>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bidi="ar"/>
              </w:rPr>
              <w:t>《环境空气 总悬浮颗粒物的测定 重量法 》（GB/T 15432-1995）</w:t>
            </w:r>
          </w:p>
        </w:tc>
        <w:tc>
          <w:tcPr>
            <w:tcW w:w="139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shd w:val="clear" w:color="auto" w:fill="auto"/>
            <w:vAlign w:val="center"/>
          </w:tcPr>
          <w:p>
            <w:pPr>
              <w:widowControl/>
              <w:shd w:val="clear"/>
              <w:jc w:val="center"/>
              <w:textAlignment w:val="center"/>
              <w:rPr>
                <w:rFonts w:hint="default" w:ascii="Times New Roman" w:hAnsi="Times New Roman" w:eastAsia="宋体" w:cs="Times New Roman"/>
                <w:color w:val="auto"/>
                <w:sz w:val="21"/>
                <w:szCs w:val="21"/>
              </w:rPr>
            </w:pPr>
          </w:p>
        </w:tc>
        <w:tc>
          <w:tcPr>
            <w:tcW w:w="849" w:type="dxa"/>
            <w:vMerge w:val="continue"/>
            <w:shd w:val="clear" w:color="auto" w:fill="auto"/>
            <w:vAlign w:val="center"/>
          </w:tcPr>
          <w:p>
            <w:pPr>
              <w:widowControl/>
              <w:shd w:val="clear"/>
              <w:jc w:val="center"/>
              <w:textAlignment w:val="center"/>
              <w:rPr>
                <w:rFonts w:hint="default" w:ascii="Times New Roman" w:hAnsi="Times New Roman" w:eastAsia="宋体" w:cs="Times New Roman"/>
                <w:color w:val="auto"/>
                <w:sz w:val="21"/>
                <w:szCs w:val="21"/>
              </w:rPr>
            </w:pPr>
          </w:p>
        </w:tc>
        <w:tc>
          <w:tcPr>
            <w:tcW w:w="1987" w:type="dxa"/>
            <w:shd w:val="clear" w:color="auto" w:fill="auto"/>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综合大气采样器</w:t>
            </w:r>
            <w:r>
              <w:rPr>
                <w:rFonts w:hint="default" w:ascii="Times New Roman" w:hAnsi="Times New Roman" w:eastAsia="宋体" w:cs="Times New Roman"/>
                <w:color w:val="auto"/>
                <w:sz w:val="21"/>
                <w:szCs w:val="21"/>
                <w:lang w:val="en-US" w:eastAsia="zh-CN"/>
              </w:rPr>
              <w:t>/XA-100</w:t>
            </w:r>
          </w:p>
        </w:tc>
        <w:tc>
          <w:tcPr>
            <w:tcW w:w="3341" w:type="dxa"/>
            <w:vMerge w:val="continue"/>
            <w:shd w:val="clear" w:color="auto" w:fill="auto"/>
            <w:vAlign w:val="center"/>
          </w:tcPr>
          <w:p>
            <w:pPr>
              <w:widowControl/>
              <w:shd w:val="clear"/>
              <w:jc w:val="center"/>
              <w:textAlignment w:val="center"/>
              <w:rPr>
                <w:rFonts w:hint="default" w:ascii="Times New Roman" w:hAnsi="Times New Roman" w:eastAsia="宋体" w:cs="Times New Roman"/>
                <w:color w:val="auto"/>
                <w:sz w:val="21"/>
                <w:szCs w:val="21"/>
                <w:highlight w:val="none"/>
              </w:rPr>
            </w:pPr>
          </w:p>
        </w:tc>
        <w:tc>
          <w:tcPr>
            <w:tcW w:w="1390" w:type="dxa"/>
            <w:vMerge w:val="continue"/>
            <w:shd w:val="clear" w:color="auto" w:fill="auto"/>
            <w:vAlign w:val="center"/>
          </w:tcPr>
          <w:p>
            <w:pPr>
              <w:widowControl/>
              <w:shd w:val="clear"/>
              <w:jc w:val="center"/>
              <w:textAlignment w:val="center"/>
              <w:rPr>
                <w:rFonts w:hint="default" w:ascii="Times New Roman" w:hAnsi="Times New Roman" w:eastAsia="宋体" w:cs="Times New Roman"/>
                <w:color w:val="auto"/>
                <w:sz w:val="21"/>
                <w:szCs w:val="21"/>
                <w:highlight w:val="none"/>
              </w:rPr>
            </w:pPr>
          </w:p>
        </w:tc>
      </w:tr>
    </w:tbl>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ja-JP"/>
        </w:rPr>
        <w:fldChar w:fldCharType="begin"/>
      </w:r>
      <w:r>
        <w:rPr>
          <w:rFonts w:hint="default" w:ascii="Times New Roman" w:hAnsi="Times New Roman" w:eastAsia="宋体" w:cs="Times New Roman"/>
          <w:color w:val="auto"/>
          <w:sz w:val="24"/>
          <w:szCs w:val="24"/>
          <w:highlight w:val="none"/>
        </w:rPr>
        <w:instrText xml:space="preserve"> = 3 \* GB3 </w:instrText>
      </w:r>
      <w:r>
        <w:rPr>
          <w:rFonts w:hint="default" w:ascii="Times New Roman" w:hAnsi="Times New Roman" w:eastAsia="宋体" w:cs="Times New Roman"/>
          <w:color w:val="auto"/>
          <w:sz w:val="24"/>
          <w:szCs w:val="24"/>
          <w:highlight w:val="none"/>
          <w:lang w:eastAsia="ja-JP"/>
        </w:rPr>
        <w:fldChar w:fldCharType="separate"/>
      </w: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lang w:eastAsia="ja-JP"/>
        </w:rPr>
        <w:fldChar w:fldCharType="end"/>
      </w:r>
      <w:r>
        <w:rPr>
          <w:rFonts w:hint="default" w:ascii="Times New Roman" w:hAnsi="Times New Roman" w:eastAsia="宋体" w:cs="Times New Roman"/>
          <w:color w:val="auto"/>
          <w:sz w:val="24"/>
          <w:szCs w:val="24"/>
          <w:highlight w:val="none"/>
        </w:rPr>
        <w:t>监测结果</w:t>
      </w:r>
    </w:p>
    <w:p>
      <w:pPr>
        <w:shd w:val="clear"/>
        <w:tabs>
          <w:tab w:val="center" w:pos="4218"/>
          <w:tab w:val="left" w:pos="6477"/>
        </w:tabs>
        <w:spacing w:line="240" w:lineRule="auto"/>
        <w:jc w:val="center"/>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 xml:space="preserve">6  </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szCs w:val="24"/>
          <w:lang w:val="en-US" w:eastAsia="zh-CN"/>
        </w:rPr>
        <w:t>现场检测气象参数一览表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182"/>
        <w:gridCol w:w="1182"/>
        <w:gridCol w:w="1182"/>
        <w:gridCol w:w="1183"/>
        <w:gridCol w:w="118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shd w:val="clea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采样日期</w:t>
            </w:r>
          </w:p>
        </w:tc>
        <w:tc>
          <w:tcPr>
            <w:tcW w:w="567" w:type="dxa"/>
            <w:noWrap w:val="0"/>
            <w:vAlign w:val="center"/>
          </w:tcPr>
          <w:p>
            <w:pPr>
              <w:shd w:val="clea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采样时间</w:t>
            </w:r>
          </w:p>
        </w:tc>
        <w:tc>
          <w:tcPr>
            <w:tcW w:w="567" w:type="dxa"/>
            <w:noWrap w:val="0"/>
            <w:vAlign w:val="center"/>
          </w:tcPr>
          <w:p>
            <w:pPr>
              <w:shd w:val="clear"/>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平均气温(℃)</w:t>
            </w:r>
          </w:p>
        </w:tc>
        <w:tc>
          <w:tcPr>
            <w:tcW w:w="567" w:type="dxa"/>
            <w:noWrap w:val="0"/>
            <w:vAlign w:val="center"/>
          </w:tcPr>
          <w:p>
            <w:pPr>
              <w:shd w:val="clear"/>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大气压（</w:t>
            </w:r>
            <w:r>
              <w:rPr>
                <w:rFonts w:hint="default" w:ascii="Times New Roman" w:hAnsi="Times New Roman" w:eastAsia="宋体" w:cs="Times New Roman"/>
                <w:b/>
                <w:bCs/>
                <w:color w:val="auto"/>
                <w:szCs w:val="22"/>
                <w:lang w:val="en-US" w:eastAsia="zh-CN"/>
              </w:rPr>
              <w:t>k</w:t>
            </w:r>
            <w:r>
              <w:rPr>
                <w:rFonts w:hint="default" w:ascii="Times New Roman" w:hAnsi="Times New Roman" w:eastAsia="宋体" w:cs="Times New Roman"/>
                <w:b/>
                <w:bCs/>
                <w:color w:val="auto"/>
                <w:szCs w:val="22"/>
              </w:rPr>
              <w:t>Pa）</w:t>
            </w:r>
          </w:p>
        </w:tc>
        <w:tc>
          <w:tcPr>
            <w:tcW w:w="567" w:type="dxa"/>
            <w:noWrap w:val="0"/>
            <w:vAlign w:val="center"/>
          </w:tcPr>
          <w:p>
            <w:pPr>
              <w:shd w:val="clear"/>
              <w:jc w:val="center"/>
              <w:rPr>
                <w:rFonts w:hint="default" w:ascii="Times New Roman" w:hAnsi="Times New Roman" w:eastAsia="宋体" w:cs="Times New Roman"/>
                <w:b/>
                <w:bCs/>
                <w:color w:val="auto"/>
                <w:szCs w:val="22"/>
                <w:lang w:eastAsia="zh-CN"/>
              </w:rPr>
            </w:pPr>
            <w:r>
              <w:rPr>
                <w:rFonts w:hint="default" w:ascii="Times New Roman" w:hAnsi="Times New Roman" w:eastAsia="宋体" w:cs="Times New Roman"/>
                <w:b/>
                <w:bCs/>
                <w:color w:val="auto"/>
                <w:szCs w:val="22"/>
              </w:rPr>
              <w:t>风向</w:t>
            </w:r>
            <w:r>
              <w:rPr>
                <w:rFonts w:hint="default" w:ascii="Times New Roman" w:hAnsi="Times New Roman" w:eastAsia="宋体" w:cs="Times New Roman"/>
                <w:b/>
                <w:bCs/>
                <w:color w:val="auto"/>
                <w:szCs w:val="22"/>
                <w:lang w:eastAsia="zh-CN"/>
              </w:rPr>
              <w:t>（</w:t>
            </w:r>
            <w:r>
              <w:rPr>
                <w:rFonts w:hint="default" w:ascii="Times New Roman" w:hAnsi="Times New Roman" w:eastAsia="宋体" w:cs="Times New Roman"/>
                <w:b/>
                <w:bCs/>
                <w:color w:val="auto"/>
                <w:szCs w:val="22"/>
                <w:lang w:val="en-US" w:eastAsia="zh-CN"/>
              </w:rPr>
              <w:t>度</w:t>
            </w:r>
            <w:r>
              <w:rPr>
                <w:rFonts w:hint="default" w:ascii="Times New Roman" w:hAnsi="Times New Roman" w:eastAsia="宋体" w:cs="Times New Roman"/>
                <w:b/>
                <w:bCs/>
                <w:color w:val="auto"/>
                <w:szCs w:val="22"/>
                <w:lang w:eastAsia="zh-CN"/>
              </w:rPr>
              <w:t>）</w:t>
            </w:r>
          </w:p>
        </w:tc>
        <w:tc>
          <w:tcPr>
            <w:tcW w:w="567" w:type="dxa"/>
            <w:noWrap w:val="0"/>
            <w:vAlign w:val="center"/>
          </w:tcPr>
          <w:p>
            <w:pPr>
              <w:shd w:val="clear"/>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风速(m/s)</w:t>
            </w:r>
          </w:p>
        </w:tc>
        <w:tc>
          <w:tcPr>
            <w:tcW w:w="567" w:type="dxa"/>
            <w:noWrap w:val="0"/>
            <w:vAlign w:val="center"/>
          </w:tcPr>
          <w:p>
            <w:pPr>
              <w:shd w:val="clear"/>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2021-09-22</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szCs w:val="21"/>
              </w:rPr>
              <w:t>08:</w:t>
            </w:r>
            <w:r>
              <w:rPr>
                <w:rFonts w:hint="default" w:ascii="Times New Roman" w:hAnsi="Times New Roman" w:eastAsia="宋体" w:cs="Times New Roman"/>
                <w:b w:val="0"/>
                <w:bCs w:val="0"/>
                <w:color w:val="auto"/>
                <w:szCs w:val="21"/>
                <w:lang w:val="en-US" w:eastAsia="zh-CN"/>
              </w:rPr>
              <w:t>15</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eastAsia="zh-CN"/>
              </w:rPr>
              <w:t>次日</w:t>
            </w:r>
            <w:r>
              <w:rPr>
                <w:rFonts w:hint="default" w:ascii="Times New Roman" w:hAnsi="Times New Roman" w:eastAsia="宋体" w:cs="Times New Roman"/>
                <w:b w:val="0"/>
                <w:bCs w:val="0"/>
                <w:color w:val="auto"/>
                <w:szCs w:val="21"/>
              </w:rPr>
              <w:t>0</w:t>
            </w:r>
            <w:r>
              <w:rPr>
                <w:rFonts w:hint="default" w:ascii="Times New Roman" w:hAnsi="Times New Roman" w:eastAsia="宋体" w:cs="Times New Roman"/>
                <w:b w:val="0"/>
                <w:bCs w:val="0"/>
                <w:color w:val="auto"/>
                <w:szCs w:val="21"/>
                <w:lang w:val="en-US" w:eastAsia="zh-CN"/>
              </w:rPr>
              <w:t>8</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val="en-US" w:eastAsia="zh-CN"/>
              </w:rPr>
              <w:t>15</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16.5</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86.68</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highlight w:val="yellow"/>
                <w:lang w:val="en-US" w:eastAsia="zh-CN"/>
              </w:rPr>
            </w:pPr>
            <w:r>
              <w:rPr>
                <w:rFonts w:hint="default" w:ascii="Times New Roman" w:hAnsi="Times New Roman" w:eastAsia="宋体" w:cs="Times New Roman"/>
                <w:b w:val="0"/>
                <w:bCs w:val="0"/>
                <w:color w:val="auto"/>
                <w:szCs w:val="22"/>
                <w:highlight w:val="none"/>
                <w:lang w:val="en-US" w:eastAsia="zh-CN"/>
              </w:rPr>
              <w:t>东南风135</w:t>
            </w:r>
            <w:r>
              <w:rPr>
                <w:rFonts w:hint="default" w:ascii="Times New Roman" w:hAnsi="Times New Roman" w:eastAsia="宋体" w:cs="Times New Roman"/>
                <w:b w:val="0"/>
                <w:bCs w:val="0"/>
                <w:color w:val="auto"/>
                <w:szCs w:val="22"/>
                <w:highlight w:val="none"/>
              </w:rPr>
              <w:t>°</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2.6</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2021-09-23</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zCs w:val="21"/>
              </w:rPr>
              <w:t>08:</w:t>
            </w:r>
            <w:r>
              <w:rPr>
                <w:rFonts w:hint="default" w:ascii="Times New Roman" w:hAnsi="Times New Roman" w:eastAsia="宋体" w:cs="Times New Roman"/>
                <w:b w:val="0"/>
                <w:bCs w:val="0"/>
                <w:color w:val="auto"/>
                <w:szCs w:val="21"/>
                <w:lang w:val="en-US" w:eastAsia="zh-CN"/>
              </w:rPr>
              <w:t>20</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eastAsia="zh-CN"/>
              </w:rPr>
              <w:t>次日</w:t>
            </w:r>
            <w:r>
              <w:rPr>
                <w:rFonts w:hint="default" w:ascii="Times New Roman" w:hAnsi="Times New Roman" w:eastAsia="宋体" w:cs="Times New Roman"/>
                <w:b w:val="0"/>
                <w:bCs w:val="0"/>
                <w:color w:val="auto"/>
                <w:szCs w:val="21"/>
              </w:rPr>
              <w:t>0</w:t>
            </w:r>
            <w:r>
              <w:rPr>
                <w:rFonts w:hint="default" w:ascii="Times New Roman" w:hAnsi="Times New Roman" w:eastAsia="宋体" w:cs="Times New Roman"/>
                <w:b w:val="0"/>
                <w:bCs w:val="0"/>
                <w:color w:val="auto"/>
                <w:szCs w:val="21"/>
                <w:lang w:val="en-US" w:eastAsia="zh-CN"/>
              </w:rPr>
              <w:t>8</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val="en-US" w:eastAsia="zh-CN"/>
              </w:rPr>
              <w:t>20</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17.1</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87.14</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kern w:val="2"/>
                <w:sz w:val="21"/>
                <w:szCs w:val="22"/>
                <w:highlight w:val="none"/>
                <w:lang w:val="en-US" w:eastAsia="zh-CN" w:bidi="ar-SA"/>
              </w:rPr>
            </w:pPr>
            <w:r>
              <w:rPr>
                <w:rFonts w:hint="default" w:ascii="Times New Roman" w:hAnsi="Times New Roman" w:eastAsia="宋体" w:cs="Times New Roman"/>
                <w:b w:val="0"/>
                <w:bCs w:val="0"/>
                <w:color w:val="auto"/>
                <w:szCs w:val="22"/>
                <w:highlight w:val="none"/>
                <w:lang w:val="en-US" w:eastAsia="zh-CN"/>
              </w:rPr>
              <w:t>东南风125</w:t>
            </w:r>
            <w:r>
              <w:rPr>
                <w:rFonts w:hint="default" w:ascii="Times New Roman" w:hAnsi="Times New Roman" w:eastAsia="宋体" w:cs="Times New Roman"/>
                <w:b w:val="0"/>
                <w:bCs w:val="0"/>
                <w:color w:val="auto"/>
                <w:szCs w:val="22"/>
                <w:highlight w:val="none"/>
              </w:rPr>
              <w:t>°</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3.4</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eastAsia="zh-CN"/>
              </w:rPr>
            </w:pPr>
            <w:r>
              <w:rPr>
                <w:rFonts w:hint="default" w:ascii="Times New Roman" w:hAnsi="Times New Roman" w:eastAsia="宋体" w:cs="Times New Roman"/>
                <w:b w:val="0"/>
                <w:bCs w:val="0"/>
                <w:color w:val="auto"/>
                <w:szCs w:val="22"/>
                <w:lang w:eastAsia="zh-CN"/>
              </w:rPr>
              <w:t>晴转多云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2021-09-24</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zCs w:val="21"/>
              </w:rPr>
              <w:t>08:</w:t>
            </w:r>
            <w:r>
              <w:rPr>
                <w:rFonts w:hint="default" w:ascii="Times New Roman" w:hAnsi="Times New Roman" w:eastAsia="宋体" w:cs="Times New Roman"/>
                <w:b w:val="0"/>
                <w:bCs w:val="0"/>
                <w:color w:val="auto"/>
                <w:szCs w:val="21"/>
                <w:lang w:val="en-US" w:eastAsia="zh-CN"/>
              </w:rPr>
              <w:t>25</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eastAsia="zh-CN"/>
              </w:rPr>
              <w:t>次日</w:t>
            </w:r>
            <w:r>
              <w:rPr>
                <w:rFonts w:hint="default" w:ascii="Times New Roman" w:hAnsi="Times New Roman" w:eastAsia="宋体" w:cs="Times New Roman"/>
                <w:b w:val="0"/>
                <w:bCs w:val="0"/>
                <w:color w:val="auto"/>
                <w:szCs w:val="21"/>
              </w:rPr>
              <w:t>0</w:t>
            </w:r>
            <w:r>
              <w:rPr>
                <w:rFonts w:hint="default" w:ascii="Times New Roman" w:hAnsi="Times New Roman" w:eastAsia="宋体" w:cs="Times New Roman"/>
                <w:b w:val="0"/>
                <w:bCs w:val="0"/>
                <w:color w:val="auto"/>
                <w:szCs w:val="21"/>
                <w:lang w:val="en-US" w:eastAsia="zh-CN"/>
              </w:rPr>
              <w:t>8</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val="en-US" w:eastAsia="zh-CN"/>
              </w:rPr>
              <w:t>25</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17.8</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87.27</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kern w:val="2"/>
                <w:sz w:val="21"/>
                <w:szCs w:val="22"/>
                <w:highlight w:val="none"/>
                <w:lang w:val="en-US" w:eastAsia="zh-CN" w:bidi="ar-SA"/>
              </w:rPr>
            </w:pPr>
            <w:r>
              <w:rPr>
                <w:rFonts w:hint="default" w:ascii="Times New Roman" w:hAnsi="Times New Roman" w:eastAsia="宋体" w:cs="Times New Roman"/>
                <w:b w:val="0"/>
                <w:bCs w:val="0"/>
                <w:color w:val="auto"/>
                <w:szCs w:val="22"/>
                <w:highlight w:val="none"/>
                <w:lang w:val="en-US" w:eastAsia="zh-CN"/>
              </w:rPr>
              <w:t>东南风130</w:t>
            </w:r>
            <w:r>
              <w:rPr>
                <w:rFonts w:hint="default" w:ascii="Times New Roman" w:hAnsi="Times New Roman" w:eastAsia="宋体" w:cs="Times New Roman"/>
                <w:b w:val="0"/>
                <w:bCs w:val="0"/>
                <w:color w:val="auto"/>
                <w:szCs w:val="22"/>
                <w:highlight w:val="none"/>
              </w:rPr>
              <w:t>°</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3.5</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eastAsia="zh-CN"/>
              </w:rPr>
            </w:pPr>
            <w:r>
              <w:rPr>
                <w:rFonts w:hint="default" w:ascii="Times New Roman" w:hAnsi="Times New Roman" w:eastAsia="宋体" w:cs="Times New Roman"/>
                <w:b w:val="0"/>
                <w:bCs w:val="0"/>
                <w:color w:val="auto"/>
                <w:szCs w:val="22"/>
                <w:lang w:eastAsia="zh-CN"/>
              </w:rPr>
              <w:t>多云转晴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2021-09-25</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08:</w:t>
            </w:r>
            <w:r>
              <w:rPr>
                <w:rFonts w:hint="default" w:ascii="Times New Roman" w:hAnsi="Times New Roman" w:eastAsia="宋体" w:cs="Times New Roman"/>
                <w:b w:val="0"/>
                <w:bCs w:val="0"/>
                <w:color w:val="auto"/>
                <w:szCs w:val="21"/>
                <w:lang w:val="en-US" w:eastAsia="zh-CN"/>
              </w:rPr>
              <w:t>30</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eastAsia="zh-CN"/>
              </w:rPr>
              <w:t>次日</w:t>
            </w:r>
            <w:r>
              <w:rPr>
                <w:rFonts w:hint="default" w:ascii="Times New Roman" w:hAnsi="Times New Roman" w:eastAsia="宋体" w:cs="Times New Roman"/>
                <w:b w:val="0"/>
                <w:bCs w:val="0"/>
                <w:color w:val="auto"/>
                <w:szCs w:val="21"/>
              </w:rPr>
              <w:t>0</w:t>
            </w:r>
            <w:r>
              <w:rPr>
                <w:rFonts w:hint="default" w:ascii="Times New Roman" w:hAnsi="Times New Roman" w:eastAsia="宋体" w:cs="Times New Roman"/>
                <w:b w:val="0"/>
                <w:bCs w:val="0"/>
                <w:color w:val="auto"/>
                <w:szCs w:val="21"/>
                <w:lang w:val="en-US" w:eastAsia="zh-CN"/>
              </w:rPr>
              <w:t>8</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val="en-US" w:eastAsia="zh-CN"/>
              </w:rPr>
              <w:t>30</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18.2</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87.31</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highlight w:val="none"/>
                <w:lang w:eastAsia="zh-CN"/>
              </w:rPr>
            </w:pPr>
            <w:r>
              <w:rPr>
                <w:rFonts w:hint="default" w:ascii="Times New Roman" w:hAnsi="Times New Roman" w:eastAsia="宋体" w:cs="Times New Roman"/>
                <w:b w:val="0"/>
                <w:bCs w:val="0"/>
                <w:color w:val="auto"/>
                <w:szCs w:val="22"/>
                <w:highlight w:val="none"/>
                <w:lang w:val="en-US" w:eastAsia="zh-CN"/>
              </w:rPr>
              <w:t>东南风145</w:t>
            </w:r>
            <w:r>
              <w:rPr>
                <w:rFonts w:hint="default" w:ascii="Times New Roman" w:hAnsi="Times New Roman" w:eastAsia="宋体" w:cs="Times New Roman"/>
                <w:b w:val="0"/>
                <w:bCs w:val="0"/>
                <w:color w:val="auto"/>
                <w:szCs w:val="22"/>
                <w:highlight w:val="none"/>
              </w:rPr>
              <w:t>°</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3.8</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2021-09-26</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1"/>
                <w:lang w:val="en-US"/>
              </w:rPr>
            </w:pPr>
            <w:r>
              <w:rPr>
                <w:rFonts w:hint="default" w:ascii="Times New Roman" w:hAnsi="Times New Roman" w:eastAsia="宋体" w:cs="Times New Roman"/>
                <w:b w:val="0"/>
                <w:bCs w:val="0"/>
                <w:color w:val="auto"/>
                <w:szCs w:val="21"/>
              </w:rPr>
              <w:t>08:</w:t>
            </w:r>
            <w:r>
              <w:rPr>
                <w:rFonts w:hint="default" w:ascii="Times New Roman" w:hAnsi="Times New Roman" w:eastAsia="宋体" w:cs="Times New Roman"/>
                <w:b w:val="0"/>
                <w:bCs w:val="0"/>
                <w:color w:val="auto"/>
                <w:szCs w:val="21"/>
                <w:lang w:val="en-US" w:eastAsia="zh-CN"/>
              </w:rPr>
              <w:t>35</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eastAsia="zh-CN"/>
              </w:rPr>
              <w:t>次日</w:t>
            </w:r>
            <w:r>
              <w:rPr>
                <w:rFonts w:hint="default" w:ascii="Times New Roman" w:hAnsi="Times New Roman" w:eastAsia="宋体" w:cs="Times New Roman"/>
                <w:b w:val="0"/>
                <w:bCs w:val="0"/>
                <w:color w:val="auto"/>
                <w:szCs w:val="21"/>
              </w:rPr>
              <w:t>0</w:t>
            </w:r>
            <w:r>
              <w:rPr>
                <w:rFonts w:hint="default" w:ascii="Times New Roman" w:hAnsi="Times New Roman" w:eastAsia="宋体" w:cs="Times New Roman"/>
                <w:b w:val="0"/>
                <w:bCs w:val="0"/>
                <w:color w:val="auto"/>
                <w:szCs w:val="21"/>
                <w:lang w:val="en-US" w:eastAsia="zh-CN"/>
              </w:rPr>
              <w:t>8</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val="en-US" w:eastAsia="zh-CN"/>
              </w:rPr>
              <w:t>35</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18.7</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87.48</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highlight w:val="none"/>
                <w:lang w:eastAsia="zh-CN"/>
              </w:rPr>
            </w:pPr>
            <w:r>
              <w:rPr>
                <w:rFonts w:hint="default" w:ascii="Times New Roman" w:hAnsi="Times New Roman" w:eastAsia="宋体" w:cs="Times New Roman"/>
                <w:b w:val="0"/>
                <w:bCs w:val="0"/>
                <w:color w:val="auto"/>
                <w:szCs w:val="22"/>
                <w:highlight w:val="none"/>
                <w:lang w:eastAsia="zh-CN"/>
              </w:rPr>
              <w:t>西南风</w:t>
            </w:r>
            <w:r>
              <w:rPr>
                <w:rFonts w:hint="default" w:ascii="Times New Roman" w:hAnsi="Times New Roman" w:eastAsia="宋体" w:cs="Times New Roman"/>
                <w:b w:val="0"/>
                <w:bCs w:val="0"/>
                <w:color w:val="auto"/>
                <w:szCs w:val="22"/>
                <w:highlight w:val="none"/>
                <w:lang w:val="en-US" w:eastAsia="zh-CN"/>
              </w:rPr>
              <w:t>230</w:t>
            </w:r>
            <w:r>
              <w:rPr>
                <w:rFonts w:hint="default" w:ascii="Times New Roman" w:hAnsi="Times New Roman" w:eastAsia="宋体" w:cs="Times New Roman"/>
                <w:b w:val="0"/>
                <w:bCs w:val="0"/>
                <w:color w:val="auto"/>
                <w:szCs w:val="22"/>
                <w:highlight w:val="none"/>
              </w:rPr>
              <w:t>°</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2.4</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eastAsia="zh-CN"/>
              </w:rPr>
              <w:t>多云转晴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2021-09-27</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1"/>
                <w:lang w:val="en-US"/>
              </w:rPr>
            </w:pPr>
            <w:r>
              <w:rPr>
                <w:rFonts w:hint="default" w:ascii="Times New Roman" w:hAnsi="Times New Roman" w:eastAsia="宋体" w:cs="Times New Roman"/>
                <w:b w:val="0"/>
                <w:bCs w:val="0"/>
                <w:color w:val="auto"/>
                <w:szCs w:val="21"/>
              </w:rPr>
              <w:t>08:</w:t>
            </w:r>
            <w:r>
              <w:rPr>
                <w:rFonts w:hint="default" w:ascii="Times New Roman" w:hAnsi="Times New Roman" w:eastAsia="宋体" w:cs="Times New Roman"/>
                <w:b w:val="0"/>
                <w:bCs w:val="0"/>
                <w:color w:val="auto"/>
                <w:szCs w:val="21"/>
                <w:lang w:val="en-US" w:eastAsia="zh-CN"/>
              </w:rPr>
              <w:t>40</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eastAsia="zh-CN"/>
              </w:rPr>
              <w:t>次日</w:t>
            </w:r>
            <w:r>
              <w:rPr>
                <w:rFonts w:hint="default" w:ascii="Times New Roman" w:hAnsi="Times New Roman" w:eastAsia="宋体" w:cs="Times New Roman"/>
                <w:b w:val="0"/>
                <w:bCs w:val="0"/>
                <w:color w:val="auto"/>
                <w:szCs w:val="21"/>
              </w:rPr>
              <w:t>0</w:t>
            </w:r>
            <w:r>
              <w:rPr>
                <w:rFonts w:hint="default" w:ascii="Times New Roman" w:hAnsi="Times New Roman" w:eastAsia="宋体" w:cs="Times New Roman"/>
                <w:b w:val="0"/>
                <w:bCs w:val="0"/>
                <w:color w:val="auto"/>
                <w:szCs w:val="21"/>
                <w:lang w:val="en-US" w:eastAsia="zh-CN"/>
              </w:rPr>
              <w:t>8</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val="en-US" w:eastAsia="zh-CN"/>
              </w:rPr>
              <w:t>40</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17.5</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87.18</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highlight w:val="none"/>
                <w:lang w:eastAsia="zh-CN"/>
              </w:rPr>
            </w:pPr>
            <w:r>
              <w:rPr>
                <w:rFonts w:hint="default" w:ascii="Times New Roman" w:hAnsi="Times New Roman" w:eastAsia="宋体" w:cs="Times New Roman"/>
                <w:b w:val="0"/>
                <w:bCs w:val="0"/>
                <w:color w:val="auto"/>
                <w:szCs w:val="22"/>
                <w:highlight w:val="none"/>
                <w:lang w:eastAsia="zh-CN"/>
              </w:rPr>
              <w:t>西南风</w:t>
            </w:r>
            <w:r>
              <w:rPr>
                <w:rFonts w:hint="default" w:ascii="Times New Roman" w:hAnsi="Times New Roman" w:eastAsia="宋体" w:cs="Times New Roman"/>
                <w:b w:val="0"/>
                <w:bCs w:val="0"/>
                <w:color w:val="auto"/>
                <w:szCs w:val="22"/>
                <w:highlight w:val="none"/>
                <w:lang w:val="en-US" w:eastAsia="zh-CN"/>
              </w:rPr>
              <w:t>235</w:t>
            </w:r>
            <w:r>
              <w:rPr>
                <w:rFonts w:hint="default" w:ascii="Times New Roman" w:hAnsi="Times New Roman" w:eastAsia="宋体" w:cs="Times New Roman"/>
                <w:b w:val="0"/>
                <w:bCs w:val="0"/>
                <w:color w:val="auto"/>
                <w:szCs w:val="22"/>
                <w:highlight w:val="none"/>
              </w:rPr>
              <w:t>°</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3.6</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eastAsia="zh-CN"/>
              </w:rPr>
              <w:t>多云转晴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2021-09-28</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rPr>
              <w:t>0</w:t>
            </w:r>
            <w:r>
              <w:rPr>
                <w:rFonts w:hint="default" w:ascii="Times New Roman" w:hAnsi="Times New Roman" w:eastAsia="宋体" w:cs="Times New Roman"/>
                <w:b w:val="0"/>
                <w:bCs w:val="0"/>
                <w:color w:val="auto"/>
                <w:szCs w:val="21"/>
                <w:lang w:val="en-US" w:eastAsia="zh-CN"/>
              </w:rPr>
              <w:t>8</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val="en-US" w:eastAsia="zh-CN"/>
              </w:rPr>
              <w:t>5</w:t>
            </w:r>
            <w:r>
              <w:rPr>
                <w:rFonts w:hint="default" w:ascii="Times New Roman" w:hAnsi="Times New Roman" w:eastAsia="宋体" w:cs="Times New Roman"/>
                <w:b w:val="0"/>
                <w:bCs w:val="0"/>
                <w:color w:val="auto"/>
                <w:szCs w:val="21"/>
              </w:rPr>
              <w:t>0-</w:t>
            </w:r>
            <w:r>
              <w:rPr>
                <w:rFonts w:hint="default" w:ascii="Times New Roman" w:hAnsi="Times New Roman" w:eastAsia="宋体" w:cs="Times New Roman"/>
                <w:b w:val="0"/>
                <w:bCs w:val="0"/>
                <w:color w:val="auto"/>
                <w:szCs w:val="21"/>
                <w:lang w:eastAsia="zh-CN"/>
              </w:rPr>
              <w:t>次日</w:t>
            </w:r>
            <w:r>
              <w:rPr>
                <w:rFonts w:hint="default" w:ascii="Times New Roman" w:hAnsi="Times New Roman" w:eastAsia="宋体" w:cs="Times New Roman"/>
                <w:b w:val="0"/>
                <w:bCs w:val="0"/>
                <w:color w:val="auto"/>
                <w:szCs w:val="21"/>
              </w:rPr>
              <w:t>0</w:t>
            </w:r>
            <w:r>
              <w:rPr>
                <w:rFonts w:hint="default" w:ascii="Times New Roman" w:hAnsi="Times New Roman" w:eastAsia="宋体" w:cs="Times New Roman"/>
                <w:b w:val="0"/>
                <w:bCs w:val="0"/>
                <w:color w:val="auto"/>
                <w:szCs w:val="21"/>
                <w:lang w:val="en-US" w:eastAsia="zh-CN"/>
              </w:rPr>
              <w:t>8</w:t>
            </w:r>
            <w:r>
              <w:rPr>
                <w:rFonts w:hint="default" w:ascii="Times New Roman" w:hAnsi="Times New Roman" w:eastAsia="宋体" w:cs="Times New Roman"/>
                <w:b w:val="0"/>
                <w:bCs w:val="0"/>
                <w:color w:val="auto"/>
                <w:szCs w:val="21"/>
              </w:rPr>
              <w:t>:</w:t>
            </w:r>
            <w:r>
              <w:rPr>
                <w:rFonts w:hint="default" w:ascii="Times New Roman" w:hAnsi="Times New Roman" w:eastAsia="宋体" w:cs="Times New Roman"/>
                <w:b w:val="0"/>
                <w:bCs w:val="0"/>
                <w:color w:val="auto"/>
                <w:szCs w:val="21"/>
                <w:lang w:val="en-US" w:eastAsia="zh-CN"/>
              </w:rPr>
              <w:t>50</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16.8</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86.86</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highlight w:val="none"/>
                <w:lang w:eastAsia="zh-CN"/>
              </w:rPr>
            </w:pPr>
            <w:r>
              <w:rPr>
                <w:rFonts w:hint="default" w:ascii="Times New Roman" w:hAnsi="Times New Roman" w:eastAsia="宋体" w:cs="Times New Roman"/>
                <w:b w:val="0"/>
                <w:bCs w:val="0"/>
                <w:color w:val="auto"/>
                <w:szCs w:val="22"/>
                <w:highlight w:val="none"/>
                <w:lang w:eastAsia="zh-CN"/>
              </w:rPr>
              <w:t>西南风</w:t>
            </w:r>
            <w:r>
              <w:rPr>
                <w:rFonts w:hint="default" w:ascii="Times New Roman" w:hAnsi="Times New Roman" w:eastAsia="宋体" w:cs="Times New Roman"/>
                <w:b w:val="0"/>
                <w:bCs w:val="0"/>
                <w:color w:val="auto"/>
                <w:szCs w:val="22"/>
                <w:highlight w:val="none"/>
                <w:lang w:val="en-US" w:eastAsia="zh-CN"/>
              </w:rPr>
              <w:t>225</w:t>
            </w:r>
            <w:r>
              <w:rPr>
                <w:rFonts w:hint="default" w:ascii="Times New Roman" w:hAnsi="Times New Roman" w:eastAsia="宋体" w:cs="Times New Roman"/>
                <w:b w:val="0"/>
                <w:bCs w:val="0"/>
                <w:color w:val="auto"/>
                <w:szCs w:val="22"/>
                <w:highlight w:val="none"/>
              </w:rPr>
              <w:t>°</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val="en-US" w:eastAsia="zh-CN"/>
              </w:rPr>
              <w:t>3.7</w:t>
            </w:r>
          </w:p>
        </w:tc>
        <w:tc>
          <w:tcPr>
            <w:tcW w:w="567" w:type="dxa"/>
            <w:noWrap w:val="0"/>
            <w:vAlign w:val="center"/>
          </w:tcPr>
          <w:p>
            <w:pPr>
              <w:shd w:val="clear"/>
              <w:ind w:firstLine="0" w:firstLineChars="0"/>
              <w:jc w:val="center"/>
              <w:rPr>
                <w:rFonts w:hint="default" w:ascii="Times New Roman" w:hAnsi="Times New Roman" w:eastAsia="宋体" w:cs="Times New Roman"/>
                <w:b w:val="0"/>
                <w:bCs w:val="0"/>
                <w:color w:val="auto"/>
                <w:szCs w:val="22"/>
                <w:lang w:val="en-US" w:eastAsia="zh-CN"/>
              </w:rPr>
            </w:pPr>
            <w:r>
              <w:rPr>
                <w:rFonts w:hint="default" w:ascii="Times New Roman" w:hAnsi="Times New Roman" w:eastAsia="宋体" w:cs="Times New Roman"/>
                <w:b w:val="0"/>
                <w:bCs w:val="0"/>
                <w:color w:val="auto"/>
                <w:szCs w:val="22"/>
                <w:lang w:eastAsia="zh-CN"/>
              </w:rPr>
              <w:t>晴</w:t>
            </w:r>
          </w:p>
        </w:tc>
      </w:tr>
    </w:tbl>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TSP</w:t>
      </w:r>
      <w:r>
        <w:rPr>
          <w:rFonts w:hint="default" w:ascii="Times New Roman" w:hAnsi="Times New Roman" w:eastAsia="宋体" w:cs="Times New Roman"/>
          <w:b/>
          <w:color w:val="auto"/>
          <w:sz w:val="24"/>
          <w:highlight w:val="none"/>
        </w:rPr>
        <w:t>环境质量监测数据</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5"/>
        <w:gridCol w:w="4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vAlign w:val="center"/>
          </w:tcPr>
          <w:p>
            <w:pPr>
              <w:shd w:val="clear"/>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检测日期</w:t>
            </w:r>
          </w:p>
        </w:tc>
        <w:tc>
          <w:tcPr>
            <w:tcW w:w="3037" w:type="dxa"/>
            <w:vAlign w:val="center"/>
          </w:tcPr>
          <w:p>
            <w:pPr>
              <w:shd w:val="clear"/>
              <w:tabs>
                <w:tab w:val="left" w:pos="2121"/>
                <w:tab w:val="center" w:pos="4355"/>
              </w:tabs>
              <w:snapToGrid w:val="0"/>
              <w:jc w:val="center"/>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color w:val="auto"/>
                <w:sz w:val="21"/>
                <w:szCs w:val="21"/>
                <w:highlight w:val="none"/>
                <w:lang w:val="en-US" w:eastAsia="zh-CN"/>
              </w:rPr>
              <w:t>TSP</w:t>
            </w:r>
            <w:r>
              <w:rPr>
                <w:rFonts w:hint="default" w:ascii="Times New Roman" w:hAnsi="Times New Roman" w:eastAsia="宋体" w:cs="Times New Roman"/>
                <w:b w:val="0"/>
                <w:color w:val="auto"/>
                <w:sz w:val="21"/>
                <w:szCs w:val="21"/>
                <w:highlight w:val="none"/>
              </w:rPr>
              <w:t>检测结果（</w:t>
            </w:r>
            <w:r>
              <w:rPr>
                <w:rFonts w:hint="default" w:ascii="Times New Roman" w:hAnsi="Times New Roman" w:eastAsia="宋体" w:cs="Times New Roman"/>
                <w:b w:val="0"/>
                <w:color w:val="auto"/>
                <w:sz w:val="21"/>
                <w:szCs w:val="21"/>
                <w:highlight w:val="none"/>
                <w:lang w:eastAsia="zh-CN"/>
              </w:rPr>
              <w:t>μ</w:t>
            </w:r>
            <w:r>
              <w:rPr>
                <w:rFonts w:hint="default" w:ascii="Times New Roman" w:hAnsi="Times New Roman" w:eastAsia="宋体" w:cs="Times New Roman"/>
                <w:b w:val="0"/>
                <w:color w:val="auto"/>
                <w:sz w:val="21"/>
                <w:szCs w:val="21"/>
                <w:highlight w:val="none"/>
              </w:rPr>
              <w:t>g/m</w:t>
            </w:r>
            <w:r>
              <w:rPr>
                <w:rFonts w:hint="default" w:ascii="Times New Roman" w:hAnsi="Times New Roman" w:eastAsia="宋体" w:cs="Times New Roman"/>
                <w:b w:val="0"/>
                <w:color w:val="auto"/>
                <w:sz w:val="21"/>
                <w:szCs w:val="21"/>
                <w:highlight w:val="none"/>
                <w:vertAlign w:val="superscript"/>
              </w:rPr>
              <w:t>3</w:t>
            </w:r>
            <w:r>
              <w:rPr>
                <w:rFonts w:hint="default" w:ascii="Times New Roman" w:hAnsi="Times New Roman" w:eastAsia="宋体" w:cs="Times New Roman"/>
                <w:b w:val="0"/>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2021.09.22</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2021.09.23</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2021.09.24</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2021.09.25</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2021.09.26</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2021.09.27</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92"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2021.09.28</w:t>
            </w:r>
          </w:p>
        </w:tc>
        <w:tc>
          <w:tcPr>
            <w:tcW w:w="3037" w:type="dxa"/>
            <w:shd w:val="clear" w:color="auto" w:fill="auto"/>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184</w:t>
            </w:r>
          </w:p>
        </w:tc>
      </w:tr>
    </w:tbl>
    <w:p>
      <w:pPr>
        <w:shd w:val="clea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监测结果表明：TSP</w:t>
      </w:r>
      <w:r>
        <w:rPr>
          <w:rFonts w:hint="default" w:ascii="Times New Roman" w:hAnsi="Times New Roman" w:eastAsia="宋体" w:cs="Times New Roman"/>
          <w:color w:val="auto"/>
          <w:kern w:val="0"/>
          <w:sz w:val="24"/>
          <w:highlight w:val="none"/>
          <w:lang w:eastAsia="zh-CN"/>
        </w:rPr>
        <w:t>日平均</w:t>
      </w:r>
      <w:r>
        <w:rPr>
          <w:rFonts w:hint="default" w:ascii="Times New Roman" w:hAnsi="Times New Roman" w:eastAsia="宋体" w:cs="Times New Roman"/>
          <w:color w:val="auto"/>
          <w:kern w:val="0"/>
          <w:sz w:val="24"/>
          <w:highlight w:val="none"/>
        </w:rPr>
        <w:t>浓度</w:t>
      </w:r>
      <w:r>
        <w:rPr>
          <w:rFonts w:hint="default" w:ascii="Times New Roman" w:hAnsi="Times New Roman" w:eastAsia="宋体" w:cs="Times New Roman"/>
          <w:color w:val="auto"/>
          <w:kern w:val="0"/>
          <w:sz w:val="24"/>
          <w:highlight w:val="none"/>
          <w:lang w:eastAsia="zh-CN"/>
        </w:rPr>
        <w:t>均</w:t>
      </w:r>
      <w:r>
        <w:rPr>
          <w:rFonts w:hint="default" w:ascii="Times New Roman" w:hAnsi="Times New Roman" w:eastAsia="宋体" w:cs="Times New Roman"/>
          <w:color w:val="auto"/>
          <w:kern w:val="0"/>
          <w:sz w:val="24"/>
          <w:highlight w:val="none"/>
        </w:rPr>
        <w:t>满足《环境空气质量标准》（GB3095-2012）及修改单表1中二级标准</w:t>
      </w:r>
      <w:r>
        <w:rPr>
          <w:rFonts w:hint="default" w:ascii="Times New Roman" w:hAnsi="Times New Roman" w:eastAsia="宋体" w:cs="Times New Roman"/>
          <w:color w:val="auto"/>
          <w:kern w:val="0"/>
          <w:sz w:val="24"/>
          <w:highlight w:val="none"/>
          <w:lang w:eastAsia="zh-CN"/>
        </w:rPr>
        <w:t>。</w:t>
      </w:r>
    </w:p>
    <w:bookmarkEnd w:id="202"/>
    <w:bookmarkEnd w:id="203"/>
    <w:bookmarkEnd w:id="204"/>
    <w:bookmarkEnd w:id="205"/>
    <w:p>
      <w:pPr>
        <w:pStyle w:val="5"/>
        <w:shd w:val="clear"/>
        <w:spacing w:line="360" w:lineRule="auto"/>
        <w:rPr>
          <w:rFonts w:hint="default" w:ascii="Times New Roman" w:hAnsi="Times New Roman" w:eastAsia="宋体" w:cs="Times New Roman"/>
          <w:color w:val="auto"/>
          <w:highlight w:val="none"/>
        </w:rPr>
      </w:pPr>
      <w:bookmarkStart w:id="206" w:name="_Toc203461959"/>
      <w:bookmarkStart w:id="207" w:name="_Toc203461802"/>
      <w:bookmarkStart w:id="208" w:name="_Toc327383107"/>
      <w:bookmarkStart w:id="209" w:name="_Toc10909"/>
      <w:bookmarkStart w:id="210" w:name="_Toc464475391"/>
      <w:bookmarkStart w:id="211" w:name="_Toc208654626"/>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水环境质量现状监测与评价</w:t>
      </w:r>
      <w:bookmarkEnd w:id="206"/>
      <w:bookmarkEnd w:id="207"/>
      <w:bookmarkEnd w:id="208"/>
      <w:bookmarkEnd w:id="209"/>
      <w:bookmarkEnd w:id="210"/>
      <w:bookmarkEnd w:id="211"/>
    </w:p>
    <w:p>
      <w:pPr>
        <w:pStyle w:val="6"/>
        <w:keepLines w:val="0"/>
        <w:shd w:val="clear"/>
        <w:spacing w:line="360" w:lineRule="auto"/>
        <w:rPr>
          <w:rFonts w:hint="default" w:ascii="Times New Roman" w:hAnsi="Times New Roman" w:eastAsia="宋体" w:cs="Times New Roman"/>
          <w:color w:val="auto"/>
          <w:highlight w:val="none"/>
        </w:rPr>
      </w:pPr>
      <w:bookmarkStart w:id="212" w:name="_Toc327383108"/>
      <w:bookmarkStart w:id="213" w:name="_Toc464475392"/>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.1地下水环境质量现状监测</w:t>
      </w:r>
      <w:bookmarkEnd w:id="212"/>
      <w:bookmarkEnd w:id="213"/>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本项目地下水环境质量现状数据</w:t>
      </w:r>
      <w:r>
        <w:rPr>
          <w:rFonts w:hint="default" w:ascii="Times New Roman" w:hAnsi="Times New Roman" w:eastAsia="宋体" w:cs="Times New Roman"/>
          <w:color w:val="auto"/>
          <w:kern w:val="0"/>
          <w:sz w:val="24"/>
          <w:highlight w:val="none"/>
          <w:lang w:val="en-US" w:eastAsia="zh-CN"/>
        </w:rPr>
        <w:t>委托</w:t>
      </w:r>
      <w:r>
        <w:rPr>
          <w:rFonts w:hint="default" w:ascii="Times New Roman" w:hAnsi="Times New Roman" w:eastAsia="宋体" w:cs="Times New Roman"/>
          <w:color w:val="auto"/>
          <w:kern w:val="0"/>
          <w:sz w:val="24"/>
          <w:highlight w:val="none"/>
        </w:rPr>
        <w:t>内蒙古蓝箭环保有限责任公司</w:t>
      </w:r>
      <w:r>
        <w:rPr>
          <w:rFonts w:hint="default" w:ascii="Times New Roman" w:hAnsi="Times New Roman" w:eastAsia="宋体" w:cs="Times New Roman"/>
          <w:color w:val="auto"/>
          <w:kern w:val="0"/>
          <w:sz w:val="24"/>
          <w:highlight w:val="none"/>
          <w:lang w:val="en-US" w:eastAsia="zh-CN"/>
        </w:rPr>
        <w:t>进行监测，监测时间为</w:t>
      </w:r>
      <w:r>
        <w:rPr>
          <w:rFonts w:hint="default" w:ascii="Times New Roman" w:hAnsi="Times New Roman" w:eastAsia="宋体" w:cs="Times New Roman"/>
          <w:color w:val="auto"/>
          <w:kern w:val="0"/>
          <w:sz w:val="24"/>
          <w:highlight w:val="none"/>
        </w:rPr>
        <w:t>20</w:t>
      </w:r>
      <w:r>
        <w:rPr>
          <w:rFonts w:hint="default" w:ascii="Times New Roman" w:hAnsi="Times New Roman" w:eastAsia="宋体" w:cs="Times New Roman"/>
          <w:color w:val="auto"/>
          <w:kern w:val="0"/>
          <w:sz w:val="24"/>
          <w:highlight w:val="none"/>
          <w:lang w:val="en-US" w:eastAsia="zh-CN"/>
        </w:rPr>
        <w:t>20</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lang w:val="en-US" w:eastAsia="zh-CN"/>
        </w:rPr>
        <w:t>21</w:t>
      </w:r>
      <w:r>
        <w:rPr>
          <w:rFonts w:hint="default" w:ascii="Times New Roman" w:hAnsi="Times New Roman" w:eastAsia="宋体" w:cs="Times New Roman"/>
          <w:color w:val="auto"/>
          <w:kern w:val="0"/>
          <w:sz w:val="24"/>
          <w:highlight w:val="none"/>
        </w:rPr>
        <w:t>日。</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bookmarkStart w:id="214" w:name="_Toc327383109"/>
      <w:bookmarkStart w:id="215" w:name="_Toc464475393"/>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监测点位</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本项目设置3个地下水监测点位，分</w:t>
      </w:r>
      <w:r>
        <w:rPr>
          <w:rFonts w:hint="default" w:ascii="Times New Roman" w:hAnsi="Times New Roman" w:eastAsia="宋体" w:cs="Times New Roman"/>
          <w:color w:val="auto"/>
          <w:kern w:val="0"/>
          <w:sz w:val="24"/>
          <w:szCs w:val="24"/>
          <w:highlight w:val="none"/>
          <w:lang w:val="en-US" w:eastAsia="zh-CN"/>
        </w:rPr>
        <w:t>别为1#原村民饮用井、</w:t>
      </w:r>
      <w:r>
        <w:rPr>
          <w:rFonts w:hint="default" w:ascii="Times New Roman" w:hAnsi="Times New Roman" w:eastAsia="宋体" w:cs="Times New Roman"/>
          <w:color w:val="auto"/>
          <w:sz w:val="24"/>
          <w:szCs w:val="24"/>
          <w:highlight w:val="none"/>
          <w:lang w:val="en-US" w:eastAsia="zh-CN" w:bidi="ar"/>
        </w:rPr>
        <w:t>2</w:t>
      </w:r>
      <w:r>
        <w:rPr>
          <w:rFonts w:hint="default" w:ascii="Times New Roman" w:hAnsi="Times New Roman" w:eastAsia="宋体" w:cs="Times New Roman"/>
          <w:color w:val="auto"/>
          <w:sz w:val="24"/>
          <w:szCs w:val="24"/>
          <w:highlight w:val="none"/>
          <w:lang w:bidi="ar"/>
        </w:rPr>
        <w:t>#茂盛超市水井</w:t>
      </w:r>
      <w:r>
        <w:rPr>
          <w:rFonts w:hint="default" w:ascii="Times New Roman" w:hAnsi="Times New Roman" w:eastAsia="宋体" w:cs="Times New Roman"/>
          <w:color w:val="auto"/>
          <w:kern w:val="0"/>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bidi="ar"/>
        </w:rPr>
        <w:t>3</w:t>
      </w:r>
      <w:r>
        <w:rPr>
          <w:rFonts w:hint="default" w:ascii="Times New Roman" w:hAnsi="Times New Roman" w:eastAsia="宋体" w:cs="Times New Roman"/>
          <w:color w:val="auto"/>
          <w:sz w:val="24"/>
          <w:szCs w:val="24"/>
          <w:highlight w:val="none"/>
          <w:lang w:bidi="ar"/>
        </w:rPr>
        <w:t>#吕裴亮家水井</w:t>
      </w:r>
      <w:r>
        <w:rPr>
          <w:rFonts w:hint="default" w:ascii="Times New Roman" w:hAnsi="Times New Roman" w:eastAsia="宋体" w:cs="Times New Roman"/>
          <w:color w:val="auto"/>
          <w:kern w:val="0"/>
          <w:sz w:val="24"/>
          <w:szCs w:val="24"/>
          <w:highlight w:val="none"/>
          <w:lang w:val="en-US" w:eastAsia="zh-CN"/>
        </w:rPr>
        <w:t>，和6个水位点</w:t>
      </w:r>
      <w:r>
        <w:rPr>
          <w:rFonts w:hint="default" w:ascii="Times New Roman" w:hAnsi="Times New Roman" w:eastAsia="宋体" w:cs="Times New Roman"/>
          <w:color w:val="auto"/>
          <w:kern w:val="0"/>
          <w:sz w:val="24"/>
          <w:szCs w:val="24"/>
          <w:highlight w:val="none"/>
        </w:rPr>
        <w:t>。监测点位布设见表4.</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-1及图4.3-1。</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-1  地下水环境质量现状监测布点一览表</w:t>
      </w:r>
    </w:p>
    <w:tbl>
      <w:tblPr>
        <w:tblStyle w:val="90"/>
        <w:tblW w:w="82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5"/>
        <w:gridCol w:w="3452"/>
        <w:gridCol w:w="965"/>
        <w:gridCol w:w="965"/>
        <w:gridCol w:w="824"/>
        <w:gridCol w:w="11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地下水流向</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相对位置</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距离m</w:t>
            </w:r>
          </w:p>
        </w:tc>
        <w:tc>
          <w:tcPr>
            <w:tcW w:w="11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w:t>
            </w:r>
          </w:p>
        </w:tc>
        <w:tc>
          <w:tcPr>
            <w:tcW w:w="3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N:40°51′26.80′′ ；E:108°54′48.15′′</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下游</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6m</w:t>
            </w:r>
          </w:p>
        </w:tc>
        <w:tc>
          <w:tcPr>
            <w:tcW w:w="11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w:t>
            </w:r>
          </w:p>
        </w:tc>
        <w:tc>
          <w:tcPr>
            <w:tcW w:w="3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N:40°51′25.85′′ ；E:108°54′56.91′′</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两侧</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200m</w:t>
            </w:r>
          </w:p>
        </w:tc>
        <w:tc>
          <w:tcPr>
            <w:tcW w:w="11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p>
        </w:tc>
        <w:tc>
          <w:tcPr>
            <w:tcW w:w="3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N:40°51′15.16′′；E:108°54′51.04′′</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上游</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西南侧</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240m</w:t>
            </w:r>
          </w:p>
        </w:tc>
        <w:tc>
          <w:tcPr>
            <w:tcW w:w="11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c>
          <w:tcPr>
            <w:tcW w:w="3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N:40°51′25.48′′；E:108°54′57.30′′</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两侧</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250m</w:t>
            </w:r>
          </w:p>
        </w:tc>
        <w:tc>
          <w:tcPr>
            <w:tcW w:w="11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p>
        </w:tc>
        <w:tc>
          <w:tcPr>
            <w:tcW w:w="3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N:40°51′34.93′′；E:108°55′25.48′′</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两侧</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东侧</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970m</w:t>
            </w:r>
          </w:p>
        </w:tc>
        <w:tc>
          <w:tcPr>
            <w:tcW w:w="11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p>
        </w:tc>
        <w:tc>
          <w:tcPr>
            <w:tcW w:w="3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N:40°51′30.69′′；E:108°54′47.41′′</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下侧</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
              </w:rPr>
              <w:t>北</w:t>
            </w:r>
            <w:r>
              <w:rPr>
                <w:rFonts w:hint="default" w:ascii="Times New Roman" w:hAnsi="Times New Roman" w:eastAsia="宋体" w:cs="Times New Roman"/>
                <w:color w:val="auto"/>
                <w:sz w:val="21"/>
                <w:szCs w:val="21"/>
                <w:highlight w:val="none"/>
                <w:lang w:bidi="ar"/>
              </w:rPr>
              <w:t>侧</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110</w:t>
            </w:r>
            <w:r>
              <w:rPr>
                <w:rFonts w:hint="default" w:ascii="Times New Roman" w:hAnsi="Times New Roman" w:eastAsia="宋体" w:cs="Times New Roman"/>
                <w:color w:val="auto"/>
                <w:kern w:val="2"/>
                <w:sz w:val="21"/>
                <w:szCs w:val="21"/>
                <w:lang w:val="en-US" w:eastAsia="zh-CN" w:bidi="ar-SA"/>
              </w:rPr>
              <w:t>m</w:t>
            </w:r>
          </w:p>
        </w:tc>
        <w:tc>
          <w:tcPr>
            <w:tcW w:w="11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生活饮用水井</w:t>
            </w:r>
          </w:p>
        </w:tc>
      </w:tr>
    </w:tbl>
    <w:p>
      <w:pPr>
        <w:shd w:val="clear"/>
        <w:spacing w:line="240" w:lineRule="auto"/>
        <w:ind w:firstLine="482"/>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highlight w:val="none"/>
        </w:rPr>
        <w:t>4.</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rPr>
        <w:t xml:space="preserve">   各地下水环境现状监测点井深水位一览表</w:t>
      </w:r>
    </w:p>
    <w:tbl>
      <w:tblPr>
        <w:tblStyle w:val="90"/>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79"/>
        <w:gridCol w:w="3441"/>
        <w:gridCol w:w="974"/>
        <w:gridCol w:w="964"/>
        <w:gridCol w:w="813"/>
        <w:gridCol w:w="110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点位坐标</w:t>
            </w:r>
          </w:p>
        </w:tc>
        <w:tc>
          <w:tcPr>
            <w:tcW w:w="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井深（m）</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水深（m）</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海拔（m）</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水位（m）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1#</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N:40°51′26.80′′ ；E:108°54′48.15′′</w:t>
            </w:r>
          </w:p>
        </w:tc>
        <w:tc>
          <w:tcPr>
            <w:tcW w:w="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210</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150</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1122</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2#</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N:40°51′25.85′′ ；E:108°54′56.91′′</w:t>
            </w:r>
          </w:p>
        </w:tc>
        <w:tc>
          <w:tcPr>
            <w:tcW w:w="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220</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160</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1108</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N:40°51′15.16′′；E:108°54′51.04′′</w:t>
            </w:r>
          </w:p>
        </w:tc>
        <w:tc>
          <w:tcPr>
            <w:tcW w:w="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145</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1129</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N:40°51′25.48′′；E:108°54′57.30′′</w:t>
            </w:r>
          </w:p>
        </w:tc>
        <w:tc>
          <w:tcPr>
            <w:tcW w:w="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145</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1130</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N:40°51′34.93′′；E:108°55′25.48′′</w:t>
            </w:r>
          </w:p>
        </w:tc>
        <w:tc>
          <w:tcPr>
            <w:tcW w:w="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145</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1099</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N:40°51′30.69′′；E:108°54′47.41′′</w:t>
            </w:r>
          </w:p>
        </w:tc>
        <w:tc>
          <w:tcPr>
            <w:tcW w:w="9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210</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150</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1111</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961</w:t>
            </w:r>
          </w:p>
        </w:tc>
      </w:tr>
    </w:tbl>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监测因子</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pH值、总硬度、溶解性总固体、硫酸盐、氯化物、铁、锰、</w:t>
      </w:r>
      <w:r>
        <w:rPr>
          <w:rFonts w:hint="default" w:ascii="Times New Roman" w:hAnsi="Times New Roman" w:eastAsia="宋体" w:cs="Times New Roman"/>
          <w:color w:val="auto"/>
          <w:kern w:val="0"/>
          <w:sz w:val="24"/>
          <w:highlight w:val="none"/>
          <w:lang w:val="en-US" w:eastAsia="zh-CN"/>
        </w:rPr>
        <w:t>铜、锌、铝、</w:t>
      </w:r>
      <w:r>
        <w:rPr>
          <w:rFonts w:hint="default" w:ascii="Times New Roman" w:hAnsi="Times New Roman" w:eastAsia="宋体" w:cs="Times New Roman"/>
          <w:color w:val="auto"/>
          <w:kern w:val="0"/>
          <w:sz w:val="24"/>
          <w:highlight w:val="none"/>
        </w:rPr>
        <w:t>挥发</w:t>
      </w:r>
      <w:r>
        <w:rPr>
          <w:rFonts w:hint="default" w:ascii="Times New Roman" w:hAnsi="Times New Roman" w:eastAsia="宋体" w:cs="Times New Roman"/>
          <w:color w:val="auto"/>
          <w:kern w:val="0"/>
          <w:sz w:val="24"/>
          <w:highlight w:val="none"/>
          <w:lang w:val="en-US" w:eastAsia="zh-CN"/>
        </w:rPr>
        <w:t>性</w:t>
      </w:r>
      <w:r>
        <w:rPr>
          <w:rFonts w:hint="default" w:ascii="Times New Roman" w:hAnsi="Times New Roman" w:eastAsia="宋体" w:cs="Times New Roman"/>
          <w:color w:val="auto"/>
          <w:kern w:val="0"/>
          <w:sz w:val="24"/>
          <w:highlight w:val="none"/>
        </w:rPr>
        <w:t>酚</w:t>
      </w:r>
      <w:r>
        <w:rPr>
          <w:rFonts w:hint="default" w:ascii="Times New Roman" w:hAnsi="Times New Roman" w:eastAsia="宋体" w:cs="Times New Roman"/>
          <w:color w:val="auto"/>
          <w:kern w:val="0"/>
          <w:sz w:val="24"/>
          <w:highlight w:val="none"/>
          <w:lang w:val="en-US" w:eastAsia="zh-CN"/>
        </w:rPr>
        <w:t>类</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阴离子表面活性剂、</w:t>
      </w:r>
      <w:r>
        <w:rPr>
          <w:rFonts w:hint="default" w:ascii="Times New Roman" w:hAnsi="Times New Roman" w:eastAsia="宋体" w:cs="Times New Roman"/>
          <w:color w:val="auto"/>
          <w:kern w:val="0"/>
          <w:sz w:val="24"/>
          <w:highlight w:val="none"/>
        </w:rPr>
        <w:t>耗氧量、氨氮、</w:t>
      </w:r>
      <w:r>
        <w:rPr>
          <w:rFonts w:hint="default" w:ascii="Times New Roman" w:hAnsi="Times New Roman" w:eastAsia="宋体" w:cs="Times New Roman"/>
          <w:color w:val="auto"/>
          <w:kern w:val="0"/>
          <w:sz w:val="24"/>
          <w:highlight w:val="none"/>
          <w:lang w:val="en-US" w:eastAsia="zh-CN"/>
        </w:rPr>
        <w:t>硫化物、总</w:t>
      </w:r>
      <w:r>
        <w:rPr>
          <w:rFonts w:hint="default" w:ascii="Times New Roman" w:hAnsi="Times New Roman" w:eastAsia="宋体" w:cs="Times New Roman"/>
          <w:color w:val="auto"/>
          <w:kern w:val="0"/>
          <w:sz w:val="24"/>
          <w:highlight w:val="none"/>
        </w:rPr>
        <w:t>大肠菌群、</w:t>
      </w:r>
      <w:r>
        <w:rPr>
          <w:rFonts w:hint="default" w:ascii="Times New Roman" w:hAnsi="Times New Roman" w:eastAsia="宋体" w:cs="Times New Roman"/>
          <w:color w:val="auto"/>
          <w:kern w:val="0"/>
          <w:sz w:val="24"/>
          <w:highlight w:val="none"/>
          <w:lang w:eastAsia="zh-CN"/>
        </w:rPr>
        <w:t>菌落总数、</w:t>
      </w:r>
      <w:r>
        <w:rPr>
          <w:rFonts w:hint="default" w:ascii="Times New Roman" w:hAnsi="Times New Roman" w:eastAsia="宋体" w:cs="Times New Roman"/>
          <w:color w:val="auto"/>
          <w:kern w:val="0"/>
          <w:sz w:val="24"/>
          <w:highlight w:val="none"/>
          <w:lang w:val="en-US" w:eastAsia="zh-CN"/>
        </w:rPr>
        <w:t>亚</w:t>
      </w:r>
      <w:r>
        <w:rPr>
          <w:rFonts w:hint="default" w:ascii="Times New Roman" w:hAnsi="Times New Roman" w:eastAsia="宋体" w:cs="Times New Roman"/>
          <w:color w:val="auto"/>
          <w:kern w:val="0"/>
          <w:sz w:val="24"/>
          <w:highlight w:val="none"/>
        </w:rPr>
        <w:t>硝酸盐、硝酸盐、氰化物、氟化物、汞、砷、</w:t>
      </w:r>
      <w:r>
        <w:rPr>
          <w:rFonts w:hint="default" w:ascii="Times New Roman" w:hAnsi="Times New Roman" w:eastAsia="宋体" w:cs="Times New Roman"/>
          <w:color w:val="auto"/>
          <w:kern w:val="0"/>
          <w:sz w:val="24"/>
          <w:highlight w:val="none"/>
          <w:lang w:val="en-US" w:eastAsia="zh-CN"/>
        </w:rPr>
        <w:t>硒、</w:t>
      </w:r>
      <w:r>
        <w:rPr>
          <w:rFonts w:hint="default" w:ascii="Times New Roman" w:hAnsi="Times New Roman" w:eastAsia="宋体" w:cs="Times New Roman"/>
          <w:color w:val="auto"/>
          <w:kern w:val="0"/>
          <w:sz w:val="24"/>
          <w:highlight w:val="none"/>
        </w:rPr>
        <w:t>镉、铬、铅</w:t>
      </w:r>
      <w:r>
        <w:rPr>
          <w:rFonts w:hint="default" w:ascii="Times New Roman" w:hAnsi="Times New Roman" w:eastAsia="宋体" w:cs="Times New Roman"/>
          <w:color w:val="auto"/>
          <w:kern w:val="0"/>
          <w:sz w:val="24"/>
          <w:highlight w:val="none"/>
          <w:lang w:val="en-US" w:eastAsia="zh-CN"/>
        </w:rPr>
        <w:t>等</w:t>
      </w:r>
      <w:r>
        <w:rPr>
          <w:rFonts w:hint="default" w:ascii="Times New Roman" w:hAnsi="Times New Roman" w:eastAsia="宋体" w:cs="Times New Roman"/>
          <w:color w:val="auto"/>
          <w:kern w:val="0"/>
          <w:sz w:val="24"/>
          <w:highlight w:val="none"/>
        </w:rPr>
        <w:t>。</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监测时间及监测频率</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采样时间为20</w:t>
      </w:r>
      <w:r>
        <w:rPr>
          <w:rFonts w:hint="default" w:ascii="Times New Roman" w:hAnsi="Times New Roman" w:eastAsia="宋体" w:cs="Times New Roman"/>
          <w:color w:val="auto"/>
          <w:kern w:val="0"/>
          <w:sz w:val="24"/>
          <w:highlight w:val="none"/>
          <w:lang w:val="en-US" w:eastAsia="zh-CN"/>
        </w:rPr>
        <w:t>20</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lang w:val="en-US" w:eastAsia="zh-CN"/>
        </w:rPr>
        <w:t>21</w:t>
      </w:r>
      <w:r>
        <w:rPr>
          <w:rFonts w:hint="default" w:ascii="Times New Roman" w:hAnsi="Times New Roman" w:eastAsia="宋体" w:cs="Times New Roman"/>
          <w:color w:val="auto"/>
          <w:kern w:val="0"/>
          <w:sz w:val="24"/>
          <w:highlight w:val="none"/>
        </w:rPr>
        <w:t>日，检测一次。</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4</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eastAsia="zh-CN"/>
        </w:rPr>
        <w:t>分析方法</w:t>
      </w:r>
    </w:p>
    <w:p>
      <w:pPr>
        <w:keepNext w:val="0"/>
        <w:keepLines w:val="0"/>
        <w:pageBreakBefore w:val="0"/>
        <w:widowControl w:val="0"/>
        <w:shd w:val="clear"/>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 xml:space="preserve">3-3  </w:t>
      </w:r>
      <w:r>
        <w:rPr>
          <w:rFonts w:hint="default" w:ascii="Times New Roman" w:hAnsi="Times New Roman" w:eastAsia="宋体" w:cs="Times New Roman"/>
          <w:b/>
          <w:color w:val="auto"/>
          <w:sz w:val="24"/>
          <w:highlight w:val="none"/>
        </w:rPr>
        <w:t xml:space="preserve"> 监测仪器及分析方法</w:t>
      </w:r>
      <w:r>
        <w:rPr>
          <w:rFonts w:hint="default" w:ascii="Times New Roman" w:hAnsi="Times New Roman" w:eastAsia="宋体" w:cs="Times New Roman"/>
          <w:b/>
          <w:color w:val="auto"/>
          <w:sz w:val="24"/>
          <w:highlight w:val="none"/>
          <w:lang w:eastAsia="zh-CN"/>
        </w:rPr>
        <w:t>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2060"/>
        <w:gridCol w:w="1294"/>
        <w:gridCol w:w="1772"/>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检</w:t>
            </w:r>
            <w:r>
              <w:rPr>
                <w:rFonts w:hint="default" w:ascii="Times New Roman" w:hAnsi="Times New Roman" w:eastAsia="宋体" w:cs="Times New Roman"/>
                <w:color w:val="auto"/>
                <w:sz w:val="21"/>
                <w:szCs w:val="21"/>
                <w:highlight w:val="none"/>
              </w:rPr>
              <w:t>测项目</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分析方法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最低检出限</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检测依据</w:t>
            </w:r>
          </w:p>
        </w:tc>
        <w:tc>
          <w:tcPr>
            <w:tcW w:w="169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使用仪器</w:t>
            </w:r>
            <w:r>
              <w:rPr>
                <w:rFonts w:hint="default" w:ascii="Times New Roman" w:hAnsi="Times New Roman" w:eastAsia="宋体" w:cs="Times New Roman"/>
                <w:color w:val="auto"/>
                <w:sz w:val="21"/>
                <w:szCs w:val="21"/>
                <w:highlight w:val="none"/>
                <w:lang w:eastAsia="zh-CN"/>
              </w:rPr>
              <w:t>及管理编号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eastAsia="zh-CN"/>
              </w:rPr>
              <w:t>值的测定</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玻璃电极法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0.1（pH值）</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6920-86</w:t>
            </w:r>
          </w:p>
        </w:tc>
        <w:tc>
          <w:tcPr>
            <w:tcW w:w="169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pHBJ-260便携式pH计</w:t>
            </w:r>
            <w:r>
              <w:rPr>
                <w:rFonts w:hint="default" w:ascii="Times New Roman" w:hAnsi="Times New Roman" w:eastAsia="宋体" w:cs="Times New Roman"/>
                <w:color w:val="auto"/>
                <w:sz w:val="21"/>
                <w:szCs w:val="21"/>
                <w:highlight w:val="none"/>
                <w:lang w:val="en-US" w:eastAsia="zh-CN"/>
              </w:rPr>
              <w:t>LJHB-02-005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总碱度</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电位滴定法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28.0 </w:t>
            </w:r>
            <w:r>
              <w:rPr>
                <w:rFonts w:hint="default" w:ascii="Times New Roman" w:hAnsi="Times New Roman" w:eastAsia="宋体" w:cs="Times New Roman"/>
                <w:color w:val="auto"/>
                <w:sz w:val="21"/>
                <w:szCs w:val="21"/>
                <w:highlight w:val="none"/>
              </w:rPr>
              <w:t>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《水和废水</w:t>
            </w:r>
            <w:r>
              <w:rPr>
                <w:rFonts w:hint="default" w:ascii="Times New Roman" w:hAnsi="Times New Roman" w:eastAsia="宋体"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分析方法》第四版</w:t>
            </w:r>
            <w:r>
              <w:rPr>
                <w:rFonts w:hint="default" w:ascii="Times New Roman" w:hAnsi="Times New Roman" w:eastAsia="宋体" w:cs="Times New Roman"/>
                <w:color w:val="auto"/>
                <w:sz w:val="21"/>
                <w:szCs w:val="21"/>
                <w:highlight w:val="none"/>
                <w:lang w:val="en-US" w:eastAsia="zh-CN"/>
              </w:rPr>
              <w:t xml:space="preserve"> 国家环境保护总局（2002年）</w:t>
            </w:r>
          </w:p>
        </w:tc>
        <w:tc>
          <w:tcPr>
            <w:tcW w:w="169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25mL</w:t>
            </w:r>
            <w:r>
              <w:rPr>
                <w:rFonts w:hint="default" w:ascii="Times New Roman" w:hAnsi="Times New Roman" w:eastAsia="宋体" w:cs="Times New Roman"/>
                <w:color w:val="auto"/>
                <w:sz w:val="21"/>
                <w:szCs w:val="21"/>
                <w:highlight w:val="none"/>
              </w:rPr>
              <w:t>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溶解性总固体</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《生活饮用水标准检验方法</w:t>
            </w:r>
            <w:r>
              <w:rPr>
                <w:rFonts w:hint="default" w:ascii="Times New Roman" w:hAnsi="Times New Roman" w:eastAsia="宋体" w:cs="Times New Roman"/>
                <w:color w:val="auto"/>
                <w:sz w:val="21"/>
                <w:szCs w:val="21"/>
                <w:highlight w:val="none"/>
                <w:lang w:val="en-US" w:eastAsia="zh-CN"/>
              </w:rPr>
              <w:t xml:space="preserve"> 感官性状和物理指标</w:t>
            </w:r>
            <w:r>
              <w:rPr>
                <w:rFonts w:hint="default" w:ascii="Times New Roman" w:hAnsi="Times New Roman" w:eastAsia="宋体" w:cs="Times New Roman"/>
                <w:color w:val="auto"/>
                <w:sz w:val="21"/>
                <w:szCs w:val="21"/>
                <w:highlight w:val="none"/>
                <w:lang w:eastAsia="zh-CN"/>
              </w:rPr>
              <w:t>》</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10.0 </w:t>
            </w:r>
            <w:r>
              <w:rPr>
                <w:rFonts w:hint="default" w:ascii="Times New Roman" w:hAnsi="Times New Roman" w:eastAsia="宋体" w:cs="Times New Roman"/>
                <w:color w:val="auto"/>
                <w:sz w:val="21"/>
                <w:szCs w:val="21"/>
                <w:highlight w:val="none"/>
              </w:rPr>
              <w:t>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GB/T5750.4-2006</w:t>
            </w:r>
          </w:p>
        </w:tc>
        <w:tc>
          <w:tcPr>
            <w:tcW w:w="169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FA</w:t>
            </w:r>
            <w:r>
              <w:rPr>
                <w:rFonts w:hint="default" w:ascii="Times New Roman" w:hAnsi="Times New Roman" w:eastAsia="宋体" w:cs="Times New Roman"/>
                <w:color w:val="auto"/>
                <w:sz w:val="21"/>
                <w:szCs w:val="21"/>
                <w:highlight w:val="none"/>
                <w:lang w:val="en-US" w:eastAsia="zh-CN"/>
              </w:rPr>
              <w:t>2204B</w:t>
            </w:r>
            <w:r>
              <w:rPr>
                <w:rFonts w:hint="default" w:ascii="Times New Roman" w:hAnsi="Times New Roman" w:eastAsia="宋体" w:cs="Times New Roman"/>
                <w:color w:val="auto"/>
                <w:sz w:val="21"/>
                <w:szCs w:val="21"/>
                <w:highlight w:val="none"/>
              </w:rPr>
              <w:t>电子天平</w:t>
            </w:r>
          </w:p>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LJHB-05-001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氯化物</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氯化物的测定 </w:t>
            </w:r>
            <w:r>
              <w:rPr>
                <w:rFonts w:hint="default" w:ascii="Times New Roman" w:hAnsi="Times New Roman" w:eastAsia="宋体" w:cs="Times New Roman"/>
                <w:color w:val="auto"/>
                <w:sz w:val="21"/>
                <w:szCs w:val="21"/>
                <w:highlight w:val="none"/>
              </w:rPr>
              <w:t>硝酸银滴定法</w:t>
            </w:r>
            <w:r>
              <w:rPr>
                <w:rFonts w:hint="default" w:ascii="Times New Roman" w:hAnsi="Times New Roman" w:eastAsia="宋体" w:cs="Times New Roman"/>
                <w:color w:val="auto"/>
                <w:sz w:val="21"/>
                <w:szCs w:val="21"/>
                <w:highlight w:val="none"/>
                <w:lang w:eastAsia="zh-CN"/>
              </w:rPr>
              <w:t>（试行）</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10.0 </w:t>
            </w:r>
            <w:r>
              <w:rPr>
                <w:rFonts w:hint="default" w:ascii="Times New Roman" w:hAnsi="Times New Roman" w:eastAsia="宋体" w:cs="Times New Roman"/>
                <w:color w:val="auto"/>
                <w:sz w:val="21"/>
                <w:szCs w:val="21"/>
                <w:highlight w:val="none"/>
              </w:rPr>
              <w:t>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GB11896-89</w:t>
            </w:r>
          </w:p>
        </w:tc>
        <w:tc>
          <w:tcPr>
            <w:tcW w:w="169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25mL</w:t>
            </w:r>
            <w:r>
              <w:rPr>
                <w:rFonts w:hint="default" w:ascii="Times New Roman" w:hAnsi="Times New Roman" w:eastAsia="宋体" w:cs="Times New Roman"/>
                <w:color w:val="auto"/>
                <w:sz w:val="21"/>
                <w:szCs w:val="21"/>
                <w:highlight w:val="none"/>
              </w:rPr>
              <w:t>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氟化物</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氟化物的测定 </w:t>
            </w:r>
            <w:r>
              <w:rPr>
                <w:rFonts w:hint="default" w:ascii="Times New Roman" w:hAnsi="Times New Roman" w:eastAsia="宋体" w:cs="Times New Roman"/>
                <w:color w:val="auto"/>
                <w:sz w:val="21"/>
                <w:szCs w:val="21"/>
                <w:highlight w:val="none"/>
              </w:rPr>
              <w:t>离子选择电极法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0.05</w:t>
            </w:r>
            <w:r>
              <w:rPr>
                <w:rFonts w:hint="default" w:ascii="Times New Roman" w:hAnsi="Times New Roman" w:eastAsia="宋体" w:cs="Times New Roman"/>
                <w:color w:val="auto"/>
                <w:sz w:val="21"/>
                <w:szCs w:val="21"/>
                <w:highlight w:val="none"/>
              </w:rPr>
              <w:t>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7484-87</w:t>
            </w:r>
          </w:p>
        </w:tc>
        <w:tc>
          <w:tcPr>
            <w:tcW w:w="169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pHSJ-4A型</w:t>
            </w:r>
          </w:p>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实验用pH计</w:t>
            </w:r>
            <w:r>
              <w:rPr>
                <w:rFonts w:hint="default" w:ascii="Times New Roman" w:hAnsi="Times New Roman" w:eastAsia="宋体" w:cs="Times New Roman"/>
                <w:color w:val="auto"/>
                <w:sz w:val="21"/>
                <w:szCs w:val="21"/>
                <w:highlight w:val="none"/>
                <w:lang w:val="en-US" w:eastAsia="zh-CN"/>
              </w:rPr>
              <w:t>LJHB-02-001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硫酸盐</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硫酸盐的测定 </w:t>
            </w:r>
            <w:r>
              <w:rPr>
                <w:rFonts w:hint="default" w:ascii="Times New Roman" w:hAnsi="Times New Roman" w:eastAsia="宋体" w:cs="Times New Roman"/>
                <w:color w:val="auto"/>
                <w:sz w:val="21"/>
                <w:szCs w:val="21"/>
                <w:highlight w:val="none"/>
              </w:rPr>
              <w:t>铬酸钡分光光度法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 xml:space="preserve">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HJ/T342-2007</w:t>
            </w:r>
          </w:p>
        </w:tc>
        <w:tc>
          <w:tcPr>
            <w:tcW w:w="1692" w:type="dxa"/>
            <w:vMerge w:val="restart"/>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T6新世纪</w:t>
            </w:r>
          </w:p>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紫外可见分光光度计</w:t>
            </w:r>
          </w:p>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LJHB-01-002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硝酸盐氮</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硝酸盐氮的测定 </w:t>
            </w:r>
            <w:r>
              <w:rPr>
                <w:rFonts w:hint="default" w:ascii="Times New Roman" w:hAnsi="Times New Roman" w:eastAsia="宋体" w:cs="Times New Roman"/>
                <w:color w:val="auto"/>
                <w:sz w:val="21"/>
                <w:szCs w:val="21"/>
                <w:highlight w:val="none"/>
              </w:rPr>
              <w:t>酚二磺酸分光光度法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GB7480-87</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亚硝酸盐氮</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亚硝酸盐氮的测定分光光度法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 xml:space="preserve">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GB7493-1987</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硫化物</w:t>
            </w:r>
          </w:p>
        </w:tc>
        <w:tc>
          <w:tcPr>
            <w:tcW w:w="2060"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硫化物的测定 </w:t>
            </w:r>
            <w:r>
              <w:rPr>
                <w:rFonts w:hint="default" w:ascii="Times New Roman" w:hAnsi="Times New Roman" w:eastAsia="宋体" w:cs="Times New Roman"/>
                <w:color w:val="auto"/>
                <w:sz w:val="21"/>
                <w:szCs w:val="21"/>
                <w:highlight w:val="none"/>
                <w:lang w:eastAsia="zh-CN"/>
              </w:rPr>
              <w:t>亚甲基蓝分光光度法</w:t>
            </w:r>
          </w:p>
        </w:tc>
        <w:tc>
          <w:tcPr>
            <w:tcW w:w="1294"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0.005</w:t>
            </w:r>
            <w:r>
              <w:rPr>
                <w:rFonts w:hint="default" w:ascii="Times New Roman" w:hAnsi="Times New Roman" w:eastAsia="宋体" w:cs="Times New Roman"/>
                <w:color w:val="auto"/>
                <w:sz w:val="21"/>
                <w:szCs w:val="21"/>
                <w:highlight w:val="none"/>
              </w:rPr>
              <w:t xml:space="preserve"> mg/L</w:t>
            </w:r>
          </w:p>
        </w:tc>
        <w:tc>
          <w:tcPr>
            <w:tcW w:w="1772"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GB/T 16489-1996</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阴离子表面活性剂</w:t>
            </w:r>
          </w:p>
        </w:tc>
        <w:tc>
          <w:tcPr>
            <w:tcW w:w="206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阴离子表面活性剂的测定 </w:t>
            </w:r>
            <w:r>
              <w:rPr>
                <w:rFonts w:hint="default" w:ascii="Times New Roman" w:hAnsi="Times New Roman" w:eastAsia="宋体" w:cs="Times New Roman"/>
                <w:color w:val="auto"/>
                <w:sz w:val="21"/>
                <w:szCs w:val="21"/>
                <w:highlight w:val="none"/>
                <w:lang w:eastAsia="zh-CN"/>
              </w:rPr>
              <w:t>亚甲蓝分光光度法</w:t>
            </w:r>
          </w:p>
        </w:tc>
        <w:tc>
          <w:tcPr>
            <w:tcW w:w="129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 mg/L</w:t>
            </w:r>
          </w:p>
        </w:tc>
        <w:tc>
          <w:tcPr>
            <w:tcW w:w="177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GB7494-1987</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206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氨氮的测定 </w:t>
            </w:r>
            <w:r>
              <w:rPr>
                <w:rFonts w:hint="default" w:ascii="Times New Roman" w:hAnsi="Times New Roman" w:eastAsia="宋体" w:cs="Times New Roman"/>
                <w:color w:val="auto"/>
                <w:sz w:val="21"/>
                <w:szCs w:val="21"/>
                <w:highlight w:val="none"/>
              </w:rPr>
              <w:t>纳氏试剂分光光度法</w:t>
            </w:r>
          </w:p>
        </w:tc>
        <w:tc>
          <w:tcPr>
            <w:tcW w:w="129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0.025 mg/L</w:t>
            </w:r>
          </w:p>
        </w:tc>
        <w:tc>
          <w:tcPr>
            <w:tcW w:w="177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HJ535-2009</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挥发酚</w:t>
            </w:r>
          </w:p>
        </w:tc>
        <w:tc>
          <w:tcPr>
            <w:tcW w:w="2060"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挥发酚的测定 </w:t>
            </w:r>
            <w:r>
              <w:rPr>
                <w:rFonts w:hint="default" w:ascii="Times New Roman" w:hAnsi="Times New Roman" w:eastAsia="宋体" w:cs="Times New Roman"/>
                <w:color w:val="auto"/>
                <w:sz w:val="21"/>
                <w:szCs w:val="21"/>
                <w:highlight w:val="none"/>
              </w:rPr>
              <w:t>4－氨基安替比林</w:t>
            </w:r>
            <w:r>
              <w:rPr>
                <w:rFonts w:hint="default" w:ascii="Times New Roman" w:hAnsi="Times New Roman" w:eastAsia="宋体" w:cs="Times New Roman"/>
                <w:color w:val="auto"/>
                <w:sz w:val="21"/>
                <w:szCs w:val="21"/>
                <w:highlight w:val="none"/>
                <w:lang w:eastAsia="zh-CN"/>
              </w:rPr>
              <w:t>分光</w:t>
            </w:r>
            <w:r>
              <w:rPr>
                <w:rFonts w:hint="default" w:ascii="Times New Roman" w:hAnsi="Times New Roman" w:eastAsia="宋体" w:cs="Times New Roman"/>
                <w:color w:val="auto"/>
                <w:sz w:val="21"/>
                <w:szCs w:val="21"/>
                <w:highlight w:val="none"/>
              </w:rPr>
              <w:t>光度法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0.0003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HJ503-2009</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氰化物</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氰化物的测定 容量法和分光光度法（方法2）</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0.004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HJ484-2009</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铜</w:t>
            </w:r>
          </w:p>
        </w:tc>
        <w:tc>
          <w:tcPr>
            <w:tcW w:w="2060" w:type="dxa"/>
            <w:vMerge w:val="restart"/>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32种元素的测定 电感耦合等离子体发射光谱法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restart"/>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ICP-5000电感耦合等离子体发射光谱计</w:t>
            </w:r>
          </w:p>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LJHB-01-006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锌</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09</w:t>
            </w:r>
            <w:r>
              <w:rPr>
                <w:rFonts w:hint="default" w:ascii="Times New Roman" w:hAnsi="Times New Roman" w:eastAsia="宋体" w:cs="Times New Roman"/>
                <w:color w:val="auto"/>
                <w:sz w:val="21"/>
                <w:szCs w:val="21"/>
                <w:highlight w:val="none"/>
              </w:rPr>
              <w:t xml:space="preserve">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铁</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 xml:space="preserve">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锰</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铝</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0.009 </w:t>
            </w:r>
            <w:r>
              <w:rPr>
                <w:rFonts w:hint="default" w:ascii="Times New Roman" w:hAnsi="Times New Roman" w:eastAsia="宋体" w:cs="Times New Roman"/>
                <w:color w:val="auto"/>
                <w:sz w:val="21"/>
                <w:szCs w:val="21"/>
                <w:highlight w:val="none"/>
              </w:rPr>
              <w:t>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铬</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0.03 </w:t>
            </w:r>
            <w:r>
              <w:rPr>
                <w:rFonts w:hint="default" w:ascii="Times New Roman" w:hAnsi="Times New Roman" w:eastAsia="宋体" w:cs="Times New Roman"/>
                <w:color w:val="auto"/>
                <w:sz w:val="21"/>
                <w:szCs w:val="21"/>
                <w:highlight w:val="none"/>
              </w:rPr>
              <w:t>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镁</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 xml:space="preserve">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钙</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 xml:space="preserve"> 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钾</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0.07 </w:t>
            </w:r>
            <w:r>
              <w:rPr>
                <w:rFonts w:hint="default" w:ascii="Times New Roman" w:hAnsi="Times New Roman" w:eastAsia="宋体" w:cs="Times New Roman"/>
                <w:color w:val="auto"/>
                <w:sz w:val="21"/>
                <w:szCs w:val="21"/>
                <w:highlight w:val="none"/>
              </w:rPr>
              <w:t>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钠</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0.03 </w:t>
            </w:r>
            <w:r>
              <w:rPr>
                <w:rFonts w:hint="default" w:ascii="Times New Roman" w:hAnsi="Times New Roman" w:eastAsia="宋体" w:cs="Times New Roman"/>
                <w:color w:val="auto"/>
                <w:sz w:val="21"/>
                <w:szCs w:val="21"/>
                <w:highlight w:val="none"/>
              </w:rPr>
              <w:t>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HJ776-2015</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镉</w:t>
            </w:r>
          </w:p>
        </w:tc>
        <w:tc>
          <w:tcPr>
            <w:tcW w:w="2060" w:type="dxa"/>
            <w:vMerge w:val="restart"/>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石墨炉原子吸收法测定镉、铜和铅的测定（B）第三篇第四章七（四）</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0.0001mg/L</w:t>
            </w:r>
          </w:p>
        </w:tc>
        <w:tc>
          <w:tcPr>
            <w:tcW w:w="1772" w:type="dxa"/>
            <w:vMerge w:val="restart"/>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《水和废水监测分析方法》（第四版增补版）国家环境保护总局（2002年）</w:t>
            </w:r>
          </w:p>
        </w:tc>
        <w:tc>
          <w:tcPr>
            <w:tcW w:w="1692" w:type="dxa"/>
            <w:vMerge w:val="restart"/>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TAS-990原子吸收分光光度计LJHB-01-008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铅</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0.001mg/L</w:t>
            </w:r>
          </w:p>
        </w:tc>
        <w:tc>
          <w:tcPr>
            <w:tcW w:w="177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总硬度</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钙和镁总量的测定</w:t>
            </w:r>
            <w:r>
              <w:rPr>
                <w:rFonts w:hint="default" w:ascii="Times New Roman" w:hAnsi="Times New Roman" w:eastAsia="宋体" w:cs="Times New Roman"/>
                <w:color w:val="auto"/>
                <w:sz w:val="21"/>
                <w:szCs w:val="21"/>
                <w:highlight w:val="none"/>
              </w:rPr>
              <w:t>EDTA滴定法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g</w:t>
            </w:r>
            <w:r>
              <w:rPr>
                <w:rFonts w:hint="default" w:ascii="Times New Roman" w:hAnsi="Times New Roman" w:eastAsia="宋体" w:cs="Times New Roman"/>
                <w:color w:val="auto"/>
                <w:sz w:val="21"/>
                <w:szCs w:val="21"/>
                <w:highlight w:val="none"/>
              </w:rPr>
              <w:t>/L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GB7477-87</w:t>
            </w:r>
          </w:p>
        </w:tc>
        <w:tc>
          <w:tcPr>
            <w:tcW w:w="169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50mL</w:t>
            </w:r>
          </w:p>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汞</w:t>
            </w:r>
          </w:p>
        </w:tc>
        <w:tc>
          <w:tcPr>
            <w:tcW w:w="2060" w:type="dxa"/>
            <w:vMerge w:val="restart"/>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砷、汞、硒、铋、锑的测定 </w:t>
            </w:r>
            <w:r>
              <w:rPr>
                <w:rFonts w:hint="default" w:ascii="Times New Roman" w:hAnsi="Times New Roman" w:eastAsia="宋体" w:cs="Times New Roman"/>
                <w:color w:val="auto"/>
                <w:sz w:val="21"/>
                <w:szCs w:val="21"/>
                <w:highlight w:val="none"/>
                <w:lang w:eastAsia="zh-CN"/>
              </w:rPr>
              <w:t>原子荧光法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004</w:t>
            </w:r>
            <w:r>
              <w:rPr>
                <w:rFonts w:hint="default" w:ascii="Times New Roman" w:hAnsi="Times New Roman" w:eastAsia="宋体" w:cs="Times New Roman"/>
                <w:color w:val="auto"/>
                <w:sz w:val="21"/>
                <w:szCs w:val="21"/>
                <w:highlight w:val="none"/>
              </w:rPr>
              <w:t>mg/L</w:t>
            </w:r>
          </w:p>
        </w:tc>
        <w:tc>
          <w:tcPr>
            <w:tcW w:w="1772" w:type="dxa"/>
            <w:vMerge w:val="restart"/>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HJ</w:t>
            </w:r>
            <w:r>
              <w:rPr>
                <w:rFonts w:hint="default" w:ascii="Times New Roman" w:hAnsi="Times New Roman" w:eastAsia="宋体" w:cs="Times New Roman"/>
                <w:color w:val="auto"/>
                <w:sz w:val="21"/>
                <w:szCs w:val="21"/>
                <w:highlight w:val="none"/>
                <w:lang w:val="en-US" w:eastAsia="zh-CN"/>
              </w:rPr>
              <w:t>694-2014</w:t>
            </w:r>
          </w:p>
        </w:tc>
        <w:tc>
          <w:tcPr>
            <w:tcW w:w="1692" w:type="dxa"/>
            <w:vMerge w:val="restart"/>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AFS-1101</w:t>
            </w:r>
            <w:r>
              <w:rPr>
                <w:rFonts w:hint="default" w:ascii="Times New Roman" w:hAnsi="Times New Roman" w:eastAsia="宋体" w:cs="Times New Roman"/>
                <w:color w:val="auto"/>
                <w:sz w:val="21"/>
                <w:szCs w:val="21"/>
                <w:highlight w:val="none"/>
                <w:lang w:eastAsia="zh-CN"/>
              </w:rPr>
              <w:t>原子荧光光度计</w:t>
            </w:r>
          </w:p>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LJHB-01-004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mg/L</w:t>
            </w:r>
          </w:p>
        </w:tc>
        <w:tc>
          <w:tcPr>
            <w:tcW w:w="177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硒</w:t>
            </w:r>
          </w:p>
        </w:tc>
        <w:tc>
          <w:tcPr>
            <w:tcW w:w="2060"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04</w:t>
            </w:r>
            <w:r>
              <w:rPr>
                <w:rFonts w:hint="default" w:ascii="Times New Roman" w:hAnsi="Times New Roman" w:eastAsia="宋体" w:cs="Times New Roman"/>
                <w:color w:val="auto"/>
                <w:sz w:val="21"/>
                <w:szCs w:val="21"/>
                <w:highlight w:val="none"/>
              </w:rPr>
              <w:t>mg/L</w:t>
            </w:r>
          </w:p>
        </w:tc>
        <w:tc>
          <w:tcPr>
            <w:tcW w:w="177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高锰酸盐指数（耗氧量）</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高锰酸盐指数的测定</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0.5mg/L</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GB11892-89</w:t>
            </w:r>
          </w:p>
        </w:tc>
        <w:tc>
          <w:tcPr>
            <w:tcW w:w="169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25mL</w:t>
            </w:r>
          </w:p>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总大肠菌群</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多管发酵法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w:t>
            </w:r>
          </w:p>
        </w:tc>
        <w:tc>
          <w:tcPr>
            <w:tcW w:w="1772"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《水和废水监测分析方法》第四版国家环境保护总局（</w:t>
            </w:r>
            <w:r>
              <w:rPr>
                <w:rFonts w:hint="default" w:ascii="Times New Roman" w:hAnsi="Times New Roman" w:eastAsia="宋体" w:cs="Times New Roman"/>
                <w:color w:val="auto"/>
                <w:sz w:val="21"/>
                <w:szCs w:val="21"/>
                <w:highlight w:val="none"/>
                <w:lang w:val="en-US" w:eastAsia="zh-CN"/>
              </w:rPr>
              <w:t>2002年</w:t>
            </w:r>
            <w:r>
              <w:rPr>
                <w:rFonts w:hint="default" w:ascii="Times New Roman" w:hAnsi="Times New Roman" w:eastAsia="宋体" w:cs="Times New Roman"/>
                <w:color w:val="auto"/>
                <w:sz w:val="21"/>
                <w:szCs w:val="21"/>
                <w:highlight w:val="none"/>
                <w:lang w:eastAsia="zh-CN"/>
              </w:rPr>
              <w:t>）</w:t>
            </w:r>
          </w:p>
        </w:tc>
        <w:tc>
          <w:tcPr>
            <w:tcW w:w="1692"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HWS-70B恒温恒湿培养箱</w:t>
            </w:r>
          </w:p>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LJHB-03-004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菌落总数</w:t>
            </w:r>
          </w:p>
        </w:tc>
        <w:tc>
          <w:tcPr>
            <w:tcW w:w="2060"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菌落总数的测定 平皿计数法</w:t>
            </w:r>
          </w:p>
        </w:tc>
        <w:tc>
          <w:tcPr>
            <w:tcW w:w="1294"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772" w:type="dxa"/>
            <w:noWrap w:val="0"/>
            <w:vAlign w:val="center"/>
          </w:tcPr>
          <w:p>
            <w:pPr>
              <w:keepNext w:val="0"/>
              <w:keepLines w:val="0"/>
              <w:pageBreakBefore w:val="0"/>
              <w:widowControl w:val="0"/>
              <w:shd w:val="clear"/>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HJ1000-2018</w:t>
            </w:r>
          </w:p>
        </w:tc>
        <w:tc>
          <w:tcPr>
            <w:tcW w:w="1692"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r>
    </w:tbl>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监测结果</w:t>
      </w:r>
    </w:p>
    <w:p>
      <w:pPr>
        <w:shd w:val="clear"/>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地下水环境质量现状监测结果 单位：mg/l</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pH除外</w:t>
      </w:r>
      <w:r>
        <w:rPr>
          <w:rFonts w:hint="default" w:ascii="Times New Roman" w:hAnsi="Times New Roman" w:eastAsia="宋体" w:cs="Times New Roman"/>
          <w:b/>
          <w:color w:val="auto"/>
          <w:sz w:val="24"/>
          <w:highlight w:val="none"/>
          <w:lang w:eastAsia="zh-CN"/>
        </w:rPr>
        <w:t>）</w:t>
      </w:r>
    </w:p>
    <w:tbl>
      <w:tblPr>
        <w:tblStyle w:val="90"/>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704"/>
        <w:gridCol w:w="1467"/>
        <w:gridCol w:w="1646"/>
        <w:gridCol w:w="1402"/>
        <w:gridCol w:w="20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vMerge w:val="restart"/>
            <w:tcBorders>
              <w:top w:val="single" w:color="auto" w:sz="4" w:space="0"/>
              <w:left w:val="single" w:color="auto" w:sz="4" w:space="0"/>
              <w:bottom w:val="single" w:color="auto" w:sz="4" w:space="0"/>
              <w:tl2br w:val="single" w:color="auto" w:sz="4" w:space="0"/>
            </w:tcBorders>
            <w:vAlign w:val="center"/>
          </w:tcPr>
          <w:p>
            <w:pPr>
              <w:widowControl/>
              <w:shd w:val="clear"/>
              <w:snapToGrid w:val="0"/>
              <w:spacing w:line="240" w:lineRule="auto"/>
              <w:jc w:val="center"/>
              <w:textAlignment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 xml:space="preserve">       </w:t>
            </w:r>
            <w:r>
              <w:rPr>
                <w:rFonts w:hint="default" w:ascii="Times New Roman" w:hAnsi="Times New Roman" w:eastAsia="宋体" w:cs="Times New Roman"/>
                <w:bCs/>
                <w:color w:val="auto"/>
                <w:kern w:val="0"/>
                <w:sz w:val="21"/>
                <w:szCs w:val="21"/>
                <w:highlight w:val="none"/>
              </w:rPr>
              <w:t>采样点位</w:t>
            </w:r>
          </w:p>
          <w:p>
            <w:pPr>
              <w:shd w:val="clear"/>
              <w:snapToGrid w:val="0"/>
              <w:spacing w:line="240" w:lineRule="auto"/>
              <w:jc w:val="both"/>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0"/>
                <w:sz w:val="21"/>
                <w:szCs w:val="21"/>
                <w:highlight w:val="none"/>
              </w:rPr>
              <w:t>分析项目</w:t>
            </w:r>
          </w:p>
        </w:tc>
        <w:tc>
          <w:tcPr>
            <w:tcW w:w="4515" w:type="dxa"/>
            <w:gridSpan w:val="3"/>
            <w:tcBorders>
              <w:top w:val="single" w:color="auto" w:sz="4" w:space="0"/>
              <w:bottom w:val="single" w:color="auto" w:sz="4" w:space="0"/>
              <w:right w:val="single" w:color="auto" w:sz="4" w:space="0"/>
              <w:tl2br w:val="nil"/>
              <w:tr2bl w:val="nil"/>
            </w:tcBorders>
            <w:vAlign w:val="center"/>
          </w:tcPr>
          <w:p>
            <w:pPr>
              <w:widowControl/>
              <w:shd w:val="clear"/>
              <w:snapToGrid w:val="0"/>
              <w:spacing w:line="240" w:lineRule="auto"/>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监测结果</w:t>
            </w:r>
          </w:p>
        </w:tc>
        <w:tc>
          <w:tcPr>
            <w:tcW w:w="2058" w:type="dxa"/>
            <w:vMerge w:val="restart"/>
            <w:tcBorders>
              <w:top w:val="single" w:color="auto" w:sz="4" w:space="0"/>
              <w:right w:val="single" w:color="auto" w:sz="4" w:space="0"/>
              <w:tl2br w:val="nil"/>
              <w:tr2bl w:val="nil"/>
            </w:tcBorders>
            <w:vAlign w:val="center"/>
          </w:tcPr>
          <w:p>
            <w:pPr>
              <w:widowControl/>
              <w:shd w:val="clear"/>
              <w:snapToGrid w:val="0"/>
              <w:spacing w:line="240" w:lineRule="auto"/>
              <w:jc w:val="center"/>
              <w:textAlignment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《地下水质量标准》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GB/T14848-2017</w:t>
            </w:r>
            <w:r>
              <w:rPr>
                <w:rFonts w:hint="default" w:ascii="Times New Roman" w:hAnsi="Times New Roman" w:eastAsia="宋体" w:cs="Times New Roman"/>
                <w:bCs/>
                <w:color w:val="auto"/>
                <w:sz w:val="21"/>
                <w:szCs w:val="21"/>
                <w:highlight w:val="none"/>
                <w:lang w:eastAsia="zh-CN"/>
              </w:rPr>
              <w:t>）</w:t>
            </w:r>
          </w:p>
          <w:p>
            <w:pPr>
              <w:widowControl/>
              <w:shd w:val="clear"/>
              <w:snapToGrid w:val="0"/>
              <w:spacing w:line="240" w:lineRule="auto"/>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vMerge w:val="continue"/>
            <w:tcBorders>
              <w:top w:val="single" w:color="auto" w:sz="4" w:space="0"/>
              <w:left w:val="single" w:color="auto" w:sz="4" w:space="0"/>
              <w:bottom w:val="single" w:color="auto" w:sz="4" w:space="0"/>
              <w:tl2br w:val="nil"/>
              <w:tr2bl w:val="nil"/>
            </w:tcBorders>
            <w:vAlign w:val="center"/>
          </w:tcPr>
          <w:p>
            <w:pPr>
              <w:shd w:val="clear"/>
              <w:snapToGrid w:val="0"/>
              <w:spacing w:line="240" w:lineRule="auto"/>
              <w:jc w:val="center"/>
              <w:textAlignment w:val="center"/>
              <w:rPr>
                <w:rFonts w:hint="default" w:ascii="Times New Roman" w:hAnsi="Times New Roman" w:eastAsia="宋体" w:cs="Times New Roman"/>
                <w:bCs/>
                <w:color w:val="auto"/>
                <w:kern w:val="0"/>
                <w:sz w:val="21"/>
                <w:szCs w:val="21"/>
                <w:highlight w:val="none"/>
              </w:rPr>
            </w:pPr>
          </w:p>
        </w:tc>
        <w:tc>
          <w:tcPr>
            <w:tcW w:w="1467" w:type="dxa"/>
            <w:tcBorders>
              <w:top w:val="single" w:color="auto" w:sz="4" w:space="0"/>
              <w:bottom w:val="single" w:color="auto" w:sz="4" w:space="0"/>
              <w:tl2br w:val="nil"/>
              <w:tr2bl w:val="nil"/>
            </w:tcBorders>
            <w:vAlign w:val="center"/>
          </w:tcPr>
          <w:p>
            <w:pPr>
              <w:widowControl/>
              <w:shd w:val="clear"/>
              <w:snapToGrid w:val="0"/>
              <w:spacing w:line="240" w:lineRule="auto"/>
              <w:jc w:val="center"/>
              <w:textAlignment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w:t>
            </w:r>
            <w:r>
              <w:rPr>
                <w:rFonts w:hint="default" w:ascii="Times New Roman" w:hAnsi="Times New Roman" w:eastAsia="宋体" w:cs="Times New Roman"/>
                <w:i w:val="0"/>
                <w:color w:val="auto"/>
                <w:kern w:val="0"/>
                <w:sz w:val="21"/>
                <w:szCs w:val="21"/>
                <w:u w:val="none"/>
                <w:lang w:val="en-US" w:eastAsia="zh-CN" w:bidi="ar"/>
              </w:rPr>
              <w:t>原村民饮用井</w:t>
            </w:r>
          </w:p>
        </w:tc>
        <w:tc>
          <w:tcPr>
            <w:tcW w:w="1646" w:type="dxa"/>
            <w:tcBorders>
              <w:top w:val="single" w:color="auto" w:sz="4" w:space="0"/>
              <w:bottom w:val="single" w:color="auto" w:sz="4" w:space="0"/>
              <w:tl2br w:val="nil"/>
              <w:tr2bl w:val="nil"/>
            </w:tcBorders>
            <w:vAlign w:val="center"/>
          </w:tcPr>
          <w:p>
            <w:pPr>
              <w:widowControl/>
              <w:shd w:val="clear"/>
              <w:snapToGrid w:val="0"/>
              <w:spacing w:line="240" w:lineRule="auto"/>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2</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i w:val="0"/>
                <w:color w:val="auto"/>
                <w:kern w:val="0"/>
                <w:sz w:val="21"/>
                <w:szCs w:val="21"/>
                <w:u w:val="none"/>
                <w:lang w:val="en-US" w:eastAsia="zh-CN" w:bidi="ar"/>
              </w:rPr>
              <w:t>茂盛超市水井</w:t>
            </w:r>
          </w:p>
        </w:tc>
        <w:tc>
          <w:tcPr>
            <w:tcW w:w="1402" w:type="dxa"/>
            <w:tcBorders>
              <w:top w:val="single" w:color="auto" w:sz="4" w:space="0"/>
              <w:bottom w:val="single" w:color="auto" w:sz="4" w:space="0"/>
              <w:tl2br w:val="nil"/>
              <w:tr2bl w:val="nil"/>
            </w:tcBorders>
            <w:vAlign w:val="center"/>
          </w:tcPr>
          <w:p>
            <w:pPr>
              <w:widowControl/>
              <w:shd w:val="clear"/>
              <w:snapToGrid w:val="0"/>
              <w:spacing w:line="240" w:lineRule="auto"/>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i w:val="0"/>
                <w:color w:val="auto"/>
                <w:kern w:val="0"/>
                <w:sz w:val="21"/>
                <w:szCs w:val="21"/>
                <w:u w:val="none"/>
                <w:lang w:val="en-US" w:eastAsia="zh-CN" w:bidi="ar"/>
              </w:rPr>
              <w:t>吕裴亮家水井</w:t>
            </w:r>
          </w:p>
        </w:tc>
        <w:tc>
          <w:tcPr>
            <w:tcW w:w="2058" w:type="dxa"/>
            <w:vMerge w:val="continue"/>
            <w:tcBorders>
              <w:right w:val="single" w:color="auto" w:sz="4" w:space="0"/>
              <w:tl2br w:val="nil"/>
              <w:tr2bl w:val="nil"/>
            </w:tcBorders>
            <w:vAlign w:val="center"/>
          </w:tcPr>
          <w:p>
            <w:pPr>
              <w:shd w:val="clear"/>
              <w:snapToGrid w:val="0"/>
              <w:spacing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pH</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7.95</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7.47</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7.42</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溶解性总固体</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764</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2.00×10</w:t>
            </w:r>
            <w:r>
              <w:rPr>
                <w:rFonts w:hint="default" w:ascii="Times New Roman" w:hAnsi="Times New Roman" w:eastAsia="宋体" w:cs="Times New Roman"/>
                <w:i w:val="0"/>
                <w:color w:val="auto"/>
                <w:kern w:val="0"/>
                <w:sz w:val="21"/>
                <w:szCs w:val="21"/>
                <w:u w:val="none"/>
                <w:vertAlign w:val="superscript"/>
                <w:lang w:val="en-US" w:eastAsia="zh-CN" w:bidi="ar"/>
              </w:rPr>
              <w:t>3</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1.23×10</w:t>
            </w:r>
            <w:r>
              <w:rPr>
                <w:rFonts w:hint="default" w:ascii="Times New Roman" w:hAnsi="Times New Roman" w:eastAsia="宋体" w:cs="Times New Roman"/>
                <w:i w:val="0"/>
                <w:color w:val="auto"/>
                <w:kern w:val="0"/>
                <w:sz w:val="21"/>
                <w:szCs w:val="21"/>
                <w:u w:val="none"/>
                <w:vertAlign w:val="superscript"/>
                <w:lang w:val="en-US" w:eastAsia="zh-CN" w:bidi="ar"/>
              </w:rPr>
              <w:t>3</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高锰酸盐指数(耗氧量）</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0.84</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3.62</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4.50</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阴离子表面活性剂</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0.05L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0.05L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0.05L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总硬度</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275</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709</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484</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总碱度</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237</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829</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634</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氯化物</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83</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315</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111</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氟化物</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0.73</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1.99</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1.72</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硫化物</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0.005L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0.005L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0.005L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硫酸盐</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84.3</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312</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177</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氨氮</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0.025L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0.065</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0.201</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硝酸盐氮</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14.99</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26.49</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3.20</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亚硝酸盐氮</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0.003L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0.113</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0.261</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氰化物</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0.004L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0.004L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0.004L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挥发酚</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0.0003L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0.0003L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0.0003L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砷</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0.0017</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0.0019</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0.0023</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汞</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0.00004L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0.00004L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0.00004L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硒</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0.0004L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0.0004L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0.0005</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铅</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0.006</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0.024</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0.009</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铬</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0.03L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0.03L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0.03L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铜</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0.04L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0.04L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0.04L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锌</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0.009L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0.009L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0.009L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铁</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锰</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0.02</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镉</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0.0012</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0.0044</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0.0015</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铝</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0.009L</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0.009L</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0.009L</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钾</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6.11</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56.34</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54.92</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钠</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82.7</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120</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70.8</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钙</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47.10</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46.67</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46.80</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镁</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28.29</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136.86</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80.82</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总大肠菌群(MPN/100mL）</w:t>
            </w:r>
          </w:p>
        </w:tc>
        <w:tc>
          <w:tcPr>
            <w:tcW w:w="1467"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&lt;2</w:t>
            </w:r>
          </w:p>
        </w:tc>
        <w:tc>
          <w:tcPr>
            <w:tcW w:w="1646"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&lt;2</w:t>
            </w:r>
          </w:p>
        </w:tc>
        <w:tc>
          <w:tcPr>
            <w:tcW w:w="1402" w:type="dxa"/>
            <w:tcBorders>
              <w:top w:val="single" w:color="auto" w:sz="4" w:space="0"/>
              <w:bottom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&lt;2</w:t>
            </w:r>
          </w:p>
        </w:tc>
        <w:tc>
          <w:tcPr>
            <w:tcW w:w="2058" w:type="dxa"/>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04" w:type="dxa"/>
            <w:tcBorders>
              <w:left w:val="single" w:color="auto" w:sz="4" w:space="0"/>
              <w:bottom w:val="single" w:color="auto" w:sz="4" w:space="0"/>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菌落总数(CFU/mL）</w:t>
            </w:r>
          </w:p>
        </w:tc>
        <w:tc>
          <w:tcPr>
            <w:tcW w:w="1467" w:type="dxa"/>
            <w:tcBorders>
              <w:bottom w:val="single" w:color="auto" w:sz="4" w:space="0"/>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646" w:type="dxa"/>
            <w:tcBorders>
              <w:bottom w:val="single" w:color="auto" w:sz="4" w:space="0"/>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1402" w:type="dxa"/>
            <w:tcBorders>
              <w:bottom w:val="single" w:color="auto" w:sz="4" w:space="0"/>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2058" w:type="dxa"/>
            <w:tcBorders>
              <w:bottom w:val="single" w:color="auto" w:sz="4" w:space="0"/>
              <w:right w:val="single" w:color="auto" w:sz="4" w:space="0"/>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≤100</w:t>
            </w:r>
          </w:p>
        </w:tc>
      </w:tr>
    </w:tbl>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4.3.2地下水环境质量现状评价</w:t>
      </w:r>
      <w:bookmarkEnd w:id="214"/>
      <w:bookmarkEnd w:id="215"/>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bookmarkStart w:id="216" w:name="_Toc243043573"/>
      <w:bookmarkStart w:id="217" w:name="_Toc327383110"/>
      <w:bookmarkStart w:id="218" w:name="_Toc248741094"/>
      <w:bookmarkStart w:id="219" w:name="_Toc464475394"/>
      <w:r>
        <w:rPr>
          <w:rFonts w:hint="default" w:ascii="Times New Roman" w:hAnsi="Times New Roman" w:eastAsia="宋体" w:cs="Times New Roman"/>
          <w:color w:val="auto"/>
          <w:kern w:val="0"/>
          <w:sz w:val="24"/>
          <w:highlight w:val="none"/>
        </w:rPr>
        <w:t>（1）评价标准</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本次评价采用《地下水质量标准》（GB/T14848-2017）Ⅲ类水质标准进行现状评价。</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（2）评价方法</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各监测项目采用单因子指数法进行评价。对于随浓度增大而污染程度增大的监测因子，其单因子指数计算公式为：</w:t>
      </w:r>
    </w:p>
    <w:p>
      <w:pPr>
        <w:shd w:val="clear"/>
        <w:autoSpaceDE w:val="0"/>
        <w:autoSpaceDN w:val="0"/>
        <w:spacing w:line="360" w:lineRule="auto"/>
        <w:ind w:firstLine="480" w:firstLineChars="20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w:t>
      </w:r>
      <w:r>
        <w:rPr>
          <w:rFonts w:hint="default" w:ascii="Times New Roman" w:hAnsi="Times New Roman" w:eastAsia="宋体" w:cs="Times New Roman"/>
          <w:color w:val="auto"/>
          <w:kern w:val="0"/>
          <w:sz w:val="24"/>
          <w:highlight w:val="none"/>
          <w:vertAlign w:val="subscript"/>
        </w:rPr>
        <w:t>i</w:t>
      </w:r>
      <w:r>
        <w:rPr>
          <w:rFonts w:hint="default" w:ascii="Times New Roman" w:hAnsi="Times New Roman" w:eastAsia="宋体" w:cs="Times New Roman"/>
          <w:color w:val="auto"/>
          <w:kern w:val="0"/>
          <w:sz w:val="24"/>
          <w:highlight w:val="none"/>
        </w:rPr>
        <w:t>=C</w:t>
      </w:r>
      <w:r>
        <w:rPr>
          <w:rFonts w:hint="default" w:ascii="Times New Roman" w:hAnsi="Times New Roman" w:eastAsia="宋体" w:cs="Times New Roman"/>
          <w:color w:val="auto"/>
          <w:kern w:val="0"/>
          <w:sz w:val="24"/>
          <w:highlight w:val="none"/>
          <w:vertAlign w:val="subscript"/>
        </w:rPr>
        <w:t>i</w:t>
      </w:r>
      <w:r>
        <w:rPr>
          <w:rFonts w:hint="default" w:ascii="Times New Roman" w:hAnsi="Times New Roman" w:eastAsia="宋体" w:cs="Times New Roman"/>
          <w:color w:val="auto"/>
          <w:kern w:val="0"/>
          <w:sz w:val="24"/>
          <w:highlight w:val="none"/>
        </w:rPr>
        <w:t>/S</w:t>
      </w:r>
      <w:r>
        <w:rPr>
          <w:rFonts w:hint="default" w:ascii="Times New Roman" w:hAnsi="Times New Roman" w:eastAsia="宋体" w:cs="Times New Roman"/>
          <w:color w:val="auto"/>
          <w:kern w:val="0"/>
          <w:sz w:val="24"/>
          <w:highlight w:val="none"/>
          <w:vertAlign w:val="subscript"/>
        </w:rPr>
        <w:t>i</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Pi—i污染物的单因子指数；</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Ci—i污染物的实测浓度，mg/L；</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Si—i污染物的评价标准，mg/L。</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对于浓度限于一定范围的评价因子，如pH，其标准指数按下式计算：</w:t>
      </w:r>
    </w:p>
    <w:p>
      <w:pPr>
        <w:shd w:val="clear"/>
        <w:autoSpaceDE w:val="0"/>
        <w:autoSpaceDN w:val="0"/>
        <w:spacing w:line="360" w:lineRule="auto"/>
        <w:ind w:firstLine="480" w:firstLineChars="200"/>
        <w:jc w:val="center"/>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drawing>
          <wp:inline distT="0" distB="0" distL="0" distR="0">
            <wp:extent cx="1187450" cy="47752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87450" cy="477520"/>
                    </a:xfrm>
                    <a:prstGeom prst="rect">
                      <a:avLst/>
                    </a:prstGeom>
                    <a:noFill/>
                    <a:ln>
                      <a:noFill/>
                    </a:ln>
                  </pic:spPr>
                </pic:pic>
              </a:graphicData>
            </a:graphic>
          </wp:inline>
        </w:drawing>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pHCi≤7.0</w:t>
      </w:r>
      <w:r>
        <w:rPr>
          <w:rFonts w:hint="default" w:ascii="Times New Roman" w:hAnsi="Times New Roman" w:eastAsia="宋体" w:cs="Times New Roman"/>
          <w:color w:val="auto"/>
          <w:kern w:val="0"/>
          <w:sz w:val="24"/>
          <w:highlight w:val="none"/>
          <w:lang w:eastAsia="zh-CN"/>
        </w:rPr>
        <w:t>）</w:t>
      </w:r>
    </w:p>
    <w:p>
      <w:pPr>
        <w:shd w:val="clear"/>
        <w:autoSpaceDE w:val="0"/>
        <w:autoSpaceDN w:val="0"/>
        <w:spacing w:line="360" w:lineRule="auto"/>
        <w:ind w:firstLine="480" w:firstLineChars="200"/>
        <w:jc w:val="center"/>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drawing>
          <wp:inline distT="0" distB="0" distL="0" distR="0">
            <wp:extent cx="1132840" cy="464185"/>
            <wp:effectExtent l="0" t="0" r="1016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32840" cy="464185"/>
                    </a:xfrm>
                    <a:prstGeom prst="rect">
                      <a:avLst/>
                    </a:prstGeom>
                    <a:noFill/>
                    <a:ln>
                      <a:noFill/>
                    </a:ln>
                  </pic:spPr>
                </pic:pic>
              </a:graphicData>
            </a:graphic>
          </wp:inline>
        </w:drawing>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pHCi＞7.0</w:t>
      </w:r>
      <w:r>
        <w:rPr>
          <w:rFonts w:hint="default" w:ascii="Times New Roman" w:hAnsi="Times New Roman" w:eastAsia="宋体" w:cs="Times New Roman"/>
          <w:color w:val="auto"/>
          <w:kern w:val="0"/>
          <w:sz w:val="24"/>
          <w:highlight w:val="none"/>
          <w:lang w:eastAsia="zh-CN"/>
        </w:rPr>
        <w:t>）</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pH—pH的标准指数；</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pHci—pH的现状监测结果；</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pHsd—pH采用标准的下限值；</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pHsu—pH采用标准的上限值。</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当Pi≤1时，符合标准；当Pi&gt;1时，说明该水质因子已超过了规定的水质标准，将会对人体健康产生危害。</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（3）评价结果</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地下水质指标统计结果见下表。</w:t>
      </w:r>
    </w:p>
    <w:p>
      <w:pPr>
        <w:shd w:val="clear"/>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地下水质指标数据统计</w:t>
      </w:r>
      <w:r>
        <w:rPr>
          <w:rFonts w:hint="default" w:ascii="Times New Roman" w:hAnsi="Times New Roman" w:eastAsia="宋体" w:cs="Times New Roman"/>
          <w:b/>
          <w:color w:val="auto"/>
          <w:sz w:val="24"/>
          <w:highlight w:val="none"/>
          <w:lang w:eastAsia="zh-CN"/>
        </w:rPr>
        <w:t>表</w:t>
      </w:r>
    </w:p>
    <w:tbl>
      <w:tblPr>
        <w:tblStyle w:val="90"/>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2265"/>
        <w:gridCol w:w="1952"/>
        <w:gridCol w:w="2191"/>
        <w:gridCol w:w="1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vMerge w:val="restart"/>
            <w:tcBorders>
              <w:top w:val="single" w:color="auto" w:sz="4" w:space="0"/>
              <w:left w:val="single" w:color="auto" w:sz="4" w:space="0"/>
              <w:bottom w:val="single" w:color="auto" w:sz="4" w:space="0"/>
              <w:tl2br w:val="single" w:color="auto" w:sz="4" w:space="0"/>
            </w:tcBorders>
            <w:vAlign w:val="center"/>
          </w:tcPr>
          <w:p>
            <w:pPr>
              <w:widowControl/>
              <w:shd w:val="clear"/>
              <w:snapToGrid w:val="0"/>
              <w:spacing w:line="240" w:lineRule="auto"/>
              <w:jc w:val="center"/>
              <w:textAlignment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 xml:space="preserve">       采样点位</w:t>
            </w:r>
          </w:p>
          <w:p>
            <w:pPr>
              <w:shd w:val="clear"/>
              <w:snapToGrid w:val="0"/>
              <w:spacing w:line="240" w:lineRule="auto"/>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0"/>
                <w:sz w:val="21"/>
                <w:szCs w:val="21"/>
                <w:highlight w:val="none"/>
              </w:rPr>
              <w:t>分析项目</w:t>
            </w:r>
          </w:p>
        </w:tc>
        <w:tc>
          <w:tcPr>
            <w:tcW w:w="3631" w:type="pct"/>
            <w:gridSpan w:val="3"/>
            <w:tcBorders>
              <w:top w:val="single" w:color="auto" w:sz="4" w:space="0"/>
              <w:bottom w:val="single" w:color="auto" w:sz="4" w:space="0"/>
              <w:right w:val="single" w:color="auto" w:sz="4" w:space="0"/>
              <w:tl2br w:val="nil"/>
              <w:tr2bl w:val="nil"/>
            </w:tcBorders>
            <w:vAlign w:val="center"/>
          </w:tcPr>
          <w:p>
            <w:pPr>
              <w:widowControl/>
              <w:shd w:val="clear"/>
              <w:snapToGrid w:val="0"/>
              <w:spacing w:line="240" w:lineRule="auto"/>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vMerge w:val="continue"/>
            <w:tcBorders>
              <w:top w:val="single" w:color="auto" w:sz="4" w:space="0"/>
              <w:left w:val="single" w:color="auto" w:sz="4" w:space="0"/>
              <w:bottom w:val="single" w:color="auto" w:sz="4" w:space="0"/>
              <w:tl2br w:val="nil"/>
              <w:tr2bl w:val="nil"/>
            </w:tcBorders>
            <w:vAlign w:val="center"/>
          </w:tcPr>
          <w:p>
            <w:pPr>
              <w:shd w:val="clear"/>
              <w:snapToGrid w:val="0"/>
              <w:spacing w:line="240" w:lineRule="auto"/>
              <w:jc w:val="center"/>
              <w:textAlignment w:val="center"/>
              <w:rPr>
                <w:rFonts w:hint="default" w:ascii="Times New Roman" w:hAnsi="Times New Roman" w:eastAsia="宋体" w:cs="Times New Roman"/>
                <w:bCs/>
                <w:color w:val="auto"/>
                <w:kern w:val="0"/>
                <w:sz w:val="21"/>
                <w:szCs w:val="21"/>
                <w:highlight w:val="none"/>
              </w:rPr>
            </w:pPr>
          </w:p>
        </w:tc>
        <w:tc>
          <w:tcPr>
            <w:tcW w:w="1179" w:type="pct"/>
            <w:tcBorders>
              <w:top w:val="single" w:color="auto" w:sz="4" w:space="0"/>
              <w:bottom w:val="single" w:color="auto" w:sz="4" w:space="0"/>
              <w:tl2br w:val="nil"/>
              <w:tr2bl w:val="nil"/>
            </w:tcBorders>
            <w:vAlign w:val="center"/>
          </w:tcPr>
          <w:p>
            <w:pPr>
              <w:widowControl/>
              <w:shd w:val="clear"/>
              <w:snapToGrid w:val="0"/>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rPr>
              <w:t>1#</w:t>
            </w:r>
            <w:r>
              <w:rPr>
                <w:rFonts w:hint="default" w:ascii="Times New Roman" w:hAnsi="Times New Roman" w:eastAsia="宋体" w:cs="Times New Roman"/>
                <w:i w:val="0"/>
                <w:color w:val="auto"/>
                <w:kern w:val="0"/>
                <w:sz w:val="21"/>
                <w:szCs w:val="21"/>
                <w:u w:val="none"/>
                <w:lang w:val="en-US" w:eastAsia="zh-CN" w:bidi="ar"/>
              </w:rPr>
              <w:t>原村民饮用井</w:t>
            </w:r>
          </w:p>
        </w:tc>
        <w:tc>
          <w:tcPr>
            <w:tcW w:w="1323" w:type="pct"/>
            <w:tcBorders>
              <w:top w:val="single" w:color="auto" w:sz="4" w:space="0"/>
              <w:bottom w:val="single" w:color="auto" w:sz="4" w:space="0"/>
              <w:tl2br w:val="nil"/>
              <w:tr2bl w:val="nil"/>
            </w:tcBorders>
            <w:vAlign w:val="center"/>
          </w:tcPr>
          <w:p>
            <w:pPr>
              <w:widowControl/>
              <w:shd w:val="clear"/>
              <w:snapToGrid w:val="0"/>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rPr>
              <w:t>2</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i w:val="0"/>
                <w:color w:val="auto"/>
                <w:kern w:val="0"/>
                <w:sz w:val="21"/>
                <w:szCs w:val="21"/>
                <w:u w:val="none"/>
                <w:lang w:val="en-US" w:eastAsia="zh-CN" w:bidi="ar"/>
              </w:rPr>
              <w:t>茂盛超市水井</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pageBreakBefore w:val="0"/>
              <w:shd w:val="clear"/>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i w:val="0"/>
                <w:color w:val="auto"/>
                <w:kern w:val="0"/>
                <w:sz w:val="21"/>
                <w:szCs w:val="21"/>
                <w:u w:val="none"/>
                <w:lang w:val="en-US" w:eastAsia="zh-CN" w:bidi="ar"/>
              </w:rPr>
              <w:t>吕裴亮家水井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pH</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0.94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0.88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溶解性总固体</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0.76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2.00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b/>
                <w:bCs/>
                <w:color w:val="auto"/>
                <w:kern w:val="0"/>
                <w:sz w:val="21"/>
                <w:szCs w:val="21"/>
                <w:highlight w:val="none"/>
                <w:lang w:val="zh-CN"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高锰酸盐指数(耗氧量）</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0.28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1.21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b/>
                <w:bCs/>
                <w:color w:val="auto"/>
                <w:kern w:val="0"/>
                <w:sz w:val="21"/>
                <w:szCs w:val="21"/>
                <w:highlight w:val="none"/>
                <w:lang w:val="zh-CN"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1.50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阴离子表面活性剂</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0.17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0.17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总硬度</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0.61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1.58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总碱度</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氯化物</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0.33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1.26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氟化物</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0.73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1.99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1.72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硫化物</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0.25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0.25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硫酸盐</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0.34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1.25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氨氮</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硝酸盐氮</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0.75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1.32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亚硝酸盐氮</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0.11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氰化物</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挥发酚</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砷</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0.17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0.19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汞</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硒</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铅</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0.60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2.40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铬</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0.60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0.60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铜</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锌</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铁</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锰</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0.10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0.10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镉</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0.12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0.44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铝</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zh-CN" w:eastAsia="zh-CN" w:bidi="ar-SA"/>
              </w:rPr>
            </w:pPr>
            <w:r>
              <w:rPr>
                <w:rFonts w:hint="default" w:ascii="Times New Roman" w:hAnsi="Times New Roman" w:eastAsia="宋体" w:cs="Times New Roman"/>
                <w:i w:val="0"/>
                <w:color w:val="auto"/>
                <w:kern w:val="0"/>
                <w:sz w:val="21"/>
                <w:szCs w:val="21"/>
                <w:u w:val="none"/>
                <w:lang w:val="en-US" w:eastAsia="zh-CN" w:bidi="ar"/>
              </w:rPr>
              <w:t>钾</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zh-CN" w:eastAsia="zh-CN" w:bidi="ar"/>
              </w:rPr>
            </w:pPr>
            <w:r>
              <w:rPr>
                <w:rFonts w:hint="default" w:ascii="Times New Roman" w:hAnsi="Times New Roman" w:eastAsia="宋体" w:cs="Times New Roman"/>
                <w:i w:val="0"/>
                <w:color w:val="auto"/>
                <w:kern w:val="0"/>
                <w:sz w:val="21"/>
                <w:szCs w:val="21"/>
                <w:u w:val="none"/>
                <w:lang w:val="en-US" w:eastAsia="zh-CN" w:bidi="ar"/>
              </w:rPr>
              <w:t>钠</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0.41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0.60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钙</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镁</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368" w:type="pct"/>
            <w:tcBorders>
              <w:top w:val="single" w:color="auto" w:sz="4" w:space="0"/>
              <w:left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总大肠菌群(MPN/100mL）</w:t>
            </w:r>
          </w:p>
        </w:tc>
        <w:tc>
          <w:tcPr>
            <w:tcW w:w="1179"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0.67 </w:t>
            </w:r>
          </w:p>
        </w:tc>
        <w:tc>
          <w:tcPr>
            <w:tcW w:w="1323" w:type="pct"/>
            <w:tcBorders>
              <w:top w:val="single" w:color="auto" w:sz="4" w:space="0"/>
              <w:bottom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0.67 </w:t>
            </w:r>
          </w:p>
        </w:tc>
        <w:tc>
          <w:tcPr>
            <w:tcW w:w="1128" w:type="pct"/>
            <w:tcBorders>
              <w:top w:val="single" w:color="auto" w:sz="4" w:space="0"/>
              <w:bottom w:val="single" w:color="auto" w:sz="4" w:space="0"/>
              <w:right w:val="single" w:color="auto" w:sz="4" w:space="0"/>
              <w:tl2br w:val="nil"/>
              <w:tr2bl w:val="nil"/>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0" w:type="auto"/>
            <w:tcBorders>
              <w:left w:val="single" w:color="auto" w:sz="4" w:space="0"/>
              <w:bottom w:val="single" w:color="auto" w:sz="4" w:space="0"/>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菌落总数(CFU/mL）</w:t>
            </w:r>
          </w:p>
        </w:tc>
        <w:tc>
          <w:tcPr>
            <w:tcW w:w="0" w:type="auto"/>
            <w:tcBorders>
              <w:bottom w:val="single" w:color="auto" w:sz="4" w:space="0"/>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 </w:t>
            </w:r>
          </w:p>
        </w:tc>
        <w:tc>
          <w:tcPr>
            <w:tcW w:w="0" w:type="auto"/>
            <w:tcBorders>
              <w:bottom w:val="single" w:color="auto" w:sz="4" w:space="0"/>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 </w:t>
            </w:r>
          </w:p>
        </w:tc>
        <w:tc>
          <w:tcPr>
            <w:tcW w:w="0" w:type="auto"/>
            <w:tcBorders>
              <w:bottom w:val="single" w:color="auto" w:sz="4" w:space="0"/>
              <w:right w:val="single" w:color="auto" w:sz="4" w:space="0"/>
            </w:tcBorders>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r>
    </w:tbl>
    <w:p>
      <w:pPr>
        <w:keepNext w:val="0"/>
        <w:keepLines w:val="0"/>
        <w:pageBreakBefore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从</w:t>
      </w:r>
      <w:r>
        <w:rPr>
          <w:rFonts w:hint="default" w:ascii="Times New Roman" w:hAnsi="Times New Roman" w:eastAsia="宋体" w:cs="Times New Roman"/>
          <w:color w:val="auto"/>
          <w:sz w:val="24"/>
          <w:szCs w:val="24"/>
          <w:highlight w:val="none"/>
        </w:rPr>
        <w:t>地下水监测结果可以看出，</w:t>
      </w:r>
      <w:r>
        <w:rPr>
          <w:rFonts w:hint="default" w:ascii="Times New Roman" w:hAnsi="Times New Roman" w:eastAsia="宋体" w:cs="Times New Roman"/>
          <w:color w:val="auto"/>
          <w:sz w:val="24"/>
          <w:szCs w:val="24"/>
          <w:highlight w:val="none"/>
          <w:lang w:eastAsia="zh-CN"/>
        </w:rPr>
        <w:t>该区域地下水环境各监测因子中</w:t>
      </w:r>
      <w:r>
        <w:rPr>
          <w:rFonts w:hint="default" w:ascii="Times New Roman" w:hAnsi="Times New Roman" w:eastAsia="宋体" w:cs="Times New Roman"/>
          <w:color w:val="auto"/>
          <w:sz w:val="24"/>
          <w:szCs w:val="24"/>
          <w:highlight w:val="none"/>
        </w:rPr>
        <w:t>溶解性总固体、高锰酸盐指数（耗氧量）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总硬度、氯化物、</w:t>
      </w:r>
      <w:r>
        <w:rPr>
          <w:rFonts w:hint="default" w:ascii="Times New Roman" w:hAnsi="Times New Roman" w:eastAsia="宋体" w:cs="Times New Roman"/>
          <w:color w:val="auto"/>
          <w:sz w:val="24"/>
          <w:szCs w:val="24"/>
          <w:highlight w:val="none"/>
          <w:lang w:eastAsia="zh-CN"/>
        </w:rPr>
        <w:t>氟化物、硫酸盐、铅、硝酸盐等指标</w:t>
      </w:r>
      <w:r>
        <w:rPr>
          <w:rFonts w:hint="default" w:ascii="Times New Roman" w:hAnsi="Times New Roman" w:eastAsia="宋体" w:cs="Times New Roman"/>
          <w:color w:val="auto"/>
          <w:sz w:val="24"/>
          <w:szCs w:val="24"/>
          <w:highlight w:val="none"/>
        </w:rPr>
        <w:t>超</w:t>
      </w:r>
      <w:r>
        <w:rPr>
          <w:rFonts w:hint="default" w:ascii="Times New Roman" w:hAnsi="Times New Roman" w:eastAsia="宋体" w:cs="Times New Roman"/>
          <w:color w:val="auto"/>
          <w:sz w:val="24"/>
          <w:szCs w:val="24"/>
          <w:highlight w:val="none"/>
          <w:lang w:eastAsia="zh-CN"/>
        </w:rPr>
        <w:t>过</w:t>
      </w:r>
      <w:r>
        <w:rPr>
          <w:rFonts w:hint="default" w:ascii="Times New Roman" w:hAnsi="Times New Roman" w:eastAsia="宋体" w:cs="Times New Roman"/>
          <w:color w:val="auto"/>
          <w:sz w:val="24"/>
          <w:szCs w:val="24"/>
          <w:highlight w:val="none"/>
        </w:rPr>
        <w:t>《地下水质量标准》（GB/T14848-2017</w:t>
      </w:r>
      <w:r>
        <w:rPr>
          <w:rFonts w:hint="default" w:ascii="Times New Roman" w:hAnsi="Times New Roman" w:eastAsia="宋体" w:cs="Times New Roman"/>
          <w:color w:val="auto"/>
          <w:sz w:val="24"/>
          <w:szCs w:val="24"/>
          <w:highlight w:val="none"/>
          <w:lang w:eastAsia="zh-CN"/>
        </w:rPr>
        <w:t>）Ⅲ</w:t>
      </w:r>
      <w:r>
        <w:rPr>
          <w:rFonts w:hint="default" w:ascii="Times New Roman" w:hAnsi="Times New Roman" w:eastAsia="宋体" w:cs="Times New Roman"/>
          <w:color w:val="auto"/>
          <w:sz w:val="24"/>
          <w:szCs w:val="24"/>
          <w:highlight w:val="none"/>
        </w:rPr>
        <w:t>类标准，其它所检因子均符合《地下水质量标准》（GB/T14848-2017</w:t>
      </w:r>
      <w:r>
        <w:rPr>
          <w:rFonts w:hint="default" w:ascii="Times New Roman" w:hAnsi="Times New Roman" w:eastAsia="宋体" w:cs="Times New Roman"/>
          <w:color w:val="auto"/>
          <w:sz w:val="24"/>
          <w:szCs w:val="24"/>
          <w:highlight w:val="none"/>
          <w:lang w:eastAsia="zh-CN"/>
        </w:rPr>
        <w:t>）Ⅲ</w:t>
      </w:r>
      <w:r>
        <w:rPr>
          <w:rFonts w:hint="default" w:ascii="Times New Roman" w:hAnsi="Times New Roman" w:eastAsia="宋体" w:cs="Times New Roman"/>
          <w:color w:val="auto"/>
          <w:sz w:val="24"/>
          <w:szCs w:val="24"/>
          <w:highlight w:val="none"/>
        </w:rPr>
        <w:t>类标准。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建设单位</w:t>
      </w:r>
      <w:r>
        <w:rPr>
          <w:rFonts w:hint="default" w:ascii="Times New Roman" w:hAnsi="Times New Roman" w:eastAsia="宋体" w:cs="Times New Roman"/>
          <w:color w:val="auto"/>
          <w:sz w:val="24"/>
          <w:szCs w:val="24"/>
          <w:highlight w:val="none"/>
        </w:rPr>
        <w:t>委托内蒙古蓝箭环保有限责任公司于2021年</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日对2#茂盛超市水井</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eastAsia="zh-CN"/>
        </w:rPr>
        <w:t>氯化物、</w:t>
      </w:r>
      <w:r>
        <w:rPr>
          <w:rFonts w:hint="default" w:ascii="Times New Roman" w:hAnsi="Times New Roman" w:eastAsia="宋体" w:cs="Times New Roman"/>
          <w:color w:val="auto"/>
          <w:sz w:val="24"/>
          <w:szCs w:val="24"/>
          <w:highlight w:val="none"/>
        </w:rPr>
        <w:t>铅进行了复测。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水质监测分析方法及检出限，见表 4.3-</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表4.3-</w:t>
      </w:r>
      <w:r>
        <w:rPr>
          <w:rFonts w:hint="default" w:ascii="Times New Roman" w:hAnsi="Times New Roman" w:eastAsia="宋体" w:cs="Times New Roman"/>
          <w:b/>
          <w:bCs/>
          <w:color w:val="auto"/>
          <w:sz w:val="24"/>
          <w:szCs w:val="24"/>
          <w:highlight w:val="none"/>
          <w:lang w:val="en-US" w:eastAsia="zh-CN"/>
        </w:rPr>
        <w:t xml:space="preserve">5 </w:t>
      </w:r>
      <w:r>
        <w:rPr>
          <w:rFonts w:hint="default" w:ascii="Times New Roman" w:hAnsi="Times New Roman" w:eastAsia="宋体" w:cs="Times New Roman"/>
          <w:b/>
          <w:bCs/>
          <w:color w:val="auto"/>
          <w:sz w:val="24"/>
          <w:szCs w:val="24"/>
          <w:highlight w:val="none"/>
        </w:rPr>
        <w:t xml:space="preserve"> 地下水监测分析方法</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972"/>
        <w:gridCol w:w="3448"/>
        <w:gridCol w:w="1066"/>
        <w:gridCol w:w="1140"/>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noWrap w:val="0"/>
            <w:vAlign w:val="center"/>
          </w:tcPr>
          <w:p>
            <w:pPr>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861" w:type="dxa"/>
            <w:noWrap w:val="0"/>
            <w:vAlign w:val="center"/>
          </w:tcPr>
          <w:p>
            <w:pPr>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3055" w:type="dxa"/>
            <w:noWrap w:val="0"/>
            <w:vAlign w:val="center"/>
          </w:tcPr>
          <w:p>
            <w:pPr>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方法名称及来源</w:t>
            </w:r>
          </w:p>
        </w:tc>
        <w:tc>
          <w:tcPr>
            <w:tcW w:w="944" w:type="dxa"/>
            <w:noWrap w:val="0"/>
            <w:vAlign w:val="center"/>
          </w:tcPr>
          <w:p>
            <w:pPr>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检出限</w:t>
            </w:r>
          </w:p>
        </w:tc>
        <w:tc>
          <w:tcPr>
            <w:tcW w:w="10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检测依据</w:t>
            </w:r>
          </w:p>
        </w:tc>
        <w:tc>
          <w:tcPr>
            <w:tcW w:w="94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使用仪器</w:t>
            </w:r>
            <w:r>
              <w:rPr>
                <w:rFonts w:hint="default" w:ascii="Times New Roman" w:hAnsi="Times New Roman" w:eastAsia="宋体" w:cs="Times New Roman"/>
                <w:color w:val="auto"/>
                <w:sz w:val="21"/>
                <w:szCs w:val="21"/>
                <w:highlight w:val="none"/>
                <w:lang w:eastAsia="zh-CN"/>
              </w:rPr>
              <w:t>及管理编号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noWrap w:val="0"/>
            <w:vAlign w:val="center"/>
          </w:tcPr>
          <w:p>
            <w:pPr>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61"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氯化物</w:t>
            </w:r>
          </w:p>
        </w:tc>
        <w:tc>
          <w:tcPr>
            <w:tcW w:w="305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水质</w:t>
            </w:r>
            <w:r>
              <w:rPr>
                <w:rFonts w:hint="default" w:ascii="Times New Roman" w:hAnsi="Times New Roman" w:eastAsia="宋体" w:cs="Times New Roman"/>
                <w:color w:val="auto"/>
                <w:sz w:val="21"/>
                <w:szCs w:val="21"/>
                <w:highlight w:val="none"/>
                <w:lang w:val="en-US" w:eastAsia="zh-CN"/>
              </w:rPr>
              <w:t xml:space="preserve"> 氯化物的测定 </w:t>
            </w:r>
            <w:r>
              <w:rPr>
                <w:rFonts w:hint="default" w:ascii="Times New Roman" w:hAnsi="Times New Roman" w:eastAsia="宋体" w:cs="Times New Roman"/>
                <w:color w:val="auto"/>
                <w:sz w:val="21"/>
                <w:szCs w:val="21"/>
                <w:highlight w:val="none"/>
              </w:rPr>
              <w:t>硝酸银滴定法</w:t>
            </w:r>
            <w:r>
              <w:rPr>
                <w:rFonts w:hint="default" w:ascii="Times New Roman" w:hAnsi="Times New Roman" w:eastAsia="宋体" w:cs="Times New Roman"/>
                <w:color w:val="auto"/>
                <w:sz w:val="21"/>
                <w:szCs w:val="21"/>
                <w:highlight w:val="none"/>
                <w:lang w:eastAsia="zh-CN"/>
              </w:rPr>
              <w:t>（试行）</w:t>
            </w:r>
          </w:p>
        </w:tc>
        <w:tc>
          <w:tcPr>
            <w:tcW w:w="944"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10.0 </w:t>
            </w:r>
            <w:r>
              <w:rPr>
                <w:rFonts w:hint="default" w:ascii="Times New Roman" w:hAnsi="Times New Roman" w:eastAsia="宋体" w:cs="Times New Roman"/>
                <w:color w:val="auto"/>
                <w:sz w:val="21"/>
                <w:szCs w:val="21"/>
                <w:highlight w:val="none"/>
              </w:rPr>
              <w:t>mg/L</w:t>
            </w:r>
          </w:p>
        </w:tc>
        <w:tc>
          <w:tcPr>
            <w:tcW w:w="10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GB11896-89</w:t>
            </w:r>
          </w:p>
        </w:tc>
        <w:tc>
          <w:tcPr>
            <w:tcW w:w="94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25mL</w:t>
            </w:r>
            <w:r>
              <w:rPr>
                <w:rFonts w:hint="default" w:ascii="Times New Roman" w:hAnsi="Times New Roman" w:eastAsia="宋体" w:cs="Times New Roman"/>
                <w:color w:val="auto"/>
                <w:sz w:val="21"/>
                <w:szCs w:val="21"/>
                <w:highlight w:val="none"/>
              </w:rPr>
              <w:t>酸式滴定管</w:t>
            </w:r>
            <w:r>
              <w:rPr>
                <w:rFonts w:hint="default" w:ascii="Times New Roman" w:hAnsi="Times New Roman" w:eastAsia="宋体" w:cs="Times New Roman"/>
                <w:color w:val="auto"/>
                <w:sz w:val="21"/>
                <w:szCs w:val="21"/>
                <w:highlight w:val="none"/>
                <w:lang w:val="en-US" w:eastAsia="zh-CN"/>
              </w:rPr>
              <w:t>LJHB-08-002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noWrap w:val="0"/>
            <w:vAlign w:val="center"/>
          </w:tcPr>
          <w:p>
            <w:pPr>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61"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铅</w:t>
            </w:r>
          </w:p>
        </w:tc>
        <w:tc>
          <w:tcPr>
            <w:tcW w:w="305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石墨炉原子吸收法测定镉、铜和铅的测定（B）第三篇第四章七（四）</w:t>
            </w:r>
          </w:p>
        </w:tc>
        <w:tc>
          <w:tcPr>
            <w:tcW w:w="944"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0.001mg/L</w:t>
            </w:r>
          </w:p>
        </w:tc>
        <w:tc>
          <w:tcPr>
            <w:tcW w:w="10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《水和废水监测分析方法》（第四版增补版）国家环境保护总局（2002年）</w:t>
            </w:r>
          </w:p>
        </w:tc>
        <w:tc>
          <w:tcPr>
            <w:tcW w:w="94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TAS-990原子吸收分光光度计LJHB-01-008</w:t>
            </w:r>
          </w:p>
        </w:tc>
      </w:tr>
    </w:tbl>
    <w:p>
      <w:pPr>
        <w:pStyle w:val="413"/>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注：L表示未检出或低于检出限</w:t>
      </w:r>
    </w:p>
    <w:p>
      <w:pP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水质监测数据，见表4.3-</w:t>
      </w:r>
      <w:r>
        <w:rPr>
          <w:rFonts w:hint="default" w:ascii="Times New Roman" w:hAnsi="Times New Roman" w:eastAsia="宋体" w:cs="Times New Roman"/>
          <w:color w:val="auto"/>
          <w:sz w:val="24"/>
          <w:szCs w:val="32"/>
          <w:highlight w:val="none"/>
          <w:lang w:val="en-US" w:eastAsia="zh-CN"/>
        </w:rPr>
        <w:t>6</w:t>
      </w:r>
      <w:r>
        <w:rPr>
          <w:rFonts w:hint="default" w:ascii="Times New Roman" w:hAnsi="Times New Roman" w:eastAsia="宋体" w:cs="Times New Roman"/>
          <w:color w:val="auto"/>
          <w:sz w:val="24"/>
          <w:szCs w:val="32"/>
          <w:highlight w:val="none"/>
        </w:rPr>
        <w:t>。</w:t>
      </w:r>
    </w:p>
    <w:p>
      <w:pPr>
        <w:spacing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表4.3-</w:t>
      </w: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 xml:space="preserve">  地下水水质检测结果表</w:t>
      </w:r>
    </w:p>
    <w:tbl>
      <w:tblPr>
        <w:tblStyle w:val="90"/>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655"/>
        <w:gridCol w:w="1655"/>
        <w:gridCol w:w="1655"/>
        <w:gridCol w:w="1656"/>
        <w:gridCol w:w="16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655" w:type="dxa"/>
            <w:vMerge w:val="restart"/>
            <w:tcBorders>
              <w:right w:val="single" w:color="auto" w:sz="4" w:space="0"/>
            </w:tcBorders>
            <w:noWrap w:val="0"/>
            <w:vAlign w:val="center"/>
          </w:tcPr>
          <w:p>
            <w:pPr>
              <w:adjustRightInd/>
              <w:snapToGrid/>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w:t>
            </w:r>
          </w:p>
          <w:p>
            <w:pPr>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号</w:t>
            </w:r>
          </w:p>
        </w:tc>
        <w:tc>
          <w:tcPr>
            <w:tcW w:w="1655" w:type="dxa"/>
            <w:vMerge w:val="restart"/>
            <w:tcBorders>
              <w:right w:val="single" w:color="auto" w:sz="4" w:space="0"/>
            </w:tcBorders>
            <w:noWrap w:val="0"/>
            <w:vAlign w:val="center"/>
          </w:tcPr>
          <w:p>
            <w:pPr>
              <w:adjustRightInd/>
              <w:snapToGrid/>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w:t>
            </w:r>
          </w:p>
          <w:p>
            <w:pPr>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w:t>
            </w:r>
          </w:p>
        </w:tc>
        <w:tc>
          <w:tcPr>
            <w:tcW w:w="1655"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单位</w:t>
            </w:r>
          </w:p>
        </w:tc>
        <w:tc>
          <w:tcPr>
            <w:tcW w:w="3312" w:type="dxa"/>
            <w:gridSpan w:val="2"/>
            <w:tcBorders>
              <w:top w:val="single" w:color="auto" w:sz="4" w:space="0"/>
              <w:left w:val="single" w:color="auto" w:sz="4" w:space="0"/>
            </w:tcBorders>
            <w:noWrap w:val="0"/>
            <w:vAlign w:val="center"/>
          </w:tcPr>
          <w:p>
            <w:pPr>
              <w:adjustRightInd/>
              <w:snapToGrid/>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采样日期：202</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655" w:type="dxa"/>
            <w:vMerge w:val="continue"/>
            <w:tcBorders>
              <w:bottom w:val="single" w:color="auto" w:sz="4" w:space="0"/>
              <w:right w:val="single" w:color="auto" w:sz="4" w:space="0"/>
            </w:tcBorders>
            <w:noWrap w:val="0"/>
            <w:vAlign w:val="center"/>
          </w:tcPr>
          <w:p>
            <w:pPr>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655" w:type="dxa"/>
            <w:vMerge w:val="continue"/>
            <w:tcBorders>
              <w:bottom w:val="single" w:color="auto" w:sz="4" w:space="0"/>
              <w:right w:val="single" w:color="auto" w:sz="4" w:space="0"/>
            </w:tcBorders>
            <w:noWrap w:val="0"/>
            <w:vAlign w:val="center"/>
          </w:tcPr>
          <w:p>
            <w:pPr>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55" w:type="dxa"/>
            <w:vMerge w:val="continue"/>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656" w:type="dxa"/>
            <w:tcBorders>
              <w:top w:val="single" w:color="auto" w:sz="4" w:space="0"/>
              <w:left w:val="single" w:color="auto" w:sz="4" w:space="0"/>
              <w:right w:val="single" w:color="auto" w:sz="4" w:space="0"/>
            </w:tcBorders>
            <w:noWrap w:val="0"/>
            <w:vAlign w:val="center"/>
          </w:tcPr>
          <w:p>
            <w:pPr>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茂盛超市水井</w:t>
            </w:r>
          </w:p>
        </w:tc>
        <w:tc>
          <w:tcPr>
            <w:tcW w:w="1656" w:type="dxa"/>
            <w:tcBorders>
              <w:top w:val="single" w:color="auto" w:sz="4" w:space="0"/>
              <w:left w:val="single" w:color="auto" w:sz="4" w:space="0"/>
            </w:tcBorders>
            <w:noWrap w:val="0"/>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标准限值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655" w:type="dxa"/>
            <w:tcBorders>
              <w:top w:val="single" w:color="auto" w:sz="4" w:space="0"/>
              <w:bottom w:val="single" w:color="auto" w:sz="4" w:space="0"/>
              <w:right w:val="single" w:color="auto" w:sz="4" w:space="0"/>
            </w:tcBorders>
            <w:noWrap w:val="0"/>
            <w:vAlign w:val="center"/>
          </w:tcPr>
          <w:p>
            <w:pPr>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氯化物</w:t>
            </w:r>
          </w:p>
        </w:tc>
        <w:tc>
          <w:tcPr>
            <w:tcW w:w="1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mg/L</w:t>
            </w:r>
          </w:p>
        </w:tc>
        <w:tc>
          <w:tcPr>
            <w:tcW w:w="1656"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1656" w:type="dxa"/>
            <w:tcBorders>
              <w:top w:val="single" w:color="auto" w:sz="4" w:space="0"/>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655" w:type="dxa"/>
            <w:tcBorders>
              <w:top w:val="single" w:color="auto" w:sz="4" w:space="0"/>
              <w:bottom w:val="single" w:color="auto" w:sz="4" w:space="0"/>
              <w:right w:val="single" w:color="auto" w:sz="4" w:space="0"/>
            </w:tcBorders>
            <w:noWrap w:val="0"/>
            <w:vAlign w:val="center"/>
          </w:tcPr>
          <w:p>
            <w:pPr>
              <w:adjustRightInd/>
              <w:snapToGrid/>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铅</w:t>
            </w:r>
          </w:p>
        </w:tc>
        <w:tc>
          <w:tcPr>
            <w:tcW w:w="16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mg/L</w:t>
            </w:r>
          </w:p>
        </w:tc>
        <w:tc>
          <w:tcPr>
            <w:tcW w:w="1656"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1656" w:type="dxa"/>
            <w:tcBorders>
              <w:top w:val="single" w:color="auto" w:sz="4" w:space="0"/>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w:t>
            </w:r>
          </w:p>
        </w:tc>
      </w:tr>
    </w:tbl>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评价方法</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采用单因子污染指数法，计算公式为：</w:t>
      </w:r>
    </w:p>
    <w:p>
      <w:pPr>
        <w:snapToGrid w:val="0"/>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oi</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—i种污染物的标准指数；</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—i种污染物的实测浓度，mg/L；</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oi</w:t>
      </w:r>
      <w:r>
        <w:rPr>
          <w:rFonts w:hint="default" w:ascii="Times New Roman" w:hAnsi="Times New Roman" w:eastAsia="宋体" w:cs="Times New Roman"/>
          <w:color w:val="auto"/>
          <w:sz w:val="24"/>
          <w:szCs w:val="24"/>
          <w:highlight w:val="none"/>
        </w:rPr>
        <w:t>—i种污染物的环境质量标准，mg/L；</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对于pH值，评价公式为：</w:t>
      </w:r>
    </w:p>
    <w:p>
      <w:pPr>
        <w:snapToGrid w:val="0"/>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w:t>
      </w:r>
      <w:r>
        <w:rPr>
          <w:rFonts w:hint="default" w:ascii="Times New Roman" w:hAnsi="Times New Roman" w:eastAsia="宋体" w:cs="Times New Roman"/>
          <w:color w:val="auto"/>
          <w:sz w:val="24"/>
          <w:szCs w:val="24"/>
          <w:highlight w:val="none"/>
          <w:vertAlign w:val="subscript"/>
        </w:rPr>
        <w:t>pH</w:t>
      </w:r>
      <w:r>
        <w:rPr>
          <w:rFonts w:hint="default" w:ascii="Times New Roman" w:hAnsi="Times New Roman" w:eastAsia="宋体" w:cs="Times New Roman"/>
          <w:color w:val="auto"/>
          <w:sz w:val="24"/>
          <w:szCs w:val="24"/>
          <w:highlight w:val="none"/>
        </w:rPr>
        <w:t>=(7.0- pH</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)/(7.0- pH</w:t>
      </w:r>
      <w:r>
        <w:rPr>
          <w:rFonts w:hint="default" w:ascii="Times New Roman" w:hAnsi="Times New Roman" w:eastAsia="宋体" w:cs="Times New Roman"/>
          <w:color w:val="auto"/>
          <w:sz w:val="24"/>
          <w:szCs w:val="24"/>
          <w:highlight w:val="none"/>
          <w:vertAlign w:val="subscript"/>
        </w:rPr>
        <w:t xml:space="preserve"> min</w:t>
      </w:r>
      <w:r>
        <w:rPr>
          <w:rFonts w:hint="default" w:ascii="Times New Roman" w:hAnsi="Times New Roman" w:eastAsia="宋体" w:cs="Times New Roman"/>
          <w:color w:val="auto"/>
          <w:sz w:val="24"/>
          <w:szCs w:val="24"/>
          <w:highlight w:val="none"/>
        </w:rPr>
        <w:t xml:space="preserve">)(pH </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≤7.0)</w:t>
      </w:r>
    </w:p>
    <w:p>
      <w:pPr>
        <w:snapToGrid w:val="0"/>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w:t>
      </w:r>
      <w:r>
        <w:rPr>
          <w:rFonts w:hint="default" w:ascii="Times New Roman" w:hAnsi="Times New Roman" w:eastAsia="宋体" w:cs="Times New Roman"/>
          <w:color w:val="auto"/>
          <w:sz w:val="24"/>
          <w:szCs w:val="24"/>
          <w:highlight w:val="none"/>
          <w:vertAlign w:val="subscript"/>
        </w:rPr>
        <w:t>pH</w:t>
      </w:r>
      <w:r>
        <w:rPr>
          <w:rFonts w:hint="default" w:ascii="Times New Roman" w:hAnsi="Times New Roman" w:eastAsia="宋体" w:cs="Times New Roman"/>
          <w:color w:val="auto"/>
          <w:sz w:val="24"/>
          <w:szCs w:val="24"/>
          <w:highlight w:val="none"/>
        </w:rPr>
        <w:t>=( pH</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-7.0)/( pH</w:t>
      </w:r>
      <w:r>
        <w:rPr>
          <w:rFonts w:hint="default" w:ascii="Times New Roman" w:hAnsi="Times New Roman" w:eastAsia="宋体" w:cs="Times New Roman"/>
          <w:color w:val="auto"/>
          <w:sz w:val="24"/>
          <w:szCs w:val="24"/>
          <w:highlight w:val="none"/>
          <w:vertAlign w:val="subscript"/>
        </w:rPr>
        <w:t xml:space="preserve"> max</w:t>
      </w:r>
      <w:r>
        <w:rPr>
          <w:rFonts w:hint="default" w:ascii="Times New Roman" w:hAnsi="Times New Roman" w:eastAsia="宋体" w:cs="Times New Roman"/>
          <w:color w:val="auto"/>
          <w:sz w:val="24"/>
          <w:szCs w:val="24"/>
          <w:highlight w:val="none"/>
        </w:rPr>
        <w:t xml:space="preserve"> -7.0)(pH </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&gt;7.0)</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式中：P</w:t>
      </w:r>
      <w:r>
        <w:rPr>
          <w:rFonts w:hint="default" w:ascii="Times New Roman" w:hAnsi="Times New Roman" w:eastAsia="宋体" w:cs="Times New Roman"/>
          <w:color w:val="auto"/>
          <w:sz w:val="24"/>
          <w:szCs w:val="24"/>
          <w:highlight w:val="none"/>
          <w:vertAlign w:val="subscript"/>
        </w:rPr>
        <w:t>pH</w:t>
      </w:r>
      <w:r>
        <w:rPr>
          <w:rFonts w:hint="default" w:ascii="Times New Roman" w:hAnsi="Times New Roman" w:eastAsia="宋体" w:cs="Times New Roman"/>
          <w:color w:val="auto"/>
          <w:sz w:val="24"/>
          <w:szCs w:val="24"/>
          <w:highlight w:val="none"/>
        </w:rPr>
        <w:t>－i监测点的pH评价指数；</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pH</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－i监测点的水样pH监测值；</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pH</w:t>
      </w:r>
      <w:r>
        <w:rPr>
          <w:rFonts w:hint="default" w:ascii="Times New Roman" w:hAnsi="Times New Roman" w:eastAsia="宋体" w:cs="Times New Roman"/>
          <w:color w:val="auto"/>
          <w:sz w:val="24"/>
          <w:szCs w:val="24"/>
          <w:highlight w:val="none"/>
          <w:vertAlign w:val="subscript"/>
        </w:rPr>
        <w:t xml:space="preserve"> min</w:t>
      </w:r>
      <w:r>
        <w:rPr>
          <w:rFonts w:hint="default" w:ascii="Times New Roman" w:hAnsi="Times New Roman" w:eastAsia="宋体" w:cs="Times New Roman"/>
          <w:color w:val="auto"/>
          <w:sz w:val="24"/>
          <w:szCs w:val="24"/>
          <w:highlight w:val="none"/>
        </w:rPr>
        <w:t>－评价标准值的下限值；</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pH</w:t>
      </w:r>
      <w:r>
        <w:rPr>
          <w:rFonts w:hint="default" w:ascii="Times New Roman" w:hAnsi="Times New Roman" w:eastAsia="宋体" w:cs="Times New Roman"/>
          <w:color w:val="auto"/>
          <w:sz w:val="24"/>
          <w:szCs w:val="24"/>
          <w:highlight w:val="none"/>
          <w:vertAlign w:val="subscript"/>
        </w:rPr>
        <w:t xml:space="preserve"> max</w:t>
      </w:r>
      <w:r>
        <w:rPr>
          <w:rFonts w:hint="default" w:ascii="Times New Roman" w:hAnsi="Times New Roman" w:eastAsia="宋体" w:cs="Times New Roman"/>
          <w:color w:val="auto"/>
          <w:sz w:val="24"/>
          <w:szCs w:val="24"/>
          <w:highlight w:val="none"/>
        </w:rPr>
        <w:t>－评价标准值的上限值。</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评价标准</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采用《地下水质量标准》(GB/T14848-93)中</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3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eastAsia="zh-CN"/>
        </w:rPr>
        <w:t>Ⅲ</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类标准。</w:t>
      </w:r>
    </w:p>
    <w:p>
      <w:pPr>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3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评价结果及分析</w:t>
      </w:r>
    </w:p>
    <w:p>
      <w:pPr>
        <w:adjustRightInd w:val="0"/>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评价及分析结果见4.3-</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pPr>
        <w:spacing w:line="240" w:lineRule="auto"/>
        <w:ind w:firstLine="482"/>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表4.3-</w:t>
      </w:r>
      <w:r>
        <w:rPr>
          <w:rFonts w:hint="default" w:ascii="Times New Roman" w:hAnsi="Times New Roman" w:eastAsia="宋体" w:cs="Times New Roman"/>
          <w:b/>
          <w:color w:val="auto"/>
          <w:sz w:val="24"/>
          <w:szCs w:val="24"/>
          <w:highlight w:val="none"/>
          <w:lang w:val="en-US" w:eastAsia="zh-CN"/>
        </w:rPr>
        <w:t xml:space="preserve">7  </w:t>
      </w:r>
      <w:r>
        <w:rPr>
          <w:rFonts w:hint="default" w:ascii="Times New Roman" w:hAnsi="Times New Roman" w:eastAsia="宋体" w:cs="Times New Roman"/>
          <w:b/>
          <w:color w:val="auto"/>
          <w:sz w:val="24"/>
          <w:szCs w:val="24"/>
          <w:highlight w:val="none"/>
        </w:rPr>
        <w:t xml:space="preserve"> 地下水单因子指标表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5"/>
        <w:gridCol w:w="4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5"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检测项目</w:t>
            </w:r>
          </w:p>
        </w:tc>
        <w:tc>
          <w:tcPr>
            <w:tcW w:w="4023" w:type="dxa"/>
            <w:noWrap w:val="0"/>
            <w:vAlign w:val="center"/>
          </w:tcPr>
          <w:p>
            <w:pPr>
              <w:adjustRightInd/>
              <w:snapToGrid/>
              <w:ind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茂盛超市水井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氯化物</w:t>
            </w:r>
          </w:p>
        </w:tc>
        <w:tc>
          <w:tcPr>
            <w:tcW w:w="4023"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24"/>
                <w:sz w:val="21"/>
                <w:szCs w:val="21"/>
                <w:highlight w:val="none"/>
                <w:lang w:val="en-US" w:eastAsia="zh-CN" w:bidi="ar-SA"/>
              </w:rPr>
            </w:pPr>
            <w:r>
              <w:rPr>
                <w:rFonts w:hint="default" w:ascii="Times New Roman" w:hAnsi="Times New Roman" w:eastAsia="宋体" w:cs="Times New Roman"/>
                <w:b w:val="0"/>
                <w:bCs w:val="0"/>
                <w:color w:val="auto"/>
                <w:kern w:val="24"/>
                <w:sz w:val="21"/>
                <w:szCs w:val="21"/>
                <w:highlight w:val="none"/>
                <w:lang w:val="en-US" w:eastAsia="zh-CN" w:bidi="ar-SA"/>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铅</w:t>
            </w:r>
          </w:p>
        </w:tc>
        <w:tc>
          <w:tcPr>
            <w:tcW w:w="4023"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color w:val="auto"/>
                <w:kern w:val="24"/>
                <w:sz w:val="21"/>
                <w:szCs w:val="21"/>
                <w:highlight w:val="none"/>
                <w:lang w:val="en-US" w:eastAsia="zh-CN" w:bidi="ar-SA"/>
              </w:rPr>
            </w:pPr>
            <w:r>
              <w:rPr>
                <w:rFonts w:hint="default" w:ascii="Times New Roman" w:hAnsi="Times New Roman" w:eastAsia="宋体" w:cs="Times New Roman"/>
                <w:b w:val="0"/>
                <w:bCs w:val="0"/>
                <w:color w:val="auto"/>
                <w:kern w:val="24"/>
                <w:sz w:val="21"/>
                <w:szCs w:val="21"/>
                <w:highlight w:val="none"/>
                <w:lang w:val="en-US" w:eastAsia="zh-CN" w:bidi="ar-SA"/>
              </w:rPr>
              <w:t>0.2</w:t>
            </w:r>
          </w:p>
        </w:tc>
      </w:tr>
    </w:tbl>
    <w:p>
      <w:pPr>
        <w:keepNext w:val="0"/>
        <w:keepLines w:val="0"/>
        <w:pageBreakBefore w:val="0"/>
        <w:widowControl w:val="0"/>
        <w:shd w:val="clear"/>
        <w:tabs>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根据复测结果可知，建设项目区域地下水中氯化物、铅符合</w:t>
      </w:r>
      <w:r>
        <w:rPr>
          <w:rFonts w:hint="default" w:ascii="Times New Roman" w:hAnsi="Times New Roman" w:eastAsia="宋体" w:cs="Times New Roman"/>
          <w:color w:val="auto"/>
          <w:sz w:val="24"/>
          <w:szCs w:val="24"/>
          <w:highlight w:val="none"/>
        </w:rPr>
        <w:t>《地下水质量标准》（GB/T14848-2017)表1、表2</w:t>
      </w:r>
      <w:r>
        <w:rPr>
          <w:rFonts w:hint="default" w:ascii="Times New Roman" w:hAnsi="Times New Roman" w:eastAsia="宋体" w:cs="Times New Roman"/>
          <w:color w:val="auto"/>
          <w:sz w:val="24"/>
          <w:szCs w:val="24"/>
          <w:highlight w:val="none"/>
          <w:lang w:eastAsia="zh-CN"/>
        </w:rPr>
        <w:t>Ⅲ</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w:t>
      </w:r>
    </w:p>
    <w:p>
      <w:pPr>
        <w:keepNext w:val="0"/>
        <w:keepLines w:val="0"/>
        <w:pageBreakBefore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综上，从</w:t>
      </w:r>
      <w:r>
        <w:rPr>
          <w:rFonts w:hint="default" w:ascii="Times New Roman" w:hAnsi="Times New Roman" w:eastAsia="宋体" w:cs="Times New Roman"/>
          <w:color w:val="auto"/>
          <w:sz w:val="24"/>
          <w:szCs w:val="24"/>
          <w:highlight w:val="none"/>
        </w:rPr>
        <w:t>地下水监测结果可以看出，</w:t>
      </w:r>
      <w:r>
        <w:rPr>
          <w:rFonts w:hint="default" w:ascii="Times New Roman" w:hAnsi="Times New Roman" w:eastAsia="宋体" w:cs="Times New Roman"/>
          <w:color w:val="auto"/>
          <w:sz w:val="24"/>
          <w:szCs w:val="24"/>
          <w:highlight w:val="none"/>
          <w:lang w:eastAsia="zh-CN"/>
        </w:rPr>
        <w:t>该区域地下水环境各监测因子中</w:t>
      </w:r>
      <w:r>
        <w:rPr>
          <w:rFonts w:hint="default" w:ascii="Times New Roman" w:hAnsi="Times New Roman" w:eastAsia="宋体" w:cs="Times New Roman"/>
          <w:color w:val="auto"/>
          <w:sz w:val="24"/>
          <w:szCs w:val="24"/>
          <w:highlight w:val="none"/>
        </w:rPr>
        <w:t>溶解性总固体、高锰酸盐指数（耗氧量）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总硬度、</w:t>
      </w:r>
      <w:r>
        <w:rPr>
          <w:rFonts w:hint="default" w:ascii="Times New Roman" w:hAnsi="Times New Roman" w:eastAsia="宋体" w:cs="Times New Roman"/>
          <w:color w:val="auto"/>
          <w:sz w:val="24"/>
          <w:szCs w:val="24"/>
          <w:highlight w:val="none"/>
          <w:lang w:eastAsia="zh-CN"/>
        </w:rPr>
        <w:t>氟化物、硫酸盐、硝酸盐等指标</w:t>
      </w:r>
      <w:r>
        <w:rPr>
          <w:rFonts w:hint="default" w:ascii="Times New Roman" w:hAnsi="Times New Roman" w:eastAsia="宋体" w:cs="Times New Roman"/>
          <w:color w:val="auto"/>
          <w:sz w:val="24"/>
          <w:szCs w:val="24"/>
          <w:highlight w:val="none"/>
        </w:rPr>
        <w:t>超</w:t>
      </w:r>
      <w:r>
        <w:rPr>
          <w:rFonts w:hint="default" w:ascii="Times New Roman" w:hAnsi="Times New Roman" w:eastAsia="宋体" w:cs="Times New Roman"/>
          <w:color w:val="auto"/>
          <w:sz w:val="24"/>
          <w:szCs w:val="24"/>
          <w:highlight w:val="none"/>
          <w:lang w:eastAsia="zh-CN"/>
        </w:rPr>
        <w:t>过</w:t>
      </w:r>
      <w:r>
        <w:rPr>
          <w:rFonts w:hint="default" w:ascii="Times New Roman" w:hAnsi="Times New Roman" w:eastAsia="宋体" w:cs="Times New Roman"/>
          <w:color w:val="auto"/>
          <w:sz w:val="24"/>
          <w:szCs w:val="24"/>
          <w:highlight w:val="none"/>
        </w:rPr>
        <w:t>《地下水质量标准》（GB/T14848-2017</w:t>
      </w:r>
      <w:r>
        <w:rPr>
          <w:rFonts w:hint="default" w:ascii="Times New Roman" w:hAnsi="Times New Roman" w:eastAsia="宋体" w:cs="Times New Roman"/>
          <w:color w:val="auto"/>
          <w:sz w:val="24"/>
          <w:szCs w:val="24"/>
          <w:highlight w:val="none"/>
          <w:lang w:eastAsia="zh-CN"/>
        </w:rPr>
        <w:t>）Ⅲ</w:t>
      </w:r>
      <w:r>
        <w:rPr>
          <w:rFonts w:hint="default" w:ascii="Times New Roman" w:hAnsi="Times New Roman" w:eastAsia="宋体" w:cs="Times New Roman"/>
          <w:color w:val="auto"/>
          <w:sz w:val="24"/>
          <w:szCs w:val="24"/>
          <w:highlight w:val="none"/>
        </w:rPr>
        <w:t>类标准，其它所检因子均符合《地下水质量标准》（GB/T14848-2017</w:t>
      </w:r>
      <w:r>
        <w:rPr>
          <w:rFonts w:hint="default" w:ascii="Times New Roman" w:hAnsi="Times New Roman" w:eastAsia="宋体" w:cs="Times New Roman"/>
          <w:color w:val="auto"/>
          <w:sz w:val="24"/>
          <w:szCs w:val="24"/>
          <w:highlight w:val="none"/>
          <w:lang w:eastAsia="zh-CN"/>
        </w:rPr>
        <w:t>）Ⅲ</w:t>
      </w:r>
      <w:r>
        <w:rPr>
          <w:rFonts w:hint="default" w:ascii="Times New Roman" w:hAnsi="Times New Roman" w:eastAsia="宋体" w:cs="Times New Roman"/>
          <w:color w:val="auto"/>
          <w:sz w:val="24"/>
          <w:szCs w:val="24"/>
          <w:highlight w:val="none"/>
        </w:rPr>
        <w:t>类标准。</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超标原因：溶解性总固体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总硬度、</w:t>
      </w:r>
      <w:r>
        <w:rPr>
          <w:rFonts w:hint="default" w:ascii="Times New Roman" w:hAnsi="Times New Roman" w:eastAsia="宋体" w:cs="Times New Roman"/>
          <w:color w:val="auto"/>
          <w:sz w:val="24"/>
          <w:szCs w:val="24"/>
          <w:highlight w:val="none"/>
          <w:lang w:eastAsia="zh-CN"/>
        </w:rPr>
        <w:t>氟化物、硫酸盐、硝酸盐</w:t>
      </w:r>
      <w:r>
        <w:rPr>
          <w:rFonts w:hint="default" w:ascii="Times New Roman" w:hAnsi="Times New Roman" w:eastAsia="宋体" w:cs="Times New Roman"/>
          <w:color w:val="auto"/>
          <w:sz w:val="24"/>
          <w:szCs w:val="24"/>
          <w:highlight w:val="none"/>
        </w:rPr>
        <w:t>出现超标，是评价区含水层形成环境与现状地下水特征所决定的。高锰酸盐指数（耗氧量）超标，是由于评价区内浅层潜水含水层与浅层承压水含水层以湖积相为主，表明形成时为还原环境；地下水水位埋藏较浅，蒸发强烈、径流滞缓</w:t>
      </w:r>
      <w:r>
        <w:rPr>
          <w:rFonts w:hint="default" w:ascii="Times New Roman" w:hAnsi="Times New Roman" w:eastAsia="宋体" w:cs="Times New Roman"/>
          <w:color w:val="auto"/>
          <w:sz w:val="24"/>
          <w:szCs w:val="24"/>
          <w:highlight w:val="none"/>
          <w:lang w:val="en-US" w:eastAsia="zh-CN"/>
        </w:rPr>
        <w:t>。</w:t>
      </w:r>
    </w:p>
    <w:p>
      <w:pPr>
        <w:keepNext w:val="0"/>
        <w:shd w:val="clear"/>
        <w:tabs>
          <w:tab w:val="center" w:pos="4153"/>
          <w:tab w:val="right" w:pos="8306"/>
        </w:tabs>
        <w:ind w:firstLine="480"/>
        <w:rPr>
          <w:rFonts w:hint="default" w:ascii="Times New Roman" w:hAnsi="Times New Roman" w:eastAsia="宋体" w:cs="Times New Roman"/>
          <w:color w:val="auto"/>
          <w:highlight w:val="none"/>
          <w:lang w:val="en-US" w:eastAsia="zh-CN"/>
        </w:rPr>
        <w:sectPr>
          <w:footerReference r:id="rId11" w:type="even"/>
          <w:pgSz w:w="11906" w:h="16838"/>
          <w:pgMar w:top="1440" w:right="1797" w:bottom="1440" w:left="1797" w:header="851" w:footer="992" w:gutter="0"/>
          <w:pgNumType w:fmt="decimal"/>
          <w:cols w:space="425" w:num="1"/>
          <w:docGrid w:type="lines" w:linePitch="312" w:charSpace="0"/>
        </w:sectPr>
      </w:pPr>
    </w:p>
    <w:p>
      <w:pPr>
        <w:keepNext w:val="0"/>
        <w:shd w:val="clear"/>
        <w:tabs>
          <w:tab w:val="center" w:pos="4153"/>
          <w:tab w:val="right" w:pos="8306"/>
        </w:tabs>
        <w:ind w:left="0" w:leftChars="0" w:firstLine="0" w:firstLineChars="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drawing>
          <wp:anchor distT="0" distB="0" distL="114300" distR="114300" simplePos="0" relativeHeight="251771904" behindDoc="0" locked="0" layoutInCell="1" allowOverlap="1">
            <wp:simplePos x="0" y="0"/>
            <wp:positionH relativeFrom="column">
              <wp:posOffset>6479540</wp:posOffset>
            </wp:positionH>
            <wp:positionV relativeFrom="paragraph">
              <wp:posOffset>-35560</wp:posOffset>
            </wp:positionV>
            <wp:extent cx="1435100" cy="1574800"/>
            <wp:effectExtent l="0" t="0" r="12700" b="6350"/>
            <wp:wrapNone/>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rcRect l="3539" r="4555"/>
                    <a:stretch>
                      <a:fillRect/>
                    </a:stretch>
                  </pic:blipFill>
                  <pic:spPr>
                    <a:xfrm>
                      <a:off x="0" y="0"/>
                      <a:ext cx="1435100" cy="1574800"/>
                    </a:xfrm>
                    <a:prstGeom prst="rect">
                      <a:avLst/>
                    </a:prstGeom>
                    <a:noFill/>
                    <a:ln>
                      <a:noFill/>
                    </a:ln>
                  </pic:spPr>
                </pic:pic>
              </a:graphicData>
            </a:graphic>
          </wp:anchor>
        </w:drawing>
      </w:r>
      <w:r>
        <w:rPr>
          <w:rFonts w:hint="default" w:ascii="Times New Roman" w:hAnsi="Times New Roman" w:eastAsia="宋体" w:cs="Times New Roman"/>
          <w:color w:val="auto"/>
          <w:sz w:val="24"/>
        </w:rPr>
        <mc:AlternateContent>
          <mc:Choice Requires="wps">
            <w:drawing>
              <wp:anchor distT="0" distB="0" distL="114300" distR="114300" simplePos="0" relativeHeight="251769856" behindDoc="0" locked="0" layoutInCell="1" allowOverlap="1">
                <wp:simplePos x="0" y="0"/>
                <wp:positionH relativeFrom="column">
                  <wp:posOffset>1601470</wp:posOffset>
                </wp:positionH>
                <wp:positionV relativeFrom="paragraph">
                  <wp:posOffset>3453130</wp:posOffset>
                </wp:positionV>
                <wp:extent cx="1138555" cy="457835"/>
                <wp:effectExtent l="0" t="0" r="0" b="0"/>
                <wp:wrapNone/>
                <wp:docPr id="18" name="矩形 18"/>
                <wp:cNvGraphicFramePr/>
                <a:graphic xmlns:a="http://schemas.openxmlformats.org/drawingml/2006/main">
                  <a:graphicData uri="http://schemas.microsoft.com/office/word/2010/wordprocessingShape">
                    <wps:wsp>
                      <wps:cNvSpPr/>
                      <wps:spPr>
                        <a:xfrm>
                          <a:off x="0" y="0"/>
                          <a:ext cx="1138555" cy="457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地下水流向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1pt;margin-top:271.9pt;height:36.05pt;width:89.65pt;z-index:251769856;v-text-anchor:middle;mso-width-relative:page;mso-height-relative:page;" filled="f" stroked="f" coordsize="21600,21600" o:gfxdata="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4m9YE2gAAAAsB&#10;AAAPAAAAAAAAAAEAIAAAACIAAABkcnMvZG93bnJldi54bWxQSwECFAAUAAAACACHTuJAsz3GR1IC&#10;AACYBAAADgAAAAAAAAABACAAAAApAQAAZHJzL2Uyb0RvYy54bWxQSwUGAAAAAAYABgBZAQAA7QUA&#10;AAAA&#10;">
                <v:fill on="f" focussize="0,0"/>
                <v:stroke on="f" weight="2pt"/>
                <v:imagedata o:title=""/>
                <o:lock v:ext="edit" aspectratio="f"/>
                <v:textbox>
                  <w:txbxContent>
                    <w:p>
                      <w:pPr>
                        <w:jc w:val="center"/>
                        <w:rPr>
                          <w:rFonts w:hint="eastAsia" w:eastAsia="宋体"/>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地下水流向</w:t>
                      </w:r>
                    </w:p>
                  </w:txbxContent>
                </v:textbox>
              </v:rect>
            </w:pict>
          </mc:Fallback>
        </mc:AlternateContent>
      </w:r>
      <w:r>
        <w:rPr>
          <w:rFonts w:hint="default" w:ascii="Times New Roman" w:hAnsi="Times New Roman" w:eastAsia="宋体" w:cs="Times New Roman"/>
          <w:color w:val="auto"/>
        </w:rPr>
        <w:drawing>
          <wp:inline distT="0" distB="0" distL="114300" distR="114300">
            <wp:extent cx="6453505" cy="4932045"/>
            <wp:effectExtent l="0" t="0" r="4445" b="1905"/>
            <wp:docPr id="1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0"/>
                    <pic:cNvPicPr>
                      <a:picLocks noChangeAspect="1"/>
                    </pic:cNvPicPr>
                  </pic:nvPicPr>
                  <pic:blipFill>
                    <a:blip r:embed="rId31"/>
                    <a:stretch>
                      <a:fillRect/>
                    </a:stretch>
                  </pic:blipFill>
                  <pic:spPr>
                    <a:xfrm>
                      <a:off x="0" y="0"/>
                      <a:ext cx="6453505" cy="4932045"/>
                    </a:xfrm>
                    <a:prstGeom prst="rect">
                      <a:avLst/>
                    </a:prstGeom>
                    <a:noFill/>
                    <a:ln>
                      <a:noFill/>
                    </a:ln>
                  </pic:spPr>
                </pic:pic>
              </a:graphicData>
            </a:graphic>
          </wp:inline>
        </w:drawing>
      </w:r>
      <w:r>
        <w:rPr>
          <w:rFonts w:hint="default" w:ascii="Times New Roman" w:hAnsi="Times New Roman" w:eastAsia="宋体" w:cs="Times New Roman"/>
          <w:color w:val="auto"/>
          <w:sz w:val="24"/>
        </w:rPr>
        <mc:AlternateContent>
          <mc:Choice Requires="wps">
            <w:drawing>
              <wp:anchor distT="0" distB="0" distL="114300" distR="114300" simplePos="0" relativeHeight="251768832" behindDoc="0" locked="0" layoutInCell="1" allowOverlap="1">
                <wp:simplePos x="0" y="0"/>
                <wp:positionH relativeFrom="column">
                  <wp:posOffset>2021205</wp:posOffset>
                </wp:positionH>
                <wp:positionV relativeFrom="paragraph">
                  <wp:posOffset>3143885</wp:posOffset>
                </wp:positionV>
                <wp:extent cx="328930" cy="419100"/>
                <wp:effectExtent l="0" t="0" r="13970" b="19050"/>
                <wp:wrapNone/>
                <wp:docPr id="15" name="直接箭头连接符 15"/>
                <wp:cNvGraphicFramePr/>
                <a:graphic xmlns:a="http://schemas.openxmlformats.org/drawingml/2006/main">
                  <a:graphicData uri="http://schemas.microsoft.com/office/word/2010/wordprocessingShape">
                    <wps:wsp>
                      <wps:cNvCnPr/>
                      <wps:spPr>
                        <a:xfrm flipH="1" flipV="1">
                          <a:off x="0" y="0"/>
                          <a:ext cx="328930" cy="4191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9.15pt;margin-top:247.55pt;height:33pt;width:25.9pt;z-index:251768832;mso-width-relative:page;mso-height-relative:page;" filled="f" stroked="t" coordsize="21600,21600" o:gfxdata="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fJ2wAAAAsBAAAPAAAAAAAAAAEAIAAA&#10;ACIAAABkcnMvZG93bnJldi54bWxQSwECFAAUAAAACACHTuJAX3V8DQkCAADiAwAADgAAAAAAAAAB&#10;ACAAAAAqAQAAZHJzL2Uyb0RvYy54bWxQSwUGAAAAAAYABgBZAQAApQUAAAAA&#10;">
                <v:fill on="f" focussize="0,0"/>
                <v:stroke weight="1.5pt" color="#FFFF00 [3204]" joinstyle="round" endarrow="open"/>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42208" behindDoc="0" locked="0" layoutInCell="1" allowOverlap="1">
                <wp:simplePos x="0" y="0"/>
                <wp:positionH relativeFrom="column">
                  <wp:posOffset>4191000</wp:posOffset>
                </wp:positionH>
                <wp:positionV relativeFrom="paragraph">
                  <wp:posOffset>2099945</wp:posOffset>
                </wp:positionV>
                <wp:extent cx="107950" cy="144145"/>
                <wp:effectExtent l="12700" t="12700" r="12700" b="14605"/>
                <wp:wrapNone/>
                <wp:docPr id="176" name="菱形 176"/>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30pt;margin-top:165.35pt;height:11.35pt;width:8.5pt;z-index:251742208;v-text-anchor:middle;mso-width-relative:page;mso-height-relative:page;" fillcolor="#FFFF00" filled="t" stroked="t" coordsize="21600,21600" o:gfxdata="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qj889gAAAALAQAADwAAAAAAAAABACAAAAAiAAAAZHJzL2Rvd25yZXYueG1s&#10;UEsBAhQAFAAAAAgAh07iQIWqEItqAgAA4wQAAA4AAAAAAAAAAQAgAAAAJwEAAGRycy9lMm9Eb2Mu&#10;eG1sUEsFBgAAAAAGAAYAWQEAAAMGA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41184" behindDoc="0" locked="0" layoutInCell="1" allowOverlap="1">
                <wp:simplePos x="0" y="0"/>
                <wp:positionH relativeFrom="column">
                  <wp:posOffset>3535045</wp:posOffset>
                </wp:positionH>
                <wp:positionV relativeFrom="paragraph">
                  <wp:posOffset>2423160</wp:posOffset>
                </wp:positionV>
                <wp:extent cx="107950" cy="144145"/>
                <wp:effectExtent l="12700" t="12700" r="12700" b="14605"/>
                <wp:wrapNone/>
                <wp:docPr id="175" name="菱形 175"/>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78.35pt;margin-top:190.8pt;height:11.35pt;width:8.5pt;z-index:251741184;v-text-anchor:middle;mso-width-relative:page;mso-height-relative:page;" fillcolor="#FFFF00" filled="t" stroked="t" coordsize="21600,21600" o:gfxdata="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I4qM9gAAAALAQAADwAAAAAAAAABACAAAAAiAAAAZHJzL2Rvd25yZXYueG1s&#10;UEsBAhQAFAAAAAgAh07iQJVz3W1qAgAA4wQAAA4AAAAAAAAAAQAgAAAAJwEAAGRycy9lMm9Eb2Mu&#10;eG1sUEsFBgAAAAAGAAYAWQEAAAMGA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3056" behindDoc="0" locked="0" layoutInCell="1" allowOverlap="1">
                <wp:simplePos x="0" y="0"/>
                <wp:positionH relativeFrom="column">
                  <wp:posOffset>3165475</wp:posOffset>
                </wp:positionH>
                <wp:positionV relativeFrom="paragraph">
                  <wp:posOffset>2216785</wp:posOffset>
                </wp:positionV>
                <wp:extent cx="107950" cy="144145"/>
                <wp:effectExtent l="12700" t="12700" r="12700" b="14605"/>
                <wp:wrapNone/>
                <wp:docPr id="40" name="菱形 40"/>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49.25pt;margin-top:174.55pt;height:11.35pt;width:8.5pt;z-index:251693056;v-text-anchor:middle;mso-width-relative:page;mso-height-relative:page;" fillcolor="#FFFF00" filled="t" stroked="t" coordsize="21600,21600" o:gfxdata="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JQQz/YAAAACwEAAA8AAAAAAAAAAQAgAAAAIgAAAGRycy9kb3ducmV2LnhtbFBL&#10;AQIUABQAAAAIAIdO4kBv6NFuaAIAAOEEAAAOAAAAAAAAAAEAIAAAACcBAABkcnMvZTJvRG9jLnht&#10;bFBLBQYAAAAABgAGAFkBAAABBg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9136" behindDoc="0" locked="0" layoutInCell="1" allowOverlap="1">
                <wp:simplePos x="0" y="0"/>
                <wp:positionH relativeFrom="column">
                  <wp:posOffset>3461385</wp:posOffset>
                </wp:positionH>
                <wp:positionV relativeFrom="paragraph">
                  <wp:posOffset>2346325</wp:posOffset>
                </wp:positionV>
                <wp:extent cx="107950" cy="144145"/>
                <wp:effectExtent l="12700" t="12700" r="12700" b="14605"/>
                <wp:wrapNone/>
                <wp:docPr id="173" name="菱形 173"/>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72.55pt;margin-top:184.75pt;height:11.35pt;width:8.5pt;z-index:251739136;v-text-anchor:middle;mso-width-relative:page;mso-height-relative:page;" fillcolor="#00B050" filled="t" stroked="t" coordsize="21600,21600" o:gfxdata="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hZtx92AAAAAsBAAAPAAAAAAAAAAEAIAAAACIAAABkcnMvZG93bnJl&#10;di54bWxQSwECFAAUAAAACACHTuJA0fSCLG8CAADuBAAADgAAAAAAAAABACAAAAAnAQAAZHJzL2Uy&#10;b0RvYy54bWxQSwUGAAAAAAYABgBZAQAACAYAAAAA&#10;">
                <v:fill on="t" focussize="0,0"/>
                <v:stroke weight="2pt" color="#000000 [3213]" joinstyle="round"/>
                <v:imagedata o:title=""/>
                <o:lock v:ext="edit" aspectratio="f"/>
                <v:textbo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3309620</wp:posOffset>
                </wp:positionH>
                <wp:positionV relativeFrom="paragraph">
                  <wp:posOffset>2677160</wp:posOffset>
                </wp:positionV>
                <wp:extent cx="107950" cy="144145"/>
                <wp:effectExtent l="12700" t="12700" r="12700" b="14605"/>
                <wp:wrapNone/>
                <wp:docPr id="84" name="菱形 84"/>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60.6pt;margin-top:210.8pt;height:11.35pt;width:8.5pt;z-index:251662336;v-text-anchor:middle;mso-width-relative:page;mso-height-relative:page;" fillcolor="#00B050" filled="t" stroked="t" coordsize="21600,21600" o:gfxdata="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Yn+MHYAAAACwEAAA8AAAAAAAAAAQAgAAAAIgAAAGRycy9kb3ducmV2&#10;LnhtbFBLAQIUABQAAAAIAIdO4kA15WA5bgIAAOwEAAAOAAAAAAAAAAEAIAAAACcBAABkcnMvZTJv&#10;RG9jLnhtbFBLBQYAAAAABgAGAFkBAAAHBgAAAAA=&#10;">
                <v:fill on="t" focussize="0,0"/>
                <v:stroke weight="2pt" color="#000000 [3213]" joinstyle="round"/>
                <v:imagedata o:title=""/>
                <o:lock v:ext="edit" aspectratio="f"/>
                <v:textbo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40160" behindDoc="0" locked="0" layoutInCell="1" allowOverlap="1">
                <wp:simplePos x="0" y="0"/>
                <wp:positionH relativeFrom="column">
                  <wp:posOffset>3267075</wp:posOffset>
                </wp:positionH>
                <wp:positionV relativeFrom="paragraph">
                  <wp:posOffset>2328545</wp:posOffset>
                </wp:positionV>
                <wp:extent cx="107950" cy="144145"/>
                <wp:effectExtent l="12700" t="12700" r="12700" b="14605"/>
                <wp:wrapNone/>
                <wp:docPr id="174" name="菱形 174"/>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57.25pt;margin-top:183.35pt;height:11.35pt;width:8.5pt;z-index:251740160;v-text-anchor:middle;mso-width-relative:page;mso-height-relative:page;" fillcolor="#00B050" filled="t" stroked="t" coordsize="21600,21600" o:gfxdata="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WWZN7YAAAACwEAAA8AAAAAAAAAAQAgAAAAIgAAAGRycy9kb3ducmV2&#10;LnhtbFBLAQIUABQAAAAIAIdO4kDcPbUvbgIAAO4EAAAOAAAAAAAAAAEAIAAAACcBAABkcnMvZTJv&#10;RG9jLnhtbFBLBQYAAAAABgAGAFkBAAAHBgAAAAA=&#10;">
                <v:fill on="t" focussize="0,0"/>
                <v:stroke weight="2pt" color="#000000 [3213]" joinstyle="round"/>
                <v:imagedata o:title=""/>
                <o:lock v:ext="edit" aspectratio="f"/>
                <v:textbo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3216275</wp:posOffset>
                </wp:positionH>
                <wp:positionV relativeFrom="paragraph">
                  <wp:posOffset>2460625</wp:posOffset>
                </wp:positionV>
                <wp:extent cx="107950" cy="107950"/>
                <wp:effectExtent l="12700" t="12700" r="12700" b="12700"/>
                <wp:wrapNone/>
                <wp:docPr id="42" name="椭圆 4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3.25pt;margin-top:193.75pt;height:8.5pt;width:8.5pt;z-index:251660288;v-text-anchor:middle;mso-width-relative:page;mso-height-relative:page;" fillcolor="#FF0000" filled="t" stroked="t" coordsize="21600,21600" o:gfxdata="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B5fzjaAAAACwEAAA8AAAAAAAAAAQAgAAAAIgAAAGRycy9kb3ducmV2Lnht&#10;bFBLAQIUABQAAAAIAIdO4kCl74OLaQIAAOwEAAAOAAAAAAAAAAEAIAAAACkBAABkcnMvZTJvRG9j&#10;LnhtbFBLBQYAAAAABgAGAFkBAAAEBgAAAAA=&#10;">
                <v:fill on="t" focussize="0,0"/>
                <v:stroke weight="2pt" color="#000000 [3213]" joinstyle="round"/>
                <v:imagedata o:title=""/>
                <o:lock v:ext="edit" aspectratio="f"/>
                <v:textbo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8112" behindDoc="0" locked="0" layoutInCell="1" allowOverlap="1">
                <wp:simplePos x="0" y="0"/>
                <wp:positionH relativeFrom="column">
                  <wp:posOffset>8365490</wp:posOffset>
                </wp:positionH>
                <wp:positionV relativeFrom="paragraph">
                  <wp:posOffset>4684395</wp:posOffset>
                </wp:positionV>
                <wp:extent cx="107950" cy="144145"/>
                <wp:effectExtent l="12700" t="12700" r="12700" b="14605"/>
                <wp:wrapNone/>
                <wp:docPr id="170" name="菱形 170"/>
                <wp:cNvGraphicFramePr/>
                <a:graphic xmlns:a="http://schemas.openxmlformats.org/drawingml/2006/main">
                  <a:graphicData uri="http://schemas.microsoft.com/office/word/2010/wordprocessingShape">
                    <wps:wsp>
                      <wps:cNvSpPr/>
                      <wps:spPr>
                        <a:xfrm>
                          <a:off x="0" y="0"/>
                          <a:ext cx="107950" cy="144145"/>
                        </a:xfrm>
                        <a:prstGeom prst="diamond">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58.7pt;margin-top:368.85pt;height:11.35pt;width:8.5pt;z-index:251738112;v-text-anchor:middle;mso-width-relative:page;mso-height-relative:page;" fillcolor="#00B050" filled="t" stroked="t" coordsize="21600,21600" o:gfxdata="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YZIofYAAAADQEAAA8AAAAAAAAAAQAgAAAAIgAAAGRycy9kb3ducmV2LnhtbFBL&#10;AQIUABQAAAAIAIdO4kDgdSOXaAIAAOMEAAAOAAAAAAAAAAEAIAAAACcBAABkcnMvZTJvRG9jLnht&#10;bFBLBQYAAAAABgAGAFkBAAABBg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6912" behindDoc="0" locked="0" layoutInCell="1" allowOverlap="1">
                <wp:simplePos x="0" y="0"/>
                <wp:positionH relativeFrom="column">
                  <wp:posOffset>8650605</wp:posOffset>
                </wp:positionH>
                <wp:positionV relativeFrom="paragraph">
                  <wp:posOffset>4279265</wp:posOffset>
                </wp:positionV>
                <wp:extent cx="107950" cy="144145"/>
                <wp:effectExtent l="12700" t="12700" r="12700" b="14605"/>
                <wp:wrapNone/>
                <wp:docPr id="38" name="菱形 38"/>
                <wp:cNvGraphicFramePr/>
                <a:graphic xmlns:a="http://schemas.openxmlformats.org/drawingml/2006/main">
                  <a:graphicData uri="http://schemas.microsoft.com/office/word/2010/wordprocessingShape">
                    <wps:wsp>
                      <wps:cNvSpPr/>
                      <wps:spPr>
                        <a:xfrm>
                          <a:off x="6957695" y="2499360"/>
                          <a:ext cx="107950" cy="144145"/>
                        </a:xfrm>
                        <a:prstGeom prst="diamond">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81.15pt;margin-top:336.95pt;height:11.35pt;width:8.5pt;z-index:251686912;v-text-anchor:middle;mso-width-relative:page;mso-height-relative:page;" fillcolor="#FFFF00" filled="t" stroked="t" coordsize="21600,21600" o:gfxdata="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8j8Np2AAAAA0BAAAPAAAAAAAAAAEAIAAAACIAAABkcnMv&#10;ZG93bnJldi54bWxQSwECFAAUAAAACACHTuJASp5lLXUCAADtBAAADgAAAAAAAAABACAAAAAnAQAA&#10;ZHJzL2Uyb0RvYy54bWxQSwUGAAAAAAYABgBZAQAADgY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4864" behindDoc="0" locked="0" layoutInCell="1" allowOverlap="1">
                <wp:simplePos x="0" y="0"/>
                <wp:positionH relativeFrom="column">
                  <wp:posOffset>8344535</wp:posOffset>
                </wp:positionH>
                <wp:positionV relativeFrom="paragraph">
                  <wp:posOffset>3887470</wp:posOffset>
                </wp:positionV>
                <wp:extent cx="215900" cy="107950"/>
                <wp:effectExtent l="12700" t="0" r="19050" b="12700"/>
                <wp:wrapNone/>
                <wp:docPr id="36" name="矩形 36"/>
                <wp:cNvGraphicFramePr/>
                <a:graphic xmlns:a="http://schemas.openxmlformats.org/drawingml/2006/main">
                  <a:graphicData uri="http://schemas.microsoft.com/office/word/2010/wordprocessingShape">
                    <wps:wsp>
                      <wps:cNvSpPr/>
                      <wps:spPr>
                        <a:xfrm>
                          <a:off x="0" y="0"/>
                          <a:ext cx="215900" cy="1079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7.05pt;margin-top:306.1pt;height:8.5pt;width:17pt;z-index:251684864;v-text-anchor:middle;mso-width-relative:page;mso-height-relative:page;" filled="f" stroked="t" coordsize="21600,21600" o:gfxdata="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acve2QAAAA0BAAAPAAAAAAAAAAEAIAAAACIAAABkcnMvZG93bnJldi54bWxQSwECFAAUAAAACACH&#10;TuJAxd1w1lwCAAC1BAAADgAAAAAAAAABACAAAAAoAQAAZHJzL2Uyb0RvYy54bWxQSwUGAAAAAAYA&#10;BgBZAQAA9gUAAAAA&#10;">
                <v:fill on="f" focussize="0,0"/>
                <v:stroke weight="2pt" color="#FFFF0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5888" behindDoc="0" locked="0" layoutInCell="1" allowOverlap="1">
                <wp:simplePos x="0" y="0"/>
                <wp:positionH relativeFrom="column">
                  <wp:posOffset>8198485</wp:posOffset>
                </wp:positionH>
                <wp:positionV relativeFrom="paragraph">
                  <wp:posOffset>3500120</wp:posOffset>
                </wp:positionV>
                <wp:extent cx="107950" cy="107950"/>
                <wp:effectExtent l="12700" t="12700" r="12700" b="12700"/>
                <wp:wrapNone/>
                <wp:docPr id="37" name="椭圆 37"/>
                <wp:cNvGraphicFramePr/>
                <a:graphic xmlns:a="http://schemas.openxmlformats.org/drawingml/2006/main">
                  <a:graphicData uri="http://schemas.microsoft.com/office/word/2010/wordprocessingShape">
                    <wps:wsp>
                      <wps:cNvSpPr/>
                      <wps:spPr>
                        <a:xfrm>
                          <a:off x="7235190" y="2292985"/>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5.55pt;margin-top:275.6pt;height:8.5pt;width:8.5pt;z-index:251685888;v-text-anchor:middle;mso-width-relative:page;mso-height-relative:page;" fillcolor="#FF0000" filled="t" stroked="t" coordsize="21600,21600" o:gfxdata="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5tneOdoAAAANAQAADwAAAAAAAAABACAAAAAiAAAAZHJzL2Rv&#10;d25yZXYueG1sUEsBAhQAFAAAAAgAh07iQETyTYlxAgAA7QQAAA4AAAAAAAAAAQAgAAAAKQEAAGRy&#10;cy9lMm9Eb2MueG1sUEsFBgAAAAAGAAYAWQEAAAwGAAAAAA==&#1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3840" behindDoc="0" locked="0" layoutInCell="1" allowOverlap="1">
                <wp:simplePos x="0" y="0"/>
                <wp:positionH relativeFrom="column">
                  <wp:posOffset>8184515</wp:posOffset>
                </wp:positionH>
                <wp:positionV relativeFrom="paragraph">
                  <wp:posOffset>3096260</wp:posOffset>
                </wp:positionV>
                <wp:extent cx="215900" cy="107950"/>
                <wp:effectExtent l="12700" t="0" r="19050" b="12700"/>
                <wp:wrapNone/>
                <wp:docPr id="35" name="矩形 35"/>
                <wp:cNvGraphicFramePr/>
                <a:graphic xmlns:a="http://schemas.openxmlformats.org/drawingml/2006/main">
                  <a:graphicData uri="http://schemas.microsoft.com/office/word/2010/wordprocessingShape">
                    <wps:wsp>
                      <wps:cNvSpPr/>
                      <wps:spPr>
                        <a:xfrm>
                          <a:off x="0" y="0"/>
                          <a:ext cx="21590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4.45pt;margin-top:243.8pt;height:8.5pt;width:17pt;z-index:251683840;v-text-anchor:middle;mso-width-relative:page;mso-height-relative:page;" filled="f" stroked="t" coordsize="21600,21600" o:gfxdata="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UIW+L2wAAAA0BAAAPAAAAAAAAAAEAIAAAACIAAABkcnMvZG93bnJldi54bWxQSwECFAAUAAAA&#10;CACHTuJAHd8x3l0CAAC1BAAADgAAAAAAAAABACAAAAAqAQAAZHJzL2Uyb0RvYy54bWxQSwUGAAAA&#10;AAYABgBZAQAA+QUAAAAA&#10;">
                <v:fill on="f" focussize="0,0"/>
                <v:stroke weight="2pt" color="#FF000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7088" behindDoc="0" locked="0" layoutInCell="1" allowOverlap="1">
                <wp:simplePos x="0" y="0"/>
                <wp:positionH relativeFrom="column">
                  <wp:posOffset>7557135</wp:posOffset>
                </wp:positionH>
                <wp:positionV relativeFrom="paragraph">
                  <wp:posOffset>2694305</wp:posOffset>
                </wp:positionV>
                <wp:extent cx="215900" cy="107950"/>
                <wp:effectExtent l="12700" t="12700" r="19050" b="12700"/>
                <wp:wrapNone/>
                <wp:docPr id="168" name="矩形 168"/>
                <wp:cNvGraphicFramePr/>
                <a:graphic xmlns:a="http://schemas.openxmlformats.org/drawingml/2006/main">
                  <a:graphicData uri="http://schemas.microsoft.com/office/word/2010/wordprocessingShape">
                    <wps:wsp>
                      <wps:cNvSpPr/>
                      <wps:spPr>
                        <a:xfrm>
                          <a:off x="0" y="0"/>
                          <a:ext cx="215900" cy="107950"/>
                        </a:xfrm>
                        <a:prstGeom prst="rect">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5.05pt;margin-top:212.15pt;height:8.5pt;width:17pt;z-index:251737088;v-text-anchor:middle;mso-width-relative:page;mso-height-relative:page;" fillcolor="#00B0F0" filled="t" stroked="t" coordsize="21600,21600" o:gfxdata="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0atvNoAAAANAQAADwAAAAAAAAABACAAAAAiAAAAZHJzL2Rvd25yZXYueG1s&#10;UEsBAhQAFAAAAAgAh07iQLXTD05oAgAA4AQAAA4AAAAAAAAAAQAgAAAAKQEAAGRycy9lMm9Eb2Mu&#10;eG1sUEsFBgAAAAAGAAYAWQEAAAMGAAAAAA==&#10;">
                <v:fill on="t" focussize="0,0"/>
                <v:stroke weight="2pt" color="#FF0000 [3204]" joinstyle="round"/>
                <v:imagedata o:title=""/>
                <o:lock v:ext="edit" aspectratio="f"/>
              </v:rect>
            </w:pict>
          </mc:Fallback>
        </mc:AlternateContent>
      </w:r>
      <w:r>
        <w:rPr>
          <w:rFonts w:hint="default" w:ascii="Times New Roman" w:hAnsi="Times New Roman" w:eastAsia="宋体" w:cs="Times New Roman"/>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6811645</wp:posOffset>
                </wp:positionH>
                <wp:positionV relativeFrom="paragraph">
                  <wp:posOffset>2103120</wp:posOffset>
                </wp:positionV>
                <wp:extent cx="2068195" cy="2844800"/>
                <wp:effectExtent l="12700" t="12700" r="14605" b="19050"/>
                <wp:wrapNone/>
                <wp:docPr id="33" name="矩形 33"/>
                <wp:cNvGraphicFramePr/>
                <a:graphic xmlns:a="http://schemas.openxmlformats.org/drawingml/2006/main">
                  <a:graphicData uri="http://schemas.microsoft.com/office/word/2010/wordprocessingShape">
                    <wps:wsp>
                      <wps:cNvSpPr/>
                      <wps:spPr>
                        <a:xfrm>
                          <a:off x="0" y="0"/>
                          <a:ext cx="2068195" cy="2844800"/>
                        </a:xfrm>
                        <a:prstGeom prst="rect">
                          <a:avLst/>
                        </a:prstGeom>
                        <a:solidFill>
                          <a:srgbClr val="BFBFBF"/>
                        </a:solidFill>
                        <a:ln w="2540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360" w:lineRule="auto"/>
                              <w:jc w:val="center"/>
                              <w:textAlignment w:val="auto"/>
                              <w:rPr>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eastAsia="宋体"/>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厂区位置</w:t>
                            </w:r>
                          </w:p>
                          <w:p>
                            <w:pPr>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大气环境评价范围</w:t>
                            </w:r>
                          </w:p>
                          <w:p>
                            <w:pPr>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eastAsia="宋体"/>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p>
                            <w:pPr>
                              <w:spacing w:line="360" w:lineRule="auto"/>
                              <w:ind w:firstLine="0" w:firstLineChars="0"/>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地下水环境评价范</w:t>
                            </w: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围</w:t>
                            </w:r>
                          </w:p>
                          <w:p>
                            <w:pPr>
                              <w:spacing w:line="360" w:lineRule="auto"/>
                              <w:ind w:firstLine="0" w:firstLineChars="0"/>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地下水水质水位监测点位</w:t>
                            </w:r>
                          </w:p>
                          <w:p>
                            <w:pPr>
                              <w:spacing w:line="360" w:lineRule="auto"/>
                              <w:ind w:firstLine="0" w:firstLineChars="0"/>
                              <w:rPr>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地下水水位监测点位</w:t>
                            </w:r>
                          </w:p>
                          <w:p>
                            <w:pPr>
                              <w:spacing w:line="360" w:lineRule="auto"/>
                              <w:ind w:firstLine="0" w:firstLineChars="0"/>
                              <w:rPr>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anchor="ctr" upright="1"/>
                    </wps:wsp>
                  </a:graphicData>
                </a:graphic>
              </wp:anchor>
            </w:drawing>
          </mc:Choice>
          <mc:Fallback>
            <w:pict>
              <v:rect id="_x0000_s1026" o:spid="_x0000_s1026" o:spt="1" style="position:absolute;left:0pt;margin-left:536.35pt;margin-top:165.6pt;height:224pt;width:162.85pt;z-index:251682816;v-text-anchor:middle;mso-width-relative:page;mso-height-relative:page;" fillcolor="#BFBFBF" filled="t" stroked="t" coordsize="21600,21600" o:gfxdata="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9dUpK2wAAAA0BAAAPAAAAAAAA&#10;AAEAIAAAACIAAABkcnMvZG93bnJldi54bWxQSwECFAAUAAAACACHTuJAvZxP9w8CAAA6BAAADgAA&#10;AAAAAAABACAAAAAqAQAAZHJzL2Uyb0RvYy54bWxQSwUGAAAAAAYABgBZAQAAqwUAAAAA&#10;">
                <v:fill on="t" focussize="0,0"/>
                <v:stroke weight="2pt" color="#000000"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auto"/>
                        <w:jc w:val="center"/>
                        <w:textAlignment w:val="auto"/>
                        <w:rPr>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eastAsia="宋体"/>
                          <w:b/>
                          <w:bCs/>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厂区位置</w:t>
                      </w:r>
                    </w:p>
                    <w:p>
                      <w:pPr>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大气环境评价范围</w:t>
                      </w:r>
                    </w:p>
                    <w:p>
                      <w:pPr>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eastAsia="宋体"/>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p>
                      <w:pPr>
                        <w:spacing w:line="360" w:lineRule="auto"/>
                        <w:ind w:firstLine="0" w:firstLineChars="0"/>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地下水环境评价范</w:t>
                      </w: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围</w:t>
                      </w:r>
                    </w:p>
                    <w:p>
                      <w:pPr>
                        <w:spacing w:line="360" w:lineRule="auto"/>
                        <w:ind w:firstLine="0" w:firstLineChars="0"/>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地下水水质水位监测点位</w:t>
                      </w:r>
                    </w:p>
                    <w:p>
                      <w:pPr>
                        <w:spacing w:line="360" w:lineRule="auto"/>
                        <w:ind w:firstLine="0" w:firstLineChars="0"/>
                        <w:rPr>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地下水水位监测点位</w:t>
                      </w:r>
                    </w:p>
                    <w:p>
                      <w:pPr>
                        <w:spacing w:line="360" w:lineRule="auto"/>
                        <w:ind w:firstLine="0" w:firstLineChars="0"/>
                        <w:rPr>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rect>
            </w:pict>
          </mc:Fallback>
        </mc:AlternateContent>
      </w:r>
    </w:p>
    <w:p>
      <w:pPr>
        <w:keepNext w:val="0"/>
        <w:shd w:val="clear"/>
        <w:tabs>
          <w:tab w:val="center" w:pos="4153"/>
          <w:tab w:val="right" w:pos="8306"/>
        </w:tabs>
        <w:ind w:left="0" w:leftChars="0" w:firstLine="0" w:firstLineChars="0"/>
        <w:jc w:val="center"/>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图4.3-1  环境空气和地下水环境布点图</w:t>
      </w:r>
    </w:p>
    <w:p>
      <w:pPr>
        <w:keepNext w:val="0"/>
        <w:shd w:val="clear"/>
        <w:tabs>
          <w:tab w:val="center" w:pos="4153"/>
          <w:tab w:val="right" w:pos="8306"/>
        </w:tabs>
        <w:ind w:firstLine="480"/>
        <w:rPr>
          <w:rFonts w:hint="default" w:ascii="Times New Roman" w:hAnsi="Times New Roman" w:eastAsia="宋体" w:cs="Times New Roman"/>
          <w:color w:val="auto"/>
          <w:highlight w:val="none"/>
          <w:lang w:val="en-US" w:eastAsia="zh-CN"/>
        </w:rPr>
        <w:sectPr>
          <w:pgSz w:w="16838" w:h="11906" w:orient="landscape"/>
          <w:pgMar w:top="1797" w:right="1440" w:bottom="1797" w:left="1440" w:header="851" w:footer="992" w:gutter="0"/>
          <w:pgNumType w:fmt="decimal"/>
          <w:cols w:space="425" w:num="1"/>
          <w:docGrid w:type="lines" w:linePitch="312" w:charSpace="0"/>
        </w:sectPr>
      </w:pPr>
    </w:p>
    <w:p>
      <w:pPr>
        <w:pStyle w:val="5"/>
        <w:shd w:val="clear"/>
        <w:spacing w:line="360" w:lineRule="auto"/>
        <w:rPr>
          <w:rFonts w:hint="default" w:ascii="Times New Roman" w:hAnsi="Times New Roman" w:eastAsia="宋体" w:cs="Times New Roman"/>
          <w:color w:val="auto"/>
          <w:highlight w:val="none"/>
        </w:rPr>
      </w:pPr>
      <w:bookmarkStart w:id="220" w:name="_Toc23316"/>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土壤</w:t>
      </w:r>
      <w:r>
        <w:rPr>
          <w:rFonts w:hint="default" w:ascii="Times New Roman" w:hAnsi="Times New Roman" w:eastAsia="宋体" w:cs="Times New Roman"/>
          <w:color w:val="auto"/>
          <w:highlight w:val="none"/>
        </w:rPr>
        <w:t>环境质量现状监测与评价</w:t>
      </w:r>
      <w:bookmarkEnd w:id="220"/>
    </w:p>
    <w:p>
      <w:pPr>
        <w:pStyle w:val="6"/>
        <w:keepLines w:val="0"/>
        <w:shd w:val="clea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eastAsia="zh-CN"/>
        </w:rPr>
        <w:t>土壤</w:t>
      </w:r>
      <w:r>
        <w:rPr>
          <w:rFonts w:hint="default" w:ascii="Times New Roman" w:hAnsi="Times New Roman" w:eastAsia="宋体" w:cs="Times New Roman"/>
          <w:color w:val="auto"/>
          <w:highlight w:val="none"/>
        </w:rPr>
        <w:t>环境质量现状监测</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w:t>
      </w:r>
      <w:r>
        <w:rPr>
          <w:rFonts w:hint="default" w:ascii="Times New Roman" w:hAnsi="Times New Roman" w:eastAsia="宋体" w:cs="Times New Roman"/>
          <w:color w:val="auto"/>
          <w:kern w:val="0"/>
          <w:sz w:val="24"/>
          <w:highlight w:val="none"/>
          <w:lang w:eastAsia="zh-CN"/>
        </w:rPr>
        <w:t>土壤</w:t>
      </w:r>
      <w:r>
        <w:rPr>
          <w:rFonts w:hint="default" w:ascii="Times New Roman" w:hAnsi="Times New Roman" w:eastAsia="宋体" w:cs="Times New Roman"/>
          <w:color w:val="auto"/>
          <w:kern w:val="0"/>
          <w:sz w:val="24"/>
          <w:highlight w:val="none"/>
        </w:rPr>
        <w:t>环境质量现状数据</w:t>
      </w:r>
      <w:r>
        <w:rPr>
          <w:rFonts w:hint="default" w:ascii="Times New Roman" w:hAnsi="Times New Roman" w:eastAsia="宋体" w:cs="Times New Roman"/>
          <w:color w:val="auto"/>
          <w:kern w:val="0"/>
          <w:sz w:val="24"/>
          <w:highlight w:val="none"/>
          <w:lang w:val="en-US" w:eastAsia="zh-CN"/>
        </w:rPr>
        <w:t>委托</w:t>
      </w:r>
      <w:r>
        <w:rPr>
          <w:rFonts w:hint="default" w:ascii="Times New Roman" w:hAnsi="Times New Roman" w:eastAsia="宋体" w:cs="Times New Roman"/>
          <w:color w:val="auto"/>
          <w:sz w:val="24"/>
          <w:highlight w:val="none"/>
          <w:lang w:val="en-US" w:eastAsia="zh-CN"/>
        </w:rPr>
        <w:t>内蒙古华智鼎环保科技有限公司</w:t>
      </w:r>
      <w:r>
        <w:rPr>
          <w:rFonts w:hint="default" w:ascii="Times New Roman" w:hAnsi="Times New Roman" w:eastAsia="宋体" w:cs="Times New Roman"/>
          <w:color w:val="auto"/>
          <w:kern w:val="0"/>
          <w:sz w:val="24"/>
          <w:highlight w:val="none"/>
          <w:lang w:val="en-US" w:eastAsia="zh-CN"/>
        </w:rPr>
        <w:t>进行监测，采样时间为</w:t>
      </w:r>
      <w:r>
        <w:rPr>
          <w:rFonts w:hint="default" w:ascii="Times New Roman" w:hAnsi="Times New Roman" w:eastAsia="宋体" w:cs="Times New Roman"/>
          <w:color w:val="auto"/>
          <w:kern w:val="0"/>
          <w:sz w:val="24"/>
          <w:highlight w:val="none"/>
        </w:rPr>
        <w:t>20</w:t>
      </w:r>
      <w:r>
        <w:rPr>
          <w:rFonts w:hint="default" w:ascii="Times New Roman" w:hAnsi="Times New Roman" w:eastAsia="宋体" w:cs="Times New Roman"/>
          <w:color w:val="auto"/>
          <w:kern w:val="0"/>
          <w:sz w:val="24"/>
          <w:highlight w:val="none"/>
          <w:lang w:val="en-US" w:eastAsia="zh-CN"/>
        </w:rPr>
        <w:t>21</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lang w:val="en-US" w:eastAsia="zh-CN"/>
        </w:rPr>
        <w:t>22</w:t>
      </w:r>
      <w:r>
        <w:rPr>
          <w:rFonts w:hint="default" w:ascii="Times New Roman" w:hAnsi="Times New Roman" w:eastAsia="宋体" w:cs="Times New Roman"/>
          <w:color w:val="auto"/>
          <w:kern w:val="0"/>
          <w:sz w:val="24"/>
          <w:highlight w:val="none"/>
        </w:rPr>
        <w:t>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lang w:val="en-US" w:eastAsia="zh-CN"/>
        </w:rPr>
        <w:t>1</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监测点位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本次评价</w:t>
      </w:r>
      <w:r>
        <w:rPr>
          <w:rFonts w:hint="default" w:ascii="Times New Roman" w:hAnsi="Times New Roman" w:eastAsia="宋体" w:cs="Times New Roman"/>
          <w:color w:val="auto"/>
          <w:sz w:val="24"/>
          <w:szCs w:val="32"/>
          <w:lang w:val="en-US" w:eastAsia="zh-CN"/>
        </w:rPr>
        <w:t>在</w:t>
      </w:r>
      <w:r>
        <w:rPr>
          <w:rFonts w:hint="default" w:ascii="Times New Roman" w:hAnsi="Times New Roman" w:eastAsia="宋体" w:cs="Times New Roman"/>
          <w:color w:val="auto"/>
          <w:sz w:val="24"/>
          <w:szCs w:val="32"/>
        </w:rPr>
        <w:t>占地范围</w:t>
      </w:r>
      <w:r>
        <w:rPr>
          <w:rFonts w:hint="default" w:ascii="Times New Roman" w:hAnsi="Times New Roman" w:eastAsia="宋体" w:cs="Times New Roman"/>
          <w:color w:val="auto"/>
          <w:sz w:val="24"/>
          <w:szCs w:val="32"/>
          <w:lang w:eastAsia="zh-CN"/>
        </w:rPr>
        <w:t>内</w:t>
      </w:r>
      <w:r>
        <w:rPr>
          <w:rFonts w:hint="default" w:ascii="Times New Roman" w:hAnsi="Times New Roman" w:eastAsia="宋体" w:cs="Times New Roman"/>
          <w:color w:val="auto"/>
          <w:sz w:val="24"/>
          <w:szCs w:val="32"/>
        </w:rPr>
        <w:t>共布设</w:t>
      </w:r>
      <w:r>
        <w:rPr>
          <w:rFonts w:hint="default" w:ascii="Times New Roman" w:hAnsi="Times New Roman" w:eastAsia="宋体" w:cs="Times New Roman"/>
          <w:color w:val="auto"/>
          <w:sz w:val="24"/>
          <w:szCs w:val="32"/>
          <w:lang w:val="en-US" w:eastAsia="zh-CN"/>
        </w:rPr>
        <w:t>3</w:t>
      </w:r>
      <w:r>
        <w:rPr>
          <w:rFonts w:hint="default" w:ascii="Times New Roman" w:hAnsi="Times New Roman" w:eastAsia="宋体" w:cs="Times New Roman"/>
          <w:color w:val="auto"/>
          <w:sz w:val="24"/>
          <w:szCs w:val="32"/>
        </w:rPr>
        <w:t>个土壤监测点，满足</w:t>
      </w:r>
      <w:r>
        <w:rPr>
          <w:rFonts w:hint="default" w:ascii="Times New Roman" w:hAnsi="Times New Roman" w:eastAsia="宋体" w:cs="Times New Roman"/>
          <w:color w:val="auto"/>
          <w:sz w:val="24"/>
          <w:szCs w:val="32"/>
          <w:lang w:val="en-GB"/>
        </w:rPr>
        <w:t>《环境影响评价技术导则 土壤环境（试行）》（HJ964-2018）要求</w:t>
      </w:r>
      <w:r>
        <w:rPr>
          <w:rFonts w:hint="default" w:ascii="Times New Roman" w:hAnsi="Times New Roman" w:eastAsia="宋体" w:cs="Times New Roman"/>
          <w:color w:val="auto"/>
          <w:sz w:val="24"/>
          <w:szCs w:val="32"/>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本次共布设</w:t>
      </w:r>
      <w:r>
        <w:rPr>
          <w:rFonts w:hint="default" w:ascii="Times New Roman" w:hAnsi="Times New Roman" w:eastAsia="宋体" w:cs="Times New Roman"/>
          <w:color w:val="auto"/>
          <w:sz w:val="24"/>
          <w:szCs w:val="32"/>
          <w:lang w:val="en-US" w:eastAsia="zh-CN"/>
        </w:rPr>
        <w:t>3个</w:t>
      </w:r>
      <w:r>
        <w:rPr>
          <w:rFonts w:hint="default" w:ascii="Times New Roman" w:hAnsi="Times New Roman" w:eastAsia="宋体" w:cs="Times New Roman"/>
          <w:color w:val="auto"/>
          <w:sz w:val="24"/>
          <w:szCs w:val="32"/>
        </w:rPr>
        <w:t>点，监测点位及监测项目设置情况见下表，如图4.</w:t>
      </w:r>
      <w:r>
        <w:rPr>
          <w:rFonts w:hint="default" w:ascii="Times New Roman" w:hAnsi="Times New Roman" w:eastAsia="宋体" w:cs="Times New Roman"/>
          <w:color w:val="auto"/>
          <w:sz w:val="24"/>
          <w:szCs w:val="32"/>
          <w:lang w:val="en-US" w:eastAsia="zh-CN"/>
        </w:rPr>
        <w:t>4-1</w:t>
      </w:r>
      <w:r>
        <w:rPr>
          <w:rFonts w:hint="default" w:ascii="Times New Roman" w:hAnsi="Times New Roman" w:eastAsia="宋体" w:cs="Times New Roman"/>
          <w:color w:val="auto"/>
          <w:sz w:val="24"/>
          <w:szCs w:val="32"/>
        </w:rPr>
        <w:t>所示。</w:t>
      </w:r>
    </w:p>
    <w:p>
      <w:pPr>
        <w:keepNext w:val="0"/>
        <w:keepLines w:val="0"/>
        <w:pageBreakBefore w:val="0"/>
        <w:widowControl w:val="0"/>
        <w:shd w:val="clea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val="0"/>
          <w:color w:val="auto"/>
          <w:sz w:val="24"/>
          <w:szCs w:val="32"/>
        </w:rPr>
      </w:pPr>
      <w:r>
        <w:rPr>
          <w:rFonts w:hint="default" w:ascii="Times New Roman" w:hAnsi="Times New Roman" w:eastAsia="宋体" w:cs="Times New Roman"/>
          <w:b/>
          <w:bCs w:val="0"/>
          <w:color w:val="auto"/>
          <w:sz w:val="24"/>
          <w:highlight w:val="none"/>
        </w:rPr>
        <w:t>表4.</w:t>
      </w:r>
      <w:r>
        <w:rPr>
          <w:rFonts w:hint="default" w:ascii="Times New Roman" w:hAnsi="Times New Roman" w:eastAsia="宋体"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rPr>
        <w:t>-</w:t>
      </w:r>
      <w:r>
        <w:rPr>
          <w:rFonts w:hint="default" w:ascii="Times New Roman" w:hAnsi="Times New Roman" w:eastAsia="宋体" w:cs="Times New Roman"/>
          <w:b/>
          <w:bCs w:val="0"/>
          <w:color w:val="auto"/>
          <w:sz w:val="24"/>
          <w:highlight w:val="none"/>
          <w:lang w:val="en-US" w:eastAsia="zh-CN"/>
        </w:rPr>
        <w:t>1</w:t>
      </w:r>
      <w:r>
        <w:rPr>
          <w:rFonts w:hint="default" w:ascii="Times New Roman" w:hAnsi="Times New Roman" w:eastAsia="宋体" w:cs="Times New Roman"/>
          <w:b/>
          <w:bCs w:val="0"/>
          <w:color w:val="auto"/>
          <w:sz w:val="24"/>
          <w:highlight w:val="none"/>
        </w:rPr>
        <w:t xml:space="preserve">  </w:t>
      </w:r>
      <w:r>
        <w:rPr>
          <w:rFonts w:hint="default" w:ascii="Times New Roman" w:hAnsi="Times New Roman" w:eastAsia="宋体" w:cs="Times New Roman"/>
          <w:b/>
          <w:bCs w:val="0"/>
          <w:color w:val="auto"/>
          <w:sz w:val="24"/>
          <w:szCs w:val="32"/>
        </w:rPr>
        <w:t>土壤监测布点表</w:t>
      </w:r>
    </w:p>
    <w:tbl>
      <w:tblPr>
        <w:tblStyle w:val="90"/>
        <w:tblW w:w="82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9"/>
        <w:gridCol w:w="812"/>
        <w:gridCol w:w="1729"/>
        <w:gridCol w:w="949"/>
        <w:gridCol w:w="40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1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9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采样点</w:t>
            </w:r>
          </w:p>
        </w:tc>
        <w:tc>
          <w:tcPr>
            <w:tcW w:w="42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highlight w:val="none"/>
                <w:lang w:val="en-US" w:eastAsia="zh-CN"/>
              </w:rPr>
              <w:t>1</w:t>
            </w:r>
            <w:r>
              <w:rPr>
                <w:rFonts w:hint="default" w:ascii="Times New Roman" w:hAnsi="Times New Roman" w:eastAsia="宋体" w:cs="Times New Roman"/>
                <w:bCs/>
                <w:color w:val="auto"/>
                <w:kern w:val="0"/>
                <w:sz w:val="21"/>
                <w:szCs w:val="21"/>
                <w:highlight w:val="none"/>
              </w:rPr>
              <w:t>#</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项目厂区范围内</w:t>
            </w:r>
          </w:p>
        </w:tc>
        <w:tc>
          <w:tcPr>
            <w:tcW w:w="1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w:t>
            </w:r>
            <w:r>
              <w:rPr>
                <w:rFonts w:hint="default" w:ascii="Times New Roman" w:hAnsi="Times New Roman" w:eastAsia="宋体" w:cs="Times New Roman"/>
                <w:color w:val="auto"/>
                <w:sz w:val="21"/>
                <w:szCs w:val="21"/>
                <w:lang w:val="en-US" w:eastAsia="zh-CN"/>
              </w:rPr>
              <w:t>西侧</w:t>
            </w:r>
            <w:r>
              <w:rPr>
                <w:rFonts w:hint="default" w:ascii="Times New Roman" w:hAnsi="Times New Roman" w:eastAsia="宋体" w:cs="Times New Roman"/>
                <w:color w:val="auto"/>
                <w:sz w:val="21"/>
                <w:szCs w:val="21"/>
              </w:rPr>
              <w:t>□1</w:t>
            </w:r>
          </w:p>
          <w:p>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 108°54′45.67″</w:t>
            </w:r>
          </w:p>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 40°51′25.40″</w:t>
            </w:r>
          </w:p>
        </w:tc>
        <w:tc>
          <w:tcPr>
            <w:tcW w:w="98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表层</w:t>
            </w:r>
            <w:r>
              <w:rPr>
                <w:rFonts w:hint="default" w:ascii="Times New Roman" w:hAnsi="Times New Roman" w:eastAsia="宋体" w:cs="Times New Roman"/>
                <w:color w:val="auto"/>
                <w:kern w:val="0"/>
                <w:sz w:val="21"/>
                <w:szCs w:val="21"/>
              </w:rPr>
              <w:t>样</w:t>
            </w:r>
          </w:p>
        </w:tc>
        <w:tc>
          <w:tcPr>
            <w:tcW w:w="42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highlight w:val="none"/>
              </w:rPr>
              <w:t>砷、镉、铬（六价）、铜、铅、汞、镍、四氯化碳、氯仿、氯甲烷、1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1-二氯乙烷、1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1-二氯乙烯、顺-1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2-二氯乙烯、反-1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2-二氯乙烯、二氯甲烷、1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2-四氯乙烷、1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2-四氯乙烷、四氯乙烯、1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1-三氯乙烷、1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2-三氯乙烷、三氯乙烯、1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3-三氯丙烷、氯乙烯、苯、氯苯、1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4-二氯苯、乙苯、苯乙烯、甲苯、间二甲苯+对二甲苯、邻二甲苯、硝基苯、苯胺、2-氯酚、苯并[a]蒽、苯并[a]芘、苯并[b]荧蒽、苯并[k]荧蒽、䓛、二苯并[a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h]蒽、茚并[1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3-cd]芘、萘，共计4</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highlight w:val="none"/>
                <w:lang w:val="en-US" w:eastAsia="zh-CN"/>
              </w:rPr>
              <w:t>2</w:t>
            </w:r>
            <w:r>
              <w:rPr>
                <w:rFonts w:hint="default" w:ascii="Times New Roman" w:hAnsi="Times New Roman" w:eastAsia="宋体" w:cs="Times New Roman"/>
                <w:bCs/>
                <w:color w:val="auto"/>
                <w:kern w:val="0"/>
                <w:sz w:val="21"/>
                <w:szCs w:val="21"/>
                <w:highlight w:val="none"/>
              </w:rPr>
              <w:t>#</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kern w:val="0"/>
                <w:sz w:val="21"/>
                <w:szCs w:val="21"/>
              </w:rPr>
            </w:pPr>
          </w:p>
        </w:tc>
        <w:tc>
          <w:tcPr>
            <w:tcW w:w="1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厂区东侧□2</w:t>
            </w:r>
          </w:p>
          <w:p>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 108°54′48.88″</w:t>
            </w:r>
          </w:p>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 40°51′25.85″</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kern w:val="0"/>
                <w:sz w:val="21"/>
                <w:szCs w:val="21"/>
              </w:rPr>
            </w:pPr>
          </w:p>
        </w:tc>
        <w:tc>
          <w:tcPr>
            <w:tcW w:w="4270" w:type="dxa"/>
            <w:vMerge w:val="continue"/>
            <w:tcBorders>
              <w:left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rPr>
              <w:t>#</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kern w:val="0"/>
                <w:sz w:val="21"/>
                <w:szCs w:val="21"/>
              </w:rPr>
            </w:pPr>
          </w:p>
        </w:tc>
        <w:tc>
          <w:tcPr>
            <w:tcW w:w="1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厂区中部□3 </w:t>
            </w:r>
          </w:p>
          <w:p>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 108°54′46.89″</w:t>
            </w:r>
          </w:p>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 40°51′25.24″</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rPr>
                <w:rFonts w:hint="default" w:ascii="Times New Roman" w:hAnsi="Times New Roman" w:eastAsia="宋体" w:cs="Times New Roman"/>
                <w:color w:val="auto"/>
                <w:kern w:val="0"/>
                <w:sz w:val="21"/>
                <w:szCs w:val="21"/>
              </w:rPr>
            </w:pPr>
          </w:p>
        </w:tc>
        <w:tc>
          <w:tcPr>
            <w:tcW w:w="427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autoSpaceDE w:val="0"/>
              <w:autoSpaceDN/>
              <w:bidi w:val="0"/>
              <w:adjustRightInd/>
              <w:snapToGrid/>
              <w:spacing w:line="240" w:lineRule="auto"/>
              <w:ind w:firstLine="0" w:firstLineChars="0"/>
              <w:rPr>
                <w:rFonts w:hint="default" w:ascii="Times New Roman" w:hAnsi="Times New Roman" w:eastAsia="宋体" w:cs="Times New Roman"/>
                <w:color w:val="auto"/>
                <w:kern w:val="0"/>
                <w:sz w:val="21"/>
                <w:szCs w:val="21"/>
              </w:rPr>
            </w:pPr>
          </w:p>
        </w:tc>
      </w:tr>
    </w:tbl>
    <w:p>
      <w:pPr>
        <w:widowControl/>
        <w:shd w:val="clea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监测因子</w:t>
      </w:r>
    </w:p>
    <w:p>
      <w:pPr>
        <w:widowControl/>
        <w:shd w:val="clea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砷、镉、铬（六价）、铜、铅、汞、镍、四氯化碳、氯仿、氯甲烷、1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1-二氯乙烷、1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2-二氯乙烷、1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1-二氯乙烯、顺-1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2-二氯乙烯、反-1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2-二氯乙烯、二氯甲烷、1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2-二氯丙烷、1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2-四氯乙烷、1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2-四氯乙烷、四氯乙烯、1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1-三氯乙烷、1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2-三氯乙烷、三氯乙烯、1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3-三氯丙烷、氯乙烯、苯、氯苯、1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2-二氯苯、1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4-二氯苯、乙苯、苯乙烯、甲苯、间二甲苯+对二甲苯、邻二甲苯、硝基苯、苯胺、2-氯酚、苯并[a]蒽、苯并[a]芘、苯并[b]荧蒽、苯并[k]荧蒽、䓛、二苯并[a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h]蒽、茚并[1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3-cd]芘、萘，共计4</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项</w:t>
      </w:r>
      <w:r>
        <w:rPr>
          <w:rFonts w:hint="default" w:ascii="Times New Roman" w:hAnsi="Times New Roman" w:eastAsia="宋体" w:cs="Times New Roman"/>
          <w:color w:val="auto"/>
          <w:kern w:val="0"/>
          <w:sz w:val="24"/>
          <w:szCs w:val="24"/>
          <w:highlight w:val="none"/>
        </w:rPr>
        <w:t>。</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监测时间及监测频率</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采样时间为20</w:t>
      </w:r>
      <w:r>
        <w:rPr>
          <w:rFonts w:hint="default" w:ascii="Times New Roman" w:hAnsi="Times New Roman" w:eastAsia="宋体" w:cs="Times New Roman"/>
          <w:color w:val="auto"/>
          <w:kern w:val="0"/>
          <w:sz w:val="24"/>
          <w:highlight w:val="none"/>
          <w:lang w:val="en-US" w:eastAsia="zh-CN"/>
        </w:rPr>
        <w:t>21</w:t>
      </w:r>
      <w:r>
        <w:rPr>
          <w:rFonts w:hint="default" w:ascii="Times New Roman" w:hAnsi="Times New Roman" w:eastAsia="宋体" w:cs="Times New Roman"/>
          <w:color w:val="auto"/>
          <w:kern w:val="0"/>
          <w:sz w:val="24"/>
          <w:highlight w:val="none"/>
        </w:rPr>
        <w:t>年</w:t>
      </w:r>
      <w:r>
        <w:rPr>
          <w:rFonts w:hint="default" w:ascii="Times New Roman" w:hAnsi="Times New Roman" w:eastAsia="宋体"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rPr>
        <w:t>月</w:t>
      </w:r>
      <w:r>
        <w:rPr>
          <w:rFonts w:hint="default" w:ascii="Times New Roman" w:hAnsi="Times New Roman" w:eastAsia="宋体" w:cs="Times New Roman"/>
          <w:color w:val="auto"/>
          <w:kern w:val="0"/>
          <w:sz w:val="24"/>
          <w:highlight w:val="none"/>
          <w:lang w:val="en-US" w:eastAsia="zh-CN"/>
        </w:rPr>
        <w:t>22</w:t>
      </w:r>
      <w:r>
        <w:rPr>
          <w:rFonts w:hint="default" w:ascii="Times New Roman" w:hAnsi="Times New Roman" w:eastAsia="宋体" w:cs="Times New Roman"/>
          <w:color w:val="auto"/>
          <w:kern w:val="0"/>
          <w:sz w:val="24"/>
          <w:highlight w:val="none"/>
        </w:rPr>
        <w:t>日，</w:t>
      </w:r>
      <w:r>
        <w:rPr>
          <w:rFonts w:hint="default" w:ascii="Times New Roman" w:hAnsi="Times New Roman" w:eastAsia="宋体" w:cs="Times New Roman"/>
          <w:color w:val="auto"/>
          <w:kern w:val="0"/>
          <w:sz w:val="24"/>
          <w:highlight w:val="none"/>
          <w:lang w:eastAsia="zh-CN"/>
        </w:rPr>
        <w:t>采样</w:t>
      </w:r>
      <w:r>
        <w:rPr>
          <w:rFonts w:hint="default" w:ascii="Times New Roman" w:hAnsi="Times New Roman" w:eastAsia="宋体" w:cs="Times New Roman"/>
          <w:color w:val="auto"/>
          <w:kern w:val="0"/>
          <w:sz w:val="24"/>
          <w:highlight w:val="none"/>
        </w:rPr>
        <w:t>一次。</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4</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eastAsia="zh-CN"/>
        </w:rPr>
        <w:t>方法</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采样和分析方法按《土壤环境监测技术规范》（HJ/T166－2004）及《土壤环境质量 农用地土壤污染风险管控标准（试行）》（GB15618-2018）中相关要求进行，见下表。</w:t>
      </w:r>
    </w:p>
    <w:p>
      <w:pPr>
        <w:widowControl/>
        <w:shd w:val="clear"/>
        <w:spacing w:line="360" w:lineRule="auto"/>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表4.4-</w:t>
      </w:r>
      <w:r>
        <w:rPr>
          <w:rFonts w:hint="default" w:ascii="Times New Roman" w:hAnsi="Times New Roman" w:eastAsia="宋体" w:cs="Times New Roman"/>
          <w:b/>
          <w:bCs/>
          <w:color w:val="auto"/>
          <w:kern w:val="0"/>
          <w:sz w:val="24"/>
          <w:highlight w:val="none"/>
          <w:lang w:val="en-US" w:eastAsia="zh-CN"/>
        </w:rPr>
        <w:t>2</w:t>
      </w:r>
      <w:r>
        <w:rPr>
          <w:rFonts w:hint="default" w:ascii="Times New Roman" w:hAnsi="Times New Roman" w:eastAsia="宋体" w:cs="Times New Roman"/>
          <w:b/>
          <w:bCs/>
          <w:color w:val="auto"/>
          <w:kern w:val="0"/>
          <w:sz w:val="24"/>
          <w:highlight w:val="none"/>
        </w:rPr>
        <w:t xml:space="preserve">  土壤检测项目分析方法</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022"/>
        <w:gridCol w:w="3482"/>
        <w:gridCol w:w="964"/>
        <w:gridCol w:w="1188"/>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617" w:type="pct"/>
            <w:noWrap w:val="0"/>
            <w:vAlign w:val="center"/>
          </w:tcPr>
          <w:p>
            <w:pPr>
              <w:shd w:val="clea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w:t>
            </w:r>
          </w:p>
          <w:p>
            <w:pPr>
              <w:shd w:val="clea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103" w:type="pct"/>
            <w:noWrap w:val="0"/>
            <w:vAlign w:val="center"/>
          </w:tcPr>
          <w:p>
            <w:pPr>
              <w:shd w:val="clea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分析方法及来源</w:t>
            </w:r>
          </w:p>
        </w:tc>
        <w:tc>
          <w:tcPr>
            <w:tcW w:w="582" w:type="pct"/>
            <w:noWrap w:val="0"/>
            <w:vAlign w:val="center"/>
          </w:tcPr>
          <w:p>
            <w:pPr>
              <w:shd w:val="clea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检出限(</w:t>
            </w:r>
            <w:r>
              <w:rPr>
                <w:rFonts w:hint="default" w:ascii="Times New Roman" w:hAnsi="Times New Roman" w:eastAsia="宋体" w:cs="Times New Roman"/>
                <w:color w:val="auto"/>
                <w:sz w:val="21"/>
                <w:szCs w:val="21"/>
              </w:rPr>
              <w:t>mg/kg</w:t>
            </w:r>
            <w:r>
              <w:rPr>
                <w:rFonts w:hint="default" w:ascii="Times New Roman" w:hAnsi="Times New Roman" w:eastAsia="宋体" w:cs="Times New Roman"/>
                <w:b/>
                <w:bCs/>
                <w:color w:val="auto"/>
                <w:sz w:val="21"/>
                <w:szCs w:val="21"/>
              </w:rPr>
              <w:t>)</w:t>
            </w:r>
          </w:p>
        </w:tc>
        <w:tc>
          <w:tcPr>
            <w:tcW w:w="717" w:type="pct"/>
            <w:noWrap w:val="0"/>
            <w:vAlign w:val="center"/>
          </w:tcPr>
          <w:p>
            <w:pPr>
              <w:shd w:val="clea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仪器设备名称/型号</w:t>
            </w:r>
          </w:p>
        </w:tc>
        <w:tc>
          <w:tcPr>
            <w:tcW w:w="673" w:type="pct"/>
            <w:noWrap w:val="0"/>
            <w:vAlign w:val="center"/>
          </w:tcPr>
          <w:p>
            <w:pPr>
              <w:shd w:val="clea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仪器管理编号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《土壤质量 总汞、总砷、总铅的测定原子荧光法》第2部分:土壤中总砷的测定</w:t>
            </w:r>
          </w:p>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22105.2-2008）</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原子荧光光度计/AFS-8220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HZD-003-A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《土壤质量 铅、镉的测定石墨炉原子吸收分光光度法》（GB/T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17141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1997）</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717" w:type="pct"/>
            <w:noWrap w:val="0"/>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原子吸收光谱仪/ICE-3</w:t>
            </w:r>
            <w:r>
              <w:rPr>
                <w:rFonts w:hint="default" w:ascii="Times New Roman" w:hAnsi="Times New Roman" w:eastAsia="宋体" w:cs="Times New Roman"/>
                <w:color w:val="auto"/>
                <w:sz w:val="21"/>
                <w:szCs w:val="21"/>
                <w:lang w:val="en-US" w:eastAsia="zh-CN"/>
              </w:rPr>
              <w:t>500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p>
        </w:tc>
        <w:tc>
          <w:tcPr>
            <w:tcW w:w="617"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2103"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六价铬的测定 碱溶液提取-火焰原子吸收分光光度法》（HJ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1082-2019）</w:t>
            </w:r>
          </w:p>
        </w:tc>
        <w:tc>
          <w:tcPr>
            <w:tcW w:w="582"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0.5</w:t>
            </w:r>
          </w:p>
        </w:tc>
        <w:tc>
          <w:tcPr>
            <w:tcW w:w="717" w:type="pct"/>
            <w:noWrap w:val="0"/>
            <w:vAlign w:val="center"/>
          </w:tcPr>
          <w:p>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可见分光光度计/7230G</w:t>
            </w:r>
          </w:p>
        </w:tc>
        <w:tc>
          <w:tcPr>
            <w:tcW w:w="673" w:type="pct"/>
            <w:noWrap w:val="0"/>
            <w:vAlign w:val="center"/>
          </w:tcPr>
          <w:p>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HZD-022-</w:t>
            </w:r>
            <w:r>
              <w:rPr>
                <w:rFonts w:hint="default" w:ascii="Times New Roman" w:hAnsi="Times New Roman" w:eastAsia="宋体" w:cs="Times New Roman"/>
                <w:color w:val="auto"/>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617"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2103"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土壤和沉积物铜、锌、铅、镍、铬的测定火焰原子吸收分光光</w:t>
            </w:r>
            <w:r>
              <w:rPr>
                <w:rFonts w:hint="default" w:ascii="Times New Roman" w:hAnsi="Times New Roman" w:eastAsia="宋体" w:cs="Times New Roman"/>
                <w:color w:val="auto"/>
                <w:sz w:val="21"/>
                <w:szCs w:val="21"/>
              </w:rPr>
              <w:t>度法》（</w:t>
            </w:r>
            <w:r>
              <w:rPr>
                <w:rFonts w:hint="default" w:ascii="Times New Roman" w:hAnsi="Times New Roman" w:eastAsia="宋体" w:cs="Times New Roman"/>
                <w:color w:val="auto"/>
                <w:sz w:val="21"/>
                <w:szCs w:val="21"/>
                <w:lang w:val="en-US" w:eastAsia="zh-CN"/>
              </w:rPr>
              <w:t>HJ 491-2019</w:t>
            </w:r>
            <w:r>
              <w:rPr>
                <w:rFonts w:hint="default" w:ascii="Times New Roman" w:hAnsi="Times New Roman" w:eastAsia="宋体" w:cs="Times New Roman"/>
                <w:color w:val="auto"/>
                <w:sz w:val="21"/>
                <w:szCs w:val="21"/>
              </w:rPr>
              <w:t>）</w:t>
            </w:r>
          </w:p>
        </w:tc>
        <w:tc>
          <w:tcPr>
            <w:tcW w:w="582" w:type="pct"/>
            <w:noWrap w:val="0"/>
            <w:vAlign w:val="center"/>
          </w:tcPr>
          <w:p>
            <w:pPr>
              <w:shd w:val="clear"/>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1</w:t>
            </w:r>
          </w:p>
        </w:tc>
        <w:tc>
          <w:tcPr>
            <w:tcW w:w="717" w:type="pct"/>
            <w:noWrap w:val="0"/>
            <w:vAlign w:val="center"/>
          </w:tcPr>
          <w:p>
            <w:pPr>
              <w:shd w:val="clear"/>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bidi="ar"/>
              </w:rPr>
              <w:t>原子吸收光谱仪/ICE-3</w:t>
            </w:r>
            <w:r>
              <w:rPr>
                <w:rFonts w:hint="default" w:ascii="Times New Roman" w:hAnsi="Times New Roman" w:eastAsia="宋体" w:cs="Times New Roman"/>
                <w:color w:val="auto"/>
                <w:kern w:val="0"/>
                <w:sz w:val="21"/>
                <w:szCs w:val="21"/>
                <w:lang w:val="en-US" w:eastAsia="zh-CN" w:bidi="ar"/>
              </w:rPr>
              <w:t>500</w:t>
            </w:r>
          </w:p>
        </w:tc>
        <w:tc>
          <w:tcPr>
            <w:tcW w:w="673"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HZD-020-A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《土壤质量 铅、镉的测定石墨炉原子吸收分光光度法》（GB/T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17141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1997）</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717" w:type="pct"/>
            <w:noWrap w:val="0"/>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原子吸收光谱仪/ICE-3</w:t>
            </w:r>
            <w:r>
              <w:rPr>
                <w:rFonts w:hint="default" w:ascii="Times New Roman" w:hAnsi="Times New Roman" w:eastAsia="宋体" w:cs="Times New Roman"/>
                <w:color w:val="auto"/>
                <w:sz w:val="21"/>
                <w:szCs w:val="21"/>
                <w:lang w:val="en-US" w:eastAsia="zh-CN"/>
              </w:rPr>
              <w:t>500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《土壤质量 总汞、总砷、总铅的测定原子荧光法》 第1部分：土壤中总汞的测定）</w:t>
            </w:r>
          </w:p>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22105.1-2008）</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原子荧光光度计/AFS-8220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HZD-003-A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617"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2103"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土壤和沉积物铜、锌、铅、镍、铬的测定火焰原子吸收分光光</w:t>
            </w:r>
            <w:r>
              <w:rPr>
                <w:rFonts w:hint="default" w:ascii="Times New Roman" w:hAnsi="Times New Roman" w:eastAsia="宋体" w:cs="Times New Roman"/>
                <w:color w:val="auto"/>
                <w:sz w:val="21"/>
                <w:szCs w:val="21"/>
              </w:rPr>
              <w:t>度法》（</w:t>
            </w:r>
            <w:r>
              <w:rPr>
                <w:rFonts w:hint="default" w:ascii="Times New Roman" w:hAnsi="Times New Roman" w:eastAsia="宋体" w:cs="Times New Roman"/>
                <w:color w:val="auto"/>
                <w:sz w:val="21"/>
                <w:szCs w:val="21"/>
                <w:lang w:val="en-US" w:eastAsia="zh-CN"/>
              </w:rPr>
              <w:t>HJ 491-2019</w:t>
            </w:r>
            <w:r>
              <w:rPr>
                <w:rFonts w:hint="default" w:ascii="Times New Roman" w:hAnsi="Times New Roman" w:eastAsia="宋体" w:cs="Times New Roman"/>
                <w:color w:val="auto"/>
                <w:sz w:val="21"/>
                <w:szCs w:val="21"/>
              </w:rPr>
              <w:t>）</w:t>
            </w:r>
          </w:p>
        </w:tc>
        <w:tc>
          <w:tcPr>
            <w:tcW w:w="582"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3</w:t>
            </w:r>
          </w:p>
        </w:tc>
        <w:tc>
          <w:tcPr>
            <w:tcW w:w="717" w:type="pct"/>
            <w:noWrap w:val="0"/>
            <w:vAlign w:val="center"/>
          </w:tcPr>
          <w:p>
            <w:pPr>
              <w:shd w:val="clear"/>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bidi="ar"/>
              </w:rPr>
              <w:t>原子吸收光谱仪/ICE-3</w:t>
            </w:r>
            <w:r>
              <w:rPr>
                <w:rFonts w:hint="default" w:ascii="Times New Roman" w:hAnsi="Times New Roman" w:eastAsia="宋体" w:cs="Times New Roman"/>
                <w:color w:val="auto"/>
                <w:kern w:val="0"/>
                <w:sz w:val="21"/>
                <w:szCs w:val="21"/>
                <w:lang w:val="en-US" w:eastAsia="zh-CN" w:bidi="ar"/>
              </w:rPr>
              <w:t>500</w:t>
            </w:r>
          </w:p>
        </w:tc>
        <w:tc>
          <w:tcPr>
            <w:tcW w:w="673" w:type="pct"/>
            <w:noWrap w:val="0"/>
            <w:vAlign w:val="center"/>
          </w:tcPr>
          <w:p>
            <w:pPr>
              <w:shd w:val="clea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HZD-020-A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0.0021</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氯仿</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氯甲烷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w:t>
            </w:r>
            <w:r>
              <w:rPr>
                <w:rFonts w:hint="default" w:ascii="Times New Roman" w:hAnsi="Times New Roman" w:eastAsia="宋体" w:cs="Times New Roman"/>
                <w:color w:val="auto"/>
                <w:sz w:val="21"/>
                <w:szCs w:val="21"/>
                <w:lang w:eastAsia="zh-CN"/>
              </w:rPr>
              <w:t>卤代烃</w:t>
            </w:r>
            <w:r>
              <w:rPr>
                <w:rFonts w:hint="default" w:ascii="Times New Roman" w:hAnsi="Times New Roman" w:eastAsia="宋体" w:cs="Times New Roman"/>
                <w:color w:val="auto"/>
                <w:sz w:val="21"/>
                <w:szCs w:val="21"/>
              </w:rPr>
              <w:t>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736-201</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1-二氯乙烷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2-二氯乙烷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0.0013</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13</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1-二氯乙烯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14</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2-二氯乙烯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09</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2-二氯乙烯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09</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16</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0.0026</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17</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2-二氯丙烷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0.0019</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18</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2-四氯乙烷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19</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2-四氯乙烷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08</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1</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1-三氯乙烷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0.0011</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2</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2-三氯乙烷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23</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09</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24</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3-三氯丙烷</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26</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27</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0.0011</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28</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29</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4-二氯苯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0.0012</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0.0012</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31</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32</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33</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间/对二甲苯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0.0036</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34</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挥发性有机物的测定顶空/ 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642-2013）</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0.0013</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35</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半挥发性有机物的测定气相色谱-质谱法》（HJ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834-2017）</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36</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半挥发性有机物的测定气相色谱-质谱法》（HJ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834-2017）</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37</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2-氯酚</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半挥发性有机物的测定气相色谱-质谱法》（HJ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834-2017）</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气相色谱质谱联用仪/ISQ7000</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38</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苯并[a]蒽</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多环芳烃的测定 高效液相色谱法》（HJ 784-2016）</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液相色谱仪/1220/1260LC</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39</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多环芳烃的测定 高效液相色谱法》（HJ 784-2016）</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液相色谱仪/1220/1260LC</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40</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多环芳烃的测定 高效液相色谱法》（HJ 784-2016）</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液相色谱仪/1220/1260LC</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41</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多环芳烃的测定 高效液相色谱法》（HJ 784-2016）</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液相色谱仪/1220/1260LC</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42</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多环芳烃的测定 高效液相色谱法》（HJ 784-2016）</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液相色谱仪/1220/1260LC</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43</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h]蒽</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多环芳烃的测定 高效液相色谱法》（HJ 784-2016）</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液相色谱仪/1220/1260LC</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44</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3-cd]芘</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多环芳烃的测定 高效液相色谱法》（HJ 784-2016）</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液相色谱仪/1220/1260LC</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45</w:t>
            </w:r>
          </w:p>
        </w:tc>
        <w:tc>
          <w:tcPr>
            <w:tcW w:w="6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210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《土壤和沉积物 多环芳烃的测定 高效液相色谱法》（HJ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784-2016）</w:t>
            </w:r>
          </w:p>
        </w:tc>
        <w:tc>
          <w:tcPr>
            <w:tcW w:w="582"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w:t>
            </w:r>
          </w:p>
        </w:tc>
        <w:tc>
          <w:tcPr>
            <w:tcW w:w="717"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液相色谱仪/1220/1260LC</w:t>
            </w:r>
          </w:p>
        </w:tc>
        <w:tc>
          <w:tcPr>
            <w:tcW w:w="673" w:type="pct"/>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HZD-019-A</w:t>
            </w:r>
          </w:p>
        </w:tc>
      </w:tr>
    </w:tbl>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监测结果</w:t>
      </w:r>
    </w:p>
    <w:p>
      <w:pPr>
        <w:shd w:val="clear"/>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eastAsia="zh-CN"/>
        </w:rPr>
        <w:t>土壤</w:t>
      </w:r>
      <w:r>
        <w:rPr>
          <w:rFonts w:hint="default" w:ascii="Times New Roman" w:hAnsi="Times New Roman" w:eastAsia="宋体" w:cs="Times New Roman"/>
          <w:b/>
          <w:color w:val="auto"/>
          <w:sz w:val="24"/>
          <w:highlight w:val="none"/>
        </w:rPr>
        <w:t>环境质量现状监测结果    单位：mg/l</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pH除外</w:t>
      </w:r>
      <w:r>
        <w:rPr>
          <w:rFonts w:hint="default" w:ascii="Times New Roman" w:hAnsi="Times New Roman" w:eastAsia="宋体" w:cs="Times New Roman"/>
          <w:b/>
          <w:color w:val="auto"/>
          <w:sz w:val="24"/>
          <w:highlight w:val="none"/>
          <w:lang w:eastAsia="zh-CN"/>
        </w:rPr>
        <w:t>）</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273"/>
        <w:gridCol w:w="1273"/>
        <w:gridCol w:w="1274"/>
        <w:gridCol w:w="1274"/>
        <w:gridCol w:w="127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tcBorders>
            <w:noWrap w:val="0"/>
            <w:vAlign w:val="center"/>
          </w:tcPr>
          <w:p>
            <w:pPr>
              <w:shd w:val="clea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67" w:type="dxa"/>
            <w:tcBorders>
              <w:top w:val="single" w:color="auto" w:sz="4" w:space="0"/>
            </w:tcBorders>
            <w:noWrap w:val="0"/>
            <w:vAlign w:val="center"/>
          </w:tcPr>
          <w:p>
            <w:pPr>
              <w:shd w:val="clea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检测因子</w:t>
            </w:r>
          </w:p>
        </w:tc>
        <w:tc>
          <w:tcPr>
            <w:tcW w:w="567" w:type="dxa"/>
            <w:tcBorders>
              <w:top w:val="single" w:color="auto" w:sz="4" w:space="0"/>
            </w:tcBorders>
            <w:noWrap w:val="0"/>
            <w:vAlign w:val="center"/>
          </w:tcPr>
          <w:p>
            <w:pPr>
              <w:shd w:val="clea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567" w:type="dxa"/>
            <w:tcBorders>
              <w:top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表层</w:t>
            </w:r>
            <w:r>
              <w:rPr>
                <w:rFonts w:hint="default" w:ascii="Times New Roman" w:hAnsi="Times New Roman" w:eastAsia="宋体" w:cs="Times New Roman"/>
                <w:color w:val="auto"/>
                <w:sz w:val="21"/>
                <w:szCs w:val="21"/>
              </w:rPr>
              <w:t>样</w:t>
            </w:r>
            <w:r>
              <w:rPr>
                <w:rFonts w:hint="default" w:ascii="Times New Roman" w:hAnsi="Times New Roman" w:eastAsia="宋体" w:cs="Times New Roman"/>
                <w:color w:val="auto"/>
                <w:sz w:val="21"/>
                <w:szCs w:val="21"/>
                <w:lang w:eastAsia="zh-CN"/>
              </w:rPr>
              <w:t>）</w:t>
            </w:r>
          </w:p>
        </w:tc>
        <w:tc>
          <w:tcPr>
            <w:tcW w:w="567" w:type="dxa"/>
            <w:tcBorders>
              <w:top w:val="single" w:color="auto" w:sz="4" w:space="0"/>
            </w:tcBorders>
            <w:noWrap w:val="0"/>
            <w:vAlign w:val="center"/>
          </w:tcPr>
          <w:p>
            <w:pPr>
              <w:shd w:val="clea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color w:val="auto"/>
                <w:sz w:val="21"/>
                <w:szCs w:val="21"/>
                <w:lang w:eastAsia="zh-CN"/>
              </w:rPr>
              <w:t>表层</w:t>
            </w:r>
            <w:r>
              <w:rPr>
                <w:rFonts w:hint="default" w:ascii="Times New Roman" w:hAnsi="Times New Roman" w:eastAsia="宋体" w:cs="Times New Roman"/>
                <w:color w:val="auto"/>
                <w:sz w:val="21"/>
                <w:szCs w:val="21"/>
              </w:rPr>
              <w:t>样</w:t>
            </w:r>
            <w:r>
              <w:rPr>
                <w:rFonts w:hint="default" w:ascii="Times New Roman" w:hAnsi="Times New Roman" w:eastAsia="宋体" w:cs="Times New Roman"/>
                <w:b w:val="0"/>
                <w:bCs w:val="0"/>
                <w:color w:val="auto"/>
                <w:sz w:val="21"/>
                <w:szCs w:val="21"/>
                <w:lang w:val="en-US" w:eastAsia="zh-CN"/>
              </w:rPr>
              <w:t>）</w:t>
            </w:r>
          </w:p>
        </w:tc>
        <w:tc>
          <w:tcPr>
            <w:tcW w:w="567" w:type="dxa"/>
            <w:tcBorders>
              <w:top w:val="single" w:color="auto" w:sz="4" w:space="0"/>
            </w:tcBorders>
            <w:noWrap w:val="0"/>
            <w:vAlign w:val="center"/>
          </w:tcPr>
          <w:p>
            <w:pPr>
              <w:shd w:val="clea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color w:val="auto"/>
                <w:sz w:val="21"/>
                <w:szCs w:val="21"/>
                <w:lang w:eastAsia="zh-CN"/>
              </w:rPr>
              <w:t>表层</w:t>
            </w:r>
            <w:r>
              <w:rPr>
                <w:rFonts w:hint="default" w:ascii="Times New Roman" w:hAnsi="Times New Roman" w:eastAsia="宋体" w:cs="Times New Roman"/>
                <w:color w:val="auto"/>
                <w:sz w:val="21"/>
                <w:szCs w:val="21"/>
              </w:rPr>
              <w:t>样</w:t>
            </w:r>
            <w:r>
              <w:rPr>
                <w:rFonts w:hint="default" w:ascii="Times New Roman" w:hAnsi="Times New Roman" w:eastAsia="宋体" w:cs="Times New Roman"/>
                <w:b w:val="0"/>
                <w:bCs w:val="0"/>
                <w:color w:val="auto"/>
                <w:sz w:val="21"/>
                <w:szCs w:val="21"/>
                <w:lang w:val="en-US" w:eastAsia="zh-CN"/>
              </w:rPr>
              <w:t>）</w:t>
            </w:r>
          </w:p>
        </w:tc>
        <w:tc>
          <w:tcPr>
            <w:tcW w:w="567" w:type="dxa"/>
            <w:tcBorders>
              <w:top w:val="single" w:color="auto" w:sz="4" w:space="0"/>
            </w:tcBorders>
            <w:noWrap w:val="0"/>
            <w:vAlign w:val="center"/>
          </w:tcPr>
          <w:p>
            <w:pPr>
              <w:shd w:val="clea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9.87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9.45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9.67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镉</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0.21</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六价铬</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0.6</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铜</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25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铅</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25.1</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24.9</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汞</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0.087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0.083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0.088</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镍</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35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36</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四氯化碳</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0.019</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0.016</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氯仿</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氯甲烷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1-二氯乙烷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2-二氯乙烷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1-二氯乙烯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0.012</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顺-1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2-二氯乙烯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反-1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2-二氯乙烯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0.012</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二氯甲烷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2-二氯丙烷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2-四氯乙烷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0.020</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0.022</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2-四氯乙烷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四氯乙烯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1-三氯乙烷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2-三氯乙烷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三氯乙烯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3-三氯丙烷</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氯乙烯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0.017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氯苯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0.011</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2-二氯苯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0.008</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4-二氯苯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0.010</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乙苯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苯乙烯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甲苯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0.022</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0.019</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间/对二甲苯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0.019</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邻二甲苯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0.010</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0.019</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硝基苯</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苯胺</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2-氯酚</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苯并[a]蒽</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苯并[a]芘</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苯并[b]荧蒽</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苯并[k]荧蒽</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䓛</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二苯并[a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h]蒽</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茚并[1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3-cd]芘</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3" w:type="dxa"/>
            <w:tcBorders>
              <w:top w:val="single" w:color="auto" w:sz="4" w:space="0"/>
              <w:bottom w:val="single" w:color="auto" w:sz="4" w:space="0"/>
            </w:tcBorders>
            <w:noWrap w:val="0"/>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萘</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mg/kg</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ND</w:t>
            </w:r>
          </w:p>
        </w:tc>
        <w:tc>
          <w:tcPr>
            <w:tcW w:w="567" w:type="dxa"/>
            <w:tcBorders>
              <w:top w:val="single" w:color="auto" w:sz="4" w:space="0"/>
              <w:bottom w:val="single" w:color="auto" w:sz="4" w:space="0"/>
            </w:tcBorders>
            <w:noWrap w:val="0"/>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70</w:t>
            </w:r>
          </w:p>
        </w:tc>
      </w:tr>
    </w:tbl>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4.</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.2</w:t>
      </w:r>
      <w:r>
        <w:rPr>
          <w:rFonts w:hint="default" w:ascii="Times New Roman" w:hAnsi="Times New Roman" w:eastAsia="宋体" w:cs="Times New Roman"/>
          <w:color w:val="auto"/>
          <w:lang w:eastAsia="zh-CN"/>
        </w:rPr>
        <w:t>土壤</w:t>
      </w:r>
      <w:r>
        <w:rPr>
          <w:rFonts w:hint="default" w:ascii="Times New Roman" w:hAnsi="Times New Roman" w:eastAsia="宋体" w:cs="Times New Roman"/>
          <w:color w:val="auto"/>
        </w:rPr>
        <w:t>环境质量现状评价</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各监测项目采用单因子指数法进行评价。对于随浓度增大而污染程度增大的监测因子，其单因子指数计算公式为：</w:t>
      </w:r>
    </w:p>
    <w:p>
      <w:pPr>
        <w:shd w:val="clear"/>
        <w:autoSpaceDE w:val="0"/>
        <w:autoSpaceDN w:val="0"/>
        <w:spacing w:line="360" w:lineRule="auto"/>
        <w:ind w:firstLine="480" w:firstLineChars="20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w:t>
      </w:r>
      <w:r>
        <w:rPr>
          <w:rFonts w:hint="default" w:ascii="Times New Roman" w:hAnsi="Times New Roman" w:eastAsia="宋体" w:cs="Times New Roman"/>
          <w:color w:val="auto"/>
          <w:kern w:val="0"/>
          <w:sz w:val="24"/>
          <w:highlight w:val="none"/>
          <w:vertAlign w:val="subscript"/>
        </w:rPr>
        <w:t>i</w:t>
      </w:r>
      <w:r>
        <w:rPr>
          <w:rFonts w:hint="default" w:ascii="Times New Roman" w:hAnsi="Times New Roman" w:eastAsia="宋体" w:cs="Times New Roman"/>
          <w:color w:val="auto"/>
          <w:kern w:val="0"/>
          <w:sz w:val="24"/>
          <w:highlight w:val="none"/>
        </w:rPr>
        <w:t>=C</w:t>
      </w:r>
      <w:r>
        <w:rPr>
          <w:rFonts w:hint="default" w:ascii="Times New Roman" w:hAnsi="Times New Roman" w:eastAsia="宋体" w:cs="Times New Roman"/>
          <w:color w:val="auto"/>
          <w:kern w:val="0"/>
          <w:sz w:val="24"/>
          <w:highlight w:val="none"/>
          <w:vertAlign w:val="subscript"/>
        </w:rPr>
        <w:t>i</w:t>
      </w:r>
      <w:r>
        <w:rPr>
          <w:rFonts w:hint="default" w:ascii="Times New Roman" w:hAnsi="Times New Roman" w:eastAsia="宋体" w:cs="Times New Roman"/>
          <w:color w:val="auto"/>
          <w:kern w:val="0"/>
          <w:sz w:val="24"/>
          <w:highlight w:val="none"/>
        </w:rPr>
        <w:t>/S</w:t>
      </w:r>
      <w:r>
        <w:rPr>
          <w:rFonts w:hint="default" w:ascii="Times New Roman" w:hAnsi="Times New Roman" w:eastAsia="宋体" w:cs="Times New Roman"/>
          <w:color w:val="auto"/>
          <w:kern w:val="0"/>
          <w:sz w:val="24"/>
          <w:highlight w:val="none"/>
          <w:vertAlign w:val="subscript"/>
        </w:rPr>
        <w:t>i</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Pi—i污染物的单因子指数；</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Ci—i污染物的实测浓度，mg/L；</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Si—i污染物的评价标准，mg/L。</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对于浓度限于一定范围的评价因子，如pH，其标准指数按下式计算：</w:t>
      </w:r>
    </w:p>
    <w:p>
      <w:pPr>
        <w:shd w:val="clear"/>
        <w:autoSpaceDE w:val="0"/>
        <w:autoSpaceDN w:val="0"/>
        <w:spacing w:line="360" w:lineRule="auto"/>
        <w:ind w:firstLine="480" w:firstLineChars="200"/>
        <w:jc w:val="center"/>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drawing>
          <wp:inline distT="0" distB="0" distL="0" distR="0">
            <wp:extent cx="1187450" cy="477520"/>
            <wp:effectExtent l="0" t="0" r="1270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87450" cy="477520"/>
                    </a:xfrm>
                    <a:prstGeom prst="rect">
                      <a:avLst/>
                    </a:prstGeom>
                    <a:noFill/>
                    <a:ln>
                      <a:noFill/>
                    </a:ln>
                  </pic:spPr>
                </pic:pic>
              </a:graphicData>
            </a:graphic>
          </wp:inline>
        </w:drawing>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pHCi≤7.0</w:t>
      </w:r>
      <w:r>
        <w:rPr>
          <w:rFonts w:hint="default" w:ascii="Times New Roman" w:hAnsi="Times New Roman" w:eastAsia="宋体" w:cs="Times New Roman"/>
          <w:color w:val="auto"/>
          <w:kern w:val="0"/>
          <w:sz w:val="24"/>
          <w:highlight w:val="none"/>
          <w:lang w:eastAsia="zh-CN"/>
        </w:rPr>
        <w:t>）</w:t>
      </w:r>
    </w:p>
    <w:p>
      <w:pPr>
        <w:shd w:val="clear"/>
        <w:autoSpaceDE w:val="0"/>
        <w:autoSpaceDN w:val="0"/>
        <w:spacing w:line="360" w:lineRule="auto"/>
        <w:ind w:firstLine="480" w:firstLineChars="200"/>
        <w:jc w:val="center"/>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drawing>
          <wp:inline distT="0" distB="0" distL="0" distR="0">
            <wp:extent cx="1132840" cy="464185"/>
            <wp:effectExtent l="0" t="0" r="10160" b="1270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32840" cy="464185"/>
                    </a:xfrm>
                    <a:prstGeom prst="rect">
                      <a:avLst/>
                    </a:prstGeom>
                    <a:noFill/>
                    <a:ln>
                      <a:noFill/>
                    </a:ln>
                  </pic:spPr>
                </pic:pic>
              </a:graphicData>
            </a:graphic>
          </wp:inline>
        </w:drawing>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pHCi＞7.0</w:t>
      </w:r>
      <w:r>
        <w:rPr>
          <w:rFonts w:hint="default" w:ascii="Times New Roman" w:hAnsi="Times New Roman" w:eastAsia="宋体" w:cs="Times New Roman"/>
          <w:color w:val="auto"/>
          <w:kern w:val="0"/>
          <w:sz w:val="24"/>
          <w:highlight w:val="none"/>
          <w:lang w:eastAsia="zh-CN"/>
        </w:rPr>
        <w:t>）</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pH—pH的标准指数；</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pHci—pH的现状监测结果；</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pHsd—pH采用标准的下限值；</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pHsu—pH采用标准的上限值。</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当Pi≤1时，符合标准；</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土壤环境各因子</w:t>
      </w:r>
      <w:r>
        <w:rPr>
          <w:rFonts w:hint="default" w:ascii="Times New Roman" w:hAnsi="Times New Roman" w:eastAsia="宋体" w:cs="Times New Roman"/>
          <w:color w:val="auto"/>
          <w:kern w:val="0"/>
          <w:sz w:val="24"/>
          <w:highlight w:val="none"/>
        </w:rPr>
        <w:t>统计结果见下表。</w:t>
      </w:r>
    </w:p>
    <w:p>
      <w:pPr>
        <w:shd w:val="clear"/>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土壤环境各因子数据统计</w:t>
      </w:r>
      <w:r>
        <w:rPr>
          <w:rFonts w:hint="default" w:ascii="Times New Roman" w:hAnsi="Times New Roman" w:eastAsia="宋体" w:cs="Times New Roman"/>
          <w:b/>
          <w:color w:val="auto"/>
          <w:sz w:val="24"/>
          <w:highlight w:val="none"/>
          <w:lang w:eastAsia="zh-CN"/>
        </w:rPr>
        <w:t>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140"/>
        <w:gridCol w:w="2040"/>
        <w:gridCol w:w="20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Merge w:val="restart"/>
            <w:vAlign w:val="center"/>
          </w:tcPr>
          <w:p>
            <w:pPr>
              <w:keepNext w:val="0"/>
              <w:keepLines w:val="0"/>
              <w:pageBreakBefore w:val="0"/>
              <w:shd w:val="clear"/>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采样点位</w:t>
            </w:r>
          </w:p>
          <w:p>
            <w:pPr>
              <w:keepNext w:val="0"/>
              <w:keepLines w:val="0"/>
              <w:pageBreakBefore w:val="0"/>
              <w:shd w:val="clear"/>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zh-CN" w:eastAsia="zh-CN" w:bidi="ar-SA"/>
              </w:rPr>
              <w:t>分析项目</w:t>
            </w:r>
          </w:p>
        </w:tc>
        <w:tc>
          <w:tcPr>
            <w:tcW w:w="6120" w:type="dxa"/>
            <w:gridSpan w:val="3"/>
            <w:vAlign w:val="center"/>
          </w:tcPr>
          <w:p>
            <w:pPr>
              <w:keepNext w:val="0"/>
              <w:keepLines w:val="0"/>
              <w:pageBreakBefore w:val="0"/>
              <w:shd w:val="clear"/>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Merge w:val="continue"/>
            <w:vAlign w:val="center"/>
          </w:tcPr>
          <w:p>
            <w:pPr>
              <w:keepNext w:val="0"/>
              <w:keepLines w:val="0"/>
              <w:pageBreakBefore w:val="0"/>
              <w:shd w:val="clear"/>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kern w:val="2"/>
                <w:sz w:val="21"/>
                <w:szCs w:val="21"/>
                <w:lang w:val="zh-CN" w:eastAsia="zh-CN" w:bidi="ar-SA"/>
              </w:rPr>
            </w:pPr>
          </w:p>
        </w:tc>
        <w:tc>
          <w:tcPr>
            <w:tcW w:w="2040" w:type="dxa"/>
            <w:vAlign w:val="center"/>
          </w:tcPr>
          <w:p>
            <w:pPr>
              <w:keepNext w:val="0"/>
              <w:keepLines w:val="0"/>
              <w:pageBreakBefore w:val="0"/>
              <w:shd w:val="clear"/>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040" w:type="dxa"/>
            <w:vAlign w:val="center"/>
          </w:tcPr>
          <w:p>
            <w:pPr>
              <w:keepNext w:val="0"/>
              <w:keepLines w:val="0"/>
              <w:pageBreakBefore w:val="0"/>
              <w:shd w:val="clear"/>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040" w:type="dxa"/>
            <w:vAlign w:val="center"/>
          </w:tcPr>
          <w:p>
            <w:pPr>
              <w:keepNext w:val="0"/>
              <w:keepLines w:val="0"/>
              <w:pageBreakBefore w:val="0"/>
              <w:shd w:val="clear"/>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0.165</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0.158</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镉</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0.003</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六价铬</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0.140</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0.105</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铜</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0.001</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0.001</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铅</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0.031</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0.031</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汞</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0.002</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0.002</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镍</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0.039</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0.040</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四氯化碳</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0.007</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氯仿</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氯甲烷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1，1-二氯乙烷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0.0004</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1，2-二氯乙烷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1，1-二氯乙烯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0.0002</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顺-1，2-二氯乙烯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反-1，2-二氯乙烯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0.0002</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二氯甲烷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0.000005</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1，2-二氯丙烷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1，1，1，2-四氯乙烷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0.002</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四氯乙烯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1，1，1-三氯乙烷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1，1，2-三氯乙烷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三氯乙烯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0.001</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1，2，3-三氯丙烷</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氯乙烯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0.004</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0.000</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1，4-二氯苯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乙苯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苯乙烯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甲苯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0.00002</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间/对二甲苯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0.00003</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0.00001</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0.00002</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硝基苯</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苯胺</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2-氯酚</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苯并[a]蒽</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苯并[a]芘</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苯并[b]荧蒽</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苯并[k]荧蒽</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䓛</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二苯并[a，h]蒽</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茚并[1，2，3-cd]芘</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1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萘</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40" w:type="dxa"/>
            <w:vAlign w:val="center"/>
          </w:tcPr>
          <w:p>
            <w:pPr>
              <w:shd w:val="clea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bl>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项目所在地土壤环境质量</w:t>
      </w:r>
      <w:r>
        <w:rPr>
          <w:rFonts w:hint="default" w:ascii="Times New Roman" w:hAnsi="Times New Roman" w:eastAsia="宋体" w:cs="Times New Roman"/>
          <w:color w:val="auto"/>
          <w:sz w:val="24"/>
          <w:szCs w:val="24"/>
          <w:highlight w:val="none"/>
          <w:lang w:eastAsia="zh-CN"/>
        </w:rPr>
        <w:t>满足</w:t>
      </w:r>
      <w:r>
        <w:rPr>
          <w:rFonts w:hint="default" w:ascii="Times New Roman" w:hAnsi="Times New Roman" w:eastAsia="宋体" w:cs="Times New Roman"/>
          <w:color w:val="auto"/>
          <w:sz w:val="24"/>
          <w:szCs w:val="24"/>
          <w:highlight w:val="none"/>
        </w:rPr>
        <w:t>《土壤环境质量建设用地土壤污染风险管控标准》（GB36600-2018）中第二类用地的筛选值，</w:t>
      </w:r>
      <w:r>
        <w:rPr>
          <w:rFonts w:hint="default" w:ascii="Times New Roman" w:hAnsi="Times New Roman" w:eastAsia="宋体" w:cs="Times New Roman"/>
          <w:color w:val="auto"/>
          <w:sz w:val="24"/>
          <w:szCs w:val="24"/>
          <w:highlight w:val="none"/>
          <w:lang w:eastAsia="zh-CN"/>
        </w:rPr>
        <w:t>土壤</w:t>
      </w:r>
      <w:r>
        <w:rPr>
          <w:rFonts w:hint="default" w:ascii="Times New Roman" w:hAnsi="Times New Roman" w:eastAsia="宋体" w:cs="Times New Roman"/>
          <w:color w:val="auto"/>
          <w:sz w:val="24"/>
          <w:szCs w:val="24"/>
          <w:highlight w:val="none"/>
        </w:rPr>
        <w:t>环境质量</w:t>
      </w:r>
      <w:r>
        <w:rPr>
          <w:rFonts w:hint="default" w:ascii="Times New Roman" w:hAnsi="Times New Roman" w:eastAsia="宋体" w:cs="Times New Roman"/>
          <w:color w:val="auto"/>
          <w:sz w:val="24"/>
          <w:szCs w:val="24"/>
          <w:highlight w:val="none"/>
          <w:lang w:val="en-US" w:eastAsia="zh-CN"/>
        </w:rPr>
        <w:t>较好。</w:t>
      </w:r>
    </w:p>
    <w:p>
      <w:pPr>
        <w:keepNext w:val="0"/>
        <w:shd w:val="clear"/>
        <w:tabs>
          <w:tab w:val="center" w:pos="4153"/>
          <w:tab w:val="right" w:pos="8306"/>
        </w:tabs>
        <w:ind w:firstLine="480"/>
        <w:rPr>
          <w:rFonts w:hint="default" w:ascii="Times New Roman" w:hAnsi="Times New Roman" w:eastAsia="宋体" w:cs="Times New Roman"/>
          <w:color w:val="auto"/>
          <w:highlight w:val="none"/>
          <w:lang w:val="en-US" w:eastAsia="zh-CN"/>
        </w:rPr>
      </w:pPr>
    </w:p>
    <w:p>
      <w:pPr>
        <w:keepNext w:val="0"/>
        <w:shd w:val="clear"/>
        <w:tabs>
          <w:tab w:val="center" w:pos="4153"/>
          <w:tab w:val="right" w:pos="8306"/>
        </w:tabs>
        <w:ind w:firstLine="480"/>
        <w:rPr>
          <w:rFonts w:hint="default" w:ascii="Times New Roman" w:hAnsi="Times New Roman" w:eastAsia="宋体" w:cs="Times New Roman"/>
          <w:color w:val="auto"/>
          <w:highlight w:val="none"/>
          <w:lang w:val="en-US" w:eastAsia="zh-CN"/>
        </w:rPr>
      </w:pPr>
    </w:p>
    <w:p>
      <w:pPr>
        <w:keepNext w:val="0"/>
        <w:shd w:val="clear"/>
        <w:tabs>
          <w:tab w:val="center" w:pos="4153"/>
          <w:tab w:val="right" w:pos="8306"/>
        </w:tabs>
        <w:ind w:firstLine="480"/>
        <w:rPr>
          <w:rFonts w:hint="default" w:ascii="Times New Roman" w:hAnsi="Times New Roman" w:eastAsia="宋体" w:cs="Times New Roman"/>
          <w:color w:val="auto"/>
          <w:highlight w:val="none"/>
          <w:lang w:val="en-US" w:eastAsia="zh-CN"/>
        </w:rPr>
      </w:pPr>
    </w:p>
    <w:p>
      <w:pPr>
        <w:keepNext w:val="0"/>
        <w:shd w:val="clear"/>
        <w:tabs>
          <w:tab w:val="center" w:pos="4153"/>
          <w:tab w:val="right" w:pos="8306"/>
        </w:tabs>
        <w:ind w:firstLine="480"/>
        <w:rPr>
          <w:rFonts w:hint="default" w:ascii="Times New Roman" w:hAnsi="Times New Roman" w:eastAsia="宋体" w:cs="Times New Roman"/>
          <w:color w:val="auto"/>
          <w:highlight w:val="none"/>
          <w:lang w:val="en-US" w:eastAsia="zh-CN"/>
        </w:rPr>
        <w:sectPr>
          <w:pgSz w:w="11906" w:h="16838"/>
          <w:pgMar w:top="1440" w:right="1797" w:bottom="1440" w:left="1797" w:header="851" w:footer="992" w:gutter="0"/>
          <w:pgNumType w:fmt="decimal"/>
          <w:cols w:space="425" w:num="1"/>
          <w:docGrid w:type="lines" w:linePitch="312" w:charSpace="0"/>
        </w:sectPr>
      </w:pPr>
    </w:p>
    <w:p>
      <w:pPr>
        <w:keepNext w:val="0"/>
        <w:shd w:val="clear"/>
        <w:tabs>
          <w:tab w:val="center" w:pos="4153"/>
          <w:tab w:val="right" w:pos="8306"/>
        </w:tabs>
        <w:ind w:left="0" w:leftChars="0" w:firstLine="0" w:firstLineChars="0"/>
        <w:jc w:val="center"/>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drawing>
          <wp:anchor distT="0" distB="0" distL="114300" distR="114300" simplePos="0" relativeHeight="251701248" behindDoc="0" locked="0" layoutInCell="1" allowOverlap="1">
            <wp:simplePos x="0" y="0"/>
            <wp:positionH relativeFrom="column">
              <wp:posOffset>7946390</wp:posOffset>
            </wp:positionH>
            <wp:positionV relativeFrom="paragraph">
              <wp:posOffset>23495</wp:posOffset>
            </wp:positionV>
            <wp:extent cx="567055" cy="624840"/>
            <wp:effectExtent l="0" t="0" r="4445" b="3810"/>
            <wp:wrapNone/>
            <wp:docPr id="1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
                    <pic:cNvPicPr>
                      <a:picLocks noChangeAspect="1"/>
                    </pic:cNvPicPr>
                  </pic:nvPicPr>
                  <pic:blipFill>
                    <a:blip r:embed="rId16"/>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4"/>
          <w:szCs w:val="32"/>
        </w:rPr>
        <mc:AlternateContent>
          <mc:Choice Requires="wps">
            <w:drawing>
              <wp:anchor distT="0" distB="0" distL="114300" distR="114300" simplePos="0" relativeHeight="251681792" behindDoc="0" locked="0" layoutInCell="1" allowOverlap="1">
                <wp:simplePos x="0" y="0"/>
                <wp:positionH relativeFrom="column">
                  <wp:posOffset>4286885</wp:posOffset>
                </wp:positionH>
                <wp:positionV relativeFrom="paragraph">
                  <wp:posOffset>2455545</wp:posOffset>
                </wp:positionV>
                <wp:extent cx="107950" cy="107950"/>
                <wp:effectExtent l="12700" t="0" r="12700" b="12700"/>
                <wp:wrapNone/>
                <wp:docPr id="103" name="矩形 10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55pt;margin-top:193.35pt;height:8.5pt;width:8.5pt;z-index:251681792;v-text-anchor:middle;mso-width-relative:page;mso-height-relative:page;" fillcolor="#00B0F0" filled="t" stroked="t" coordsize="21600,21600" o:gfxdata="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4alA2AAAAAsBAAAPAAAAAAAAAAEAIAAAACIAAABkcnMvZG93bnJldi54bWxQSwECFAAU&#10;AAAACACHTuJA1HI182MCAADgBAAADgAAAAAAAAABACAAAAAnAQAAZHJzL2Uyb0RvYy54bWxQSwUG&#10;AAAAAAYABgBZAQAA/AUAAAAA&#10;">
                <v:fill on="t" focussize="0,0"/>
                <v:stroke weight="2pt" color="#000000 [3213]" joinstyle="round"/>
                <v:imagedata o:title=""/>
                <o:lock v:ext="edit" aspectratio="f"/>
              </v:rect>
            </w:pict>
          </mc:Fallback>
        </mc:AlternateContent>
      </w:r>
      <w:r>
        <w:rPr>
          <w:rFonts w:hint="default" w:ascii="Times New Roman" w:hAnsi="Times New Roman" w:eastAsia="宋体" w:cs="Times New Roman"/>
          <w:color w:val="auto"/>
          <w:sz w:val="24"/>
          <w:szCs w:val="32"/>
        </w:rPr>
        <mc:AlternateContent>
          <mc:Choice Requires="wps">
            <w:drawing>
              <wp:anchor distT="0" distB="0" distL="114300" distR="114300" simplePos="0" relativeHeight="251681792" behindDoc="0" locked="0" layoutInCell="1" allowOverlap="1">
                <wp:simplePos x="0" y="0"/>
                <wp:positionH relativeFrom="column">
                  <wp:posOffset>4326255</wp:posOffset>
                </wp:positionH>
                <wp:positionV relativeFrom="paragraph">
                  <wp:posOffset>2321560</wp:posOffset>
                </wp:positionV>
                <wp:extent cx="107950" cy="107950"/>
                <wp:effectExtent l="12700" t="0" r="12700" b="12700"/>
                <wp:wrapNone/>
                <wp:docPr id="102" name="矩形 10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65pt;margin-top:182.8pt;height:8.5pt;width:8.5pt;z-index:251681792;v-text-anchor:middle;mso-width-relative:page;mso-height-relative:page;" fillcolor="#00B0F0" filled="t" stroked="t" coordsize="21600,21600" o:gfxdata="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dl1nbXAAAACwEAAA8AAAAAAAAAAQAgAAAAIgAAAGRycy9kb3ducmV2LnhtbFBLAQIUABQA&#10;AAAIAIdO4kCGzQSQYwIAAOAEAAAOAAAAAAAAAAEAIAAAACYBAABkcnMvZTJvRG9jLnhtbFBLBQYA&#10;AAAABgAGAFkBAAD7BQAAAAA=&#10;">
                <v:fill on="t" focussize="0,0"/>
                <v:stroke weight="2pt" color="#000000 [3213]" joinstyle="round"/>
                <v:imagedata o:title=""/>
                <o:lock v:ext="edit" aspectratio="f"/>
              </v:rect>
            </w:pict>
          </mc:Fallback>
        </mc:AlternateContent>
      </w:r>
      <w:r>
        <w:rPr>
          <w:rFonts w:hint="default" w:ascii="Times New Roman" w:hAnsi="Times New Roman" w:eastAsia="宋体" w:cs="Times New Roman"/>
          <w:color w:val="auto"/>
          <w:sz w:val="24"/>
          <w:szCs w:val="32"/>
        </w:rPr>
        <mc:AlternateContent>
          <mc:Choice Requires="wps">
            <w:drawing>
              <wp:anchor distT="0" distB="0" distL="114300" distR="114300" simplePos="0" relativeHeight="251661312" behindDoc="0" locked="0" layoutInCell="1" allowOverlap="1">
                <wp:simplePos x="0" y="0"/>
                <wp:positionH relativeFrom="column">
                  <wp:posOffset>4681220</wp:posOffset>
                </wp:positionH>
                <wp:positionV relativeFrom="paragraph">
                  <wp:posOffset>2311400</wp:posOffset>
                </wp:positionV>
                <wp:extent cx="107950" cy="107950"/>
                <wp:effectExtent l="12700" t="0" r="12700" b="12700"/>
                <wp:wrapNone/>
                <wp:docPr id="101" name="矩形 101"/>
                <wp:cNvGraphicFramePr/>
                <a:graphic xmlns:a="http://schemas.openxmlformats.org/drawingml/2006/main">
                  <a:graphicData uri="http://schemas.microsoft.com/office/word/2010/wordprocessingShape">
                    <wps:wsp>
                      <wps:cNvSpPr/>
                      <wps:spPr>
                        <a:xfrm>
                          <a:off x="3187700" y="2697480"/>
                          <a:ext cx="107950" cy="10795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6pt;margin-top:182pt;height:8.5pt;width:8.5pt;z-index:251661312;v-text-anchor:middle;mso-width-relative:page;mso-height-relative:page;" fillcolor="#00B0F0" filled="t" stroked="t" coordsize="21600,21600" o:gfxdata="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FwmbtYAAAALAQAADwAAAAAAAAABACAAAAAiAAAAZHJzL2Rv&#10;d25yZXYueG1sUEsBAhQAFAAAAAgAh07iQNBs2WB1AgAA9wQAAA4AAAAAAAAAAQAgAAAAJQEAAGRy&#10;cy9lMm9Eb2MueG1sUEsFBgAAAAAGAAYAWQEAAAwGAAAAAA==&#10;">
                <v:fill on="t" focussize="0,0"/>
                <v:stroke weight="2pt" color="#000000 [3213]" joinstyle="round"/>
                <v:imagedata o:title=""/>
                <o:lock v:ext="edit" aspectratio="f"/>
                <v:textbo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rect>
            </w:pict>
          </mc:Fallback>
        </mc:AlternateContent>
      </w:r>
      <w:r>
        <w:rPr>
          <w:rFonts w:hint="default" w:ascii="Times New Roman" w:hAnsi="Times New Roman" w:eastAsia="宋体" w:cs="Times New Roman"/>
          <w:color w:val="auto"/>
          <w:sz w:val="24"/>
          <w:szCs w:val="32"/>
        </w:rPr>
        <mc:AlternateContent>
          <mc:Choice Requires="wps">
            <w:drawing>
              <wp:anchor distT="0" distB="0" distL="114300" distR="114300" simplePos="0" relativeHeight="251688960" behindDoc="0" locked="0" layoutInCell="1" allowOverlap="1">
                <wp:simplePos x="0" y="0"/>
                <wp:positionH relativeFrom="column">
                  <wp:posOffset>7877175</wp:posOffset>
                </wp:positionH>
                <wp:positionV relativeFrom="paragraph">
                  <wp:posOffset>3793490</wp:posOffset>
                </wp:positionV>
                <wp:extent cx="215900" cy="107950"/>
                <wp:effectExtent l="12700" t="12700" r="19050" b="12700"/>
                <wp:wrapNone/>
                <wp:docPr id="47" name="矩形 47"/>
                <wp:cNvGraphicFramePr/>
                <a:graphic xmlns:a="http://schemas.openxmlformats.org/drawingml/2006/main">
                  <a:graphicData uri="http://schemas.microsoft.com/office/word/2010/wordprocessingShape">
                    <wps:wsp>
                      <wps:cNvSpPr/>
                      <wps:spPr>
                        <a:xfrm>
                          <a:off x="0" y="0"/>
                          <a:ext cx="215900" cy="107950"/>
                        </a:xfrm>
                        <a:prstGeom prst="rect">
                          <a:avLst/>
                        </a:prstGeom>
                        <a:solidFill>
                          <a:srgbClr val="7030A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0.25pt;margin-top:298.7pt;height:8.5pt;width:17pt;z-index:251688960;v-text-anchor:middle;mso-width-relative:page;mso-height-relative:page;" fillcolor="#7030A0" filled="t" stroked="t" coordsize="21600,21600" o:gfxdata="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MTUs9oAAAANAQAADwAAAAAAAAABACAAAAAiAAAAZHJzL2Rvd25yZXYueG1s&#10;UEsBAhQAFAAAAAgAh07iQOgpB/BoAgAA3gQAAA4AAAAAAAAAAQAgAAAAKQEAAGRycy9lMm9Eb2Mu&#10;eG1sUEsFBgAAAAAGAAYAWQEAAAMGAAAAAA==&#10;">
                <v:fill on="t" focussize="0,0"/>
                <v:stroke weight="2pt" color="#FF0000 [3204]" joinstyle="round"/>
                <v:imagedata o:title=""/>
                <o:lock v:ext="edit" aspectratio="f"/>
              </v:rect>
            </w:pict>
          </mc:Fallback>
        </mc:AlternateContent>
      </w:r>
      <w:r>
        <w:rPr>
          <w:rFonts w:hint="default" w:ascii="Times New Roman" w:hAnsi="Times New Roman" w:eastAsia="宋体" w:cs="Times New Roman"/>
          <w:color w:val="auto"/>
          <w:sz w:val="24"/>
          <w:szCs w:val="32"/>
        </w:rPr>
        <mc:AlternateContent>
          <mc:Choice Requires="wps">
            <w:drawing>
              <wp:anchor distT="0" distB="0" distL="114300" distR="114300" simplePos="0" relativeHeight="251689984" behindDoc="0" locked="0" layoutInCell="1" allowOverlap="1">
                <wp:simplePos x="0" y="0"/>
                <wp:positionH relativeFrom="column">
                  <wp:posOffset>8466455</wp:posOffset>
                </wp:positionH>
                <wp:positionV relativeFrom="paragraph">
                  <wp:posOffset>4179570</wp:posOffset>
                </wp:positionV>
                <wp:extent cx="215900" cy="107950"/>
                <wp:effectExtent l="12700" t="12700" r="19050" b="12700"/>
                <wp:wrapNone/>
                <wp:docPr id="48" name="矩形 48"/>
                <wp:cNvGraphicFramePr/>
                <a:graphic xmlns:a="http://schemas.openxmlformats.org/drawingml/2006/main">
                  <a:graphicData uri="http://schemas.microsoft.com/office/word/2010/wordprocessingShape">
                    <wps:wsp>
                      <wps:cNvSpPr/>
                      <wps:spPr>
                        <a:xfrm>
                          <a:off x="0" y="0"/>
                          <a:ext cx="215900" cy="1079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6.65pt;margin-top:329.1pt;height:8.5pt;width:17pt;z-index:251689984;v-text-anchor:middle;mso-width-relative:page;mso-height-relative:page;" filled="f" stroked="t" coordsize="21600,21600" o:gfxdata="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LmUHdoAAAANAQAADwAAAAAAAAABACAAAAAiAAAAZHJzL2Rvd25yZXYueG1sUEsBAhQAFAAAAAgA&#10;h07iQEnk/fxcAgAAtQQAAA4AAAAAAAAAAQAgAAAAKQEAAGRycy9lMm9Eb2MueG1sUEsFBgAAAAAG&#10;AAYAWQEAAPcFAAAAAA==&#10;">
                <v:fill on="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szCs w:val="32"/>
        </w:rPr>
        <mc:AlternateContent>
          <mc:Choice Requires="wps">
            <w:drawing>
              <wp:anchor distT="0" distB="0" distL="114300" distR="114300" simplePos="0" relativeHeight="251703296" behindDoc="0" locked="0" layoutInCell="1" allowOverlap="1">
                <wp:simplePos x="0" y="0"/>
                <wp:positionH relativeFrom="column">
                  <wp:posOffset>8161020</wp:posOffset>
                </wp:positionH>
                <wp:positionV relativeFrom="paragraph">
                  <wp:posOffset>4587875</wp:posOffset>
                </wp:positionV>
                <wp:extent cx="107950" cy="108585"/>
                <wp:effectExtent l="12700" t="12700" r="12700" b="31115"/>
                <wp:wrapNone/>
                <wp:docPr id="5" name="矩形 5"/>
                <wp:cNvGraphicFramePr/>
                <a:graphic xmlns:a="http://schemas.openxmlformats.org/drawingml/2006/main">
                  <a:graphicData uri="http://schemas.microsoft.com/office/word/2010/wordprocessingShape">
                    <wps:wsp>
                      <wps:cNvSpPr/>
                      <wps:spPr>
                        <a:xfrm>
                          <a:off x="5071110" y="5010150"/>
                          <a:ext cx="107950" cy="108585"/>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2.6pt;margin-top:361.25pt;height:8.55pt;width:8.5pt;z-index:251703296;v-text-anchor:middle;mso-width-relative:page;mso-height-relative:page;" fillcolor="#00B0F0" filled="t" stroked="t" coordsize="21600,21600" o:gfxdata="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RrsSTYAAAADQEAAA8AAAAAAAAAAQAgAAAAIgAAAGRycy9kb3ducmV2&#10;LnhtbFBLAQIUABQAAAAIAIdO4kBMISvCbgIAAOgEAAAOAAAAAAAAAAEAIAAAACcBAABkcnMvZTJv&#10;RG9jLnhtbFBLBQYAAAAABgAGAFkBAAAHBgAAAAA=&#10;">
                <v:fill on="t" focussize="0,0"/>
                <v:stroke weight="2pt" color="#000000 [3213]" joinstyle="round"/>
                <v:imagedata o:title=""/>
                <o:lock v:ext="edit" aspectratio="f"/>
              </v:rect>
            </w:pict>
          </mc:Fallback>
        </mc:AlternateContent>
      </w:r>
      <w:r>
        <w:rPr>
          <w:rFonts w:hint="default" w:ascii="Times New Roman" w:hAnsi="Times New Roman" w:eastAsia="宋体" w:cs="Times New Roman"/>
          <w:color w:val="auto"/>
          <w:sz w:val="24"/>
          <w:szCs w:val="32"/>
          <w:highlight w:val="none"/>
        </w:rPr>
        <mc:AlternateContent>
          <mc:Choice Requires="wps">
            <w:drawing>
              <wp:anchor distT="0" distB="0" distL="114300" distR="114300" simplePos="0" relativeHeight="251687936" behindDoc="0" locked="0" layoutInCell="1" allowOverlap="1">
                <wp:simplePos x="0" y="0"/>
                <wp:positionH relativeFrom="column">
                  <wp:posOffset>7080885</wp:posOffset>
                </wp:positionH>
                <wp:positionV relativeFrom="paragraph">
                  <wp:posOffset>3193415</wp:posOffset>
                </wp:positionV>
                <wp:extent cx="1722120" cy="1729740"/>
                <wp:effectExtent l="12700" t="12700" r="17780" b="29210"/>
                <wp:wrapNone/>
                <wp:docPr id="45" name="矩形 45"/>
                <wp:cNvGraphicFramePr/>
                <a:graphic xmlns:a="http://schemas.openxmlformats.org/drawingml/2006/main">
                  <a:graphicData uri="http://schemas.microsoft.com/office/word/2010/wordprocessingShape">
                    <wps:wsp>
                      <wps:cNvSpPr/>
                      <wps:spPr>
                        <a:xfrm>
                          <a:off x="0" y="0"/>
                          <a:ext cx="1722120" cy="1729740"/>
                        </a:xfrm>
                        <a:prstGeom prst="rect">
                          <a:avLst/>
                        </a:prstGeom>
                        <a:solidFill>
                          <a:srgbClr val="BFBFBF"/>
                        </a:solidFill>
                        <a:ln w="25400" cap="flat" cmpd="sng">
                          <a:solidFill>
                            <a:srgbClr val="000000"/>
                          </a:solidFill>
                          <a:prstDash val="solid"/>
                          <a:round/>
                          <a:headEnd type="none" w="med" len="med"/>
                          <a:tailEnd type="none" w="med" len="med"/>
                        </a:ln>
                      </wps:spPr>
                      <wps:txbx>
                        <w:txbxContent>
                          <w:p>
                            <w:pPr>
                              <w:spacing w:line="360" w:lineRule="auto"/>
                              <w:jc w:val="center"/>
                              <w:rPr>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spacing w:line="360" w:lineRule="auto"/>
                              <w:ind w:firstLine="0" w:firstLineChars="0"/>
                              <w:rPr>
                                <w:rFonts w:hint="eastAsia" w:eastAsia="宋体"/>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b/>
                                <w:bCs/>
                                <w:color w:val="000000" w:themeColor="text1"/>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厂区位置</w:t>
                            </w:r>
                          </w:p>
                          <w:p>
                            <w:pPr>
                              <w:spacing w:line="360" w:lineRule="auto"/>
                              <w:ind w:firstLine="0" w:firstLineChars="0"/>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土壤</w:t>
                            </w: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环境评价范围</w:t>
                            </w:r>
                          </w:p>
                          <w:p>
                            <w:pPr>
                              <w:spacing w:line="360" w:lineRule="auto"/>
                              <w:ind w:firstLine="0" w:firstLineChars="0"/>
                              <w:rPr>
                                <w:rFonts w:hint="eastAsia" w:eastAsia="宋体"/>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土壤监测点位</w:t>
                            </w:r>
                          </w:p>
                          <w:p>
                            <w:pPr>
                              <w:spacing w:line="360" w:lineRule="auto"/>
                              <w:ind w:firstLine="0" w:firstLineChars="0"/>
                              <w:rPr>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anchor="ctr" upright="1"/>
                    </wps:wsp>
                  </a:graphicData>
                </a:graphic>
              </wp:anchor>
            </w:drawing>
          </mc:Choice>
          <mc:Fallback>
            <w:pict>
              <v:rect id="_x0000_s1026" o:spid="_x0000_s1026" o:spt="1" style="position:absolute;left:0pt;margin-left:557.55pt;margin-top:251.45pt;height:136.2pt;width:135.6pt;z-index:251687936;v-text-anchor:middle;mso-width-relative:page;mso-height-relative:page;" fillcolor="#BFBFBF" filled="t" stroked="t" coordsize="21600,21600" o:gfxdata="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53WtsAAAANAQAADwAAAAAAAAAB&#10;ACAAAAAiAAAAZHJzL2Rvd25yZXYueG1sUEsBAhQAFAAAAAgAh07iQEp9L/gNAgAAOgQAAA4AAAAA&#10;AAAAAQAgAAAAKgEAAGRycy9lMm9Eb2MueG1sUEsFBgAAAAAGAAYAWQEAAKkFAAAAAA==&#10;">
                <v:fill on="t" focussize="0,0"/>
                <v:stroke weight="2pt" color="#000000" joinstyle="round"/>
                <v:imagedata o:title=""/>
                <o:lock v:ext="edit" aspectratio="f"/>
                <v:textbox>
                  <w:txbxContent>
                    <w:p>
                      <w:pPr>
                        <w:spacing w:line="360" w:lineRule="auto"/>
                        <w:jc w:val="center"/>
                        <w:rPr>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spacing w:line="360" w:lineRule="auto"/>
                        <w:ind w:firstLine="0" w:firstLineChars="0"/>
                        <w:rPr>
                          <w:rFonts w:hint="eastAsia" w:eastAsia="宋体"/>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b/>
                          <w:bCs/>
                          <w:color w:val="000000" w:themeColor="text1"/>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厂区位置</w:t>
                      </w:r>
                    </w:p>
                    <w:p>
                      <w:pPr>
                        <w:spacing w:line="360" w:lineRule="auto"/>
                        <w:ind w:firstLine="0" w:firstLineChars="0"/>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土壤</w:t>
                      </w: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环境评价范围</w:t>
                      </w:r>
                    </w:p>
                    <w:p>
                      <w:pPr>
                        <w:spacing w:line="360" w:lineRule="auto"/>
                        <w:ind w:firstLine="0" w:firstLineChars="0"/>
                        <w:rPr>
                          <w:rFonts w:hint="eastAsia" w:eastAsia="宋体"/>
                          <w:b/>
                          <w:bCs/>
                          <w:color w:val="000000" w:themeColor="text1"/>
                          <w:sz w:val="24"/>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土壤监测点位</w:t>
                      </w:r>
                    </w:p>
                    <w:p>
                      <w:pPr>
                        <w:spacing w:line="360" w:lineRule="auto"/>
                        <w:ind w:firstLine="0" w:firstLineChars="0"/>
                        <w:rPr>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rect>
            </w:pict>
          </mc:Fallback>
        </mc:AlternateContent>
      </w:r>
      <w:r>
        <w:rPr>
          <w:rFonts w:hint="default" w:ascii="Times New Roman" w:hAnsi="Times New Roman" w:eastAsia="宋体" w:cs="Times New Roman"/>
          <w:color w:val="auto"/>
          <w:sz w:val="24"/>
          <w:szCs w:val="32"/>
        </w:rPr>
        <mc:AlternateContent>
          <mc:Choice Requires="wps">
            <w:drawing>
              <wp:anchor distT="0" distB="0" distL="114300" distR="114300" simplePos="0" relativeHeight="251743232" behindDoc="0" locked="0" layoutInCell="1" allowOverlap="1">
                <wp:simplePos x="0" y="0"/>
                <wp:positionH relativeFrom="column">
                  <wp:posOffset>3684270</wp:posOffset>
                </wp:positionH>
                <wp:positionV relativeFrom="paragraph">
                  <wp:posOffset>1738630</wp:posOffset>
                </wp:positionV>
                <wp:extent cx="1671955" cy="1844040"/>
                <wp:effectExtent l="12700" t="12700" r="29845" b="29210"/>
                <wp:wrapNone/>
                <wp:docPr id="178" name="任意多边形 178"/>
                <wp:cNvGraphicFramePr/>
                <a:graphic xmlns:a="http://schemas.openxmlformats.org/drawingml/2006/main">
                  <a:graphicData uri="http://schemas.microsoft.com/office/word/2010/wordprocessingShape">
                    <wps:wsp>
                      <wps:cNvSpPr/>
                      <wps:spPr>
                        <a:xfrm>
                          <a:off x="0" y="0"/>
                          <a:ext cx="1671955" cy="1844040"/>
                        </a:xfrm>
                        <a:custGeom>
                          <a:avLst/>
                          <a:gdLst>
                            <a:gd name="connisteX0" fmla="*/ 0 w 1780540"/>
                            <a:gd name="connsiteY0" fmla="*/ 241935 h 1883410"/>
                            <a:gd name="connisteX1" fmla="*/ 175895 w 1780540"/>
                            <a:gd name="connsiteY1" fmla="*/ 1355725 h 1883410"/>
                            <a:gd name="connisteX2" fmla="*/ 381000 w 1780540"/>
                            <a:gd name="connsiteY2" fmla="*/ 1326515 h 1883410"/>
                            <a:gd name="connisteX3" fmla="*/ 622935 w 1780540"/>
                            <a:gd name="connsiteY3" fmla="*/ 1883410 h 1883410"/>
                            <a:gd name="connisteX4" fmla="*/ 1597025 w 1780540"/>
                            <a:gd name="connsiteY4" fmla="*/ 1581785 h 1883410"/>
                            <a:gd name="connisteX5" fmla="*/ 1501775 w 1780540"/>
                            <a:gd name="connsiteY5" fmla="*/ 1200785 h 1883410"/>
                            <a:gd name="connisteX6" fmla="*/ 1780540 w 1780540"/>
                            <a:gd name="connsiteY6" fmla="*/ 1157605 h 1883410"/>
                            <a:gd name="connisteX7" fmla="*/ 1538605 w 1780540"/>
                            <a:gd name="connsiteY7" fmla="*/ 0 h 1883410"/>
                            <a:gd name="connisteX8" fmla="*/ 0 w 1780540"/>
                            <a:gd name="connsiteY8" fmla="*/ 241935 h 18834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780540" h="1883410">
                              <a:moveTo>
                                <a:pt x="0" y="241935"/>
                              </a:moveTo>
                              <a:lnTo>
                                <a:pt x="175895" y="1355725"/>
                              </a:lnTo>
                              <a:lnTo>
                                <a:pt x="381000" y="1326515"/>
                              </a:lnTo>
                              <a:lnTo>
                                <a:pt x="622935" y="1883410"/>
                              </a:lnTo>
                              <a:lnTo>
                                <a:pt x="1597025" y="1581785"/>
                              </a:lnTo>
                              <a:lnTo>
                                <a:pt x="1501775" y="1200785"/>
                              </a:lnTo>
                              <a:lnTo>
                                <a:pt x="1780540" y="1157605"/>
                              </a:lnTo>
                              <a:lnTo>
                                <a:pt x="1538605" y="0"/>
                              </a:lnTo>
                              <a:lnTo>
                                <a:pt x="0" y="241935"/>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90.1pt;margin-top:136.9pt;height:145.2pt;width:131.65pt;z-index:251743232;mso-width-relative:page;mso-height-relative:page;" filled="f" stroked="t" coordsize="1780540,1883410" o:gfxdata="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6dnMwNsAAAALAQAA&#10;DwAAAAAAAAABACAAAAAiAAAAZHJzL2Rvd25yZXYueG1sUEsBAhQAFAAAAAgAh07iQCFZ5AelAwAA&#10;mwsAAA4AAAAAAAAAAQAgAAAAKgEAAGRycy9lMm9Eb2MueG1sUEsFBgAAAAAGAAYAWQEAAEEHAAAA&#10;AA==&#10;" path="m0,241935l175895,1355725,381000,1326515,622935,1883410,1597025,1581785,1501775,1200785,1780540,1157605,1538605,0,0,241935xe">
                <v:path o:connectlocs="0,236877;165168,1327385;357764,1298786;584945,1844040;1499631,1548720;1410190,1175684;1671955,1133406;1444774,0;0,236877" o:connectangles="0,0,0,0,0,0,0,0,0"/>
                <v:fill on="f" focussize="0,0"/>
                <v:stroke weight="2pt" color="#00B050 [3204]" joinstyle="round"/>
                <v:imagedata o:title=""/>
                <o:lock v:ext="edit" aspectratio="f"/>
              </v:shape>
            </w:pict>
          </mc:Fallback>
        </mc:AlternateContent>
      </w:r>
      <w:r>
        <w:rPr>
          <w:rFonts w:hint="default" w:ascii="Times New Roman" w:hAnsi="Times New Roman" w:eastAsia="宋体" w:cs="Times New Roman"/>
          <w:color w:val="auto"/>
          <w:sz w:val="24"/>
          <w:szCs w:val="32"/>
        </w:rPr>
        <w:drawing>
          <wp:inline distT="0" distB="0" distL="114300" distR="114300">
            <wp:extent cx="8178165" cy="4895850"/>
            <wp:effectExtent l="0" t="0" r="13335" b="0"/>
            <wp:docPr id="177" name="图片 177" descr="屏幕截图3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屏幕截图333333333"/>
                    <pic:cNvPicPr>
                      <a:picLocks noChangeAspect="1"/>
                    </pic:cNvPicPr>
                  </pic:nvPicPr>
                  <pic:blipFill>
                    <a:blip r:embed="rId32"/>
                    <a:stretch>
                      <a:fillRect/>
                    </a:stretch>
                  </pic:blipFill>
                  <pic:spPr>
                    <a:xfrm>
                      <a:off x="0" y="0"/>
                      <a:ext cx="8178165" cy="4895850"/>
                    </a:xfrm>
                    <a:prstGeom prst="rect">
                      <a:avLst/>
                    </a:prstGeom>
                  </pic:spPr>
                </pic:pic>
              </a:graphicData>
            </a:graphic>
          </wp:inline>
        </w:drawing>
      </w:r>
    </w:p>
    <w:p>
      <w:pPr>
        <w:keepNext w:val="0"/>
        <w:shd w:val="clear"/>
        <w:tabs>
          <w:tab w:val="center" w:pos="4153"/>
          <w:tab w:val="right" w:pos="8306"/>
        </w:tabs>
        <w:ind w:left="0" w:leftChars="0" w:firstLine="0" w:firstLineChars="0"/>
        <w:jc w:val="center"/>
        <w:rPr>
          <w:rFonts w:hint="default" w:ascii="Times New Roman" w:hAnsi="Times New Roman" w:eastAsia="宋体" w:cs="Times New Roman"/>
          <w:color w:val="auto"/>
          <w:sz w:val="24"/>
          <w:szCs w:val="32"/>
          <w:highlight w:val="none"/>
        </w:rPr>
        <w:sectPr>
          <w:pgSz w:w="16838" w:h="11906" w:orient="landscape"/>
          <w:pgMar w:top="1797" w:right="1440" w:bottom="1797" w:left="1440" w:header="851" w:footer="992" w:gutter="0"/>
          <w:pgNumType w:fmt="decimal"/>
          <w:cols w:space="425" w:num="1"/>
          <w:docGrid w:type="lines" w:linePitch="312" w:charSpace="0"/>
        </w:sectPr>
      </w:pPr>
      <w:r>
        <w:rPr>
          <w:rFonts w:hint="default" w:ascii="Times New Roman" w:hAnsi="Times New Roman" w:eastAsia="宋体" w:cs="Times New Roman"/>
          <w:b/>
          <w:bCs/>
          <w:color w:val="auto"/>
          <w:sz w:val="24"/>
          <w:szCs w:val="32"/>
          <w:highlight w:val="none"/>
          <w:lang w:val="en-US" w:eastAsia="zh-CN"/>
        </w:rPr>
        <w:t>图4.4-1  土壤环境布点图</w:t>
      </w:r>
    </w:p>
    <w:p>
      <w:pPr>
        <w:pStyle w:val="5"/>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rPr>
      </w:pPr>
      <w:bookmarkStart w:id="221" w:name="_Toc18763"/>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声环境现状监测与评价</w:t>
      </w:r>
      <w:bookmarkEnd w:id="216"/>
      <w:bookmarkEnd w:id="217"/>
      <w:bookmarkEnd w:id="218"/>
      <w:bookmarkEnd w:id="219"/>
      <w:bookmarkEnd w:id="221"/>
    </w:p>
    <w:p>
      <w:pPr>
        <w:pStyle w:val="6"/>
        <w:keepNext w:val="0"/>
        <w:keepLines w:val="0"/>
        <w:shd w:val="clear"/>
        <w:spacing w:line="360" w:lineRule="auto"/>
        <w:rPr>
          <w:rFonts w:hint="default" w:ascii="Times New Roman" w:hAnsi="Times New Roman" w:eastAsia="宋体" w:cs="Times New Roman"/>
          <w:color w:val="auto"/>
          <w:highlight w:val="none"/>
        </w:rPr>
      </w:pPr>
      <w:bookmarkStart w:id="222" w:name="_Toc243043574"/>
      <w:bookmarkStart w:id="223" w:name="_Toc327383111"/>
      <w:bookmarkStart w:id="224" w:name="_Toc152924480"/>
      <w:bookmarkStart w:id="225" w:name="_Toc154297934"/>
      <w:bookmarkStart w:id="226" w:name="_Toc29171431"/>
      <w:bookmarkStart w:id="227" w:name="_Toc464475395"/>
      <w:bookmarkStart w:id="228" w:name="_Toc29168808"/>
      <w:bookmarkStart w:id="229" w:name="_Toc154113664"/>
      <w:bookmarkStart w:id="230" w:name="_Toc154297277"/>
      <w:bookmarkStart w:id="231" w:name="_Toc248741095"/>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.1声环境质量现状监测</w:t>
      </w:r>
      <w:bookmarkEnd w:id="222"/>
      <w:bookmarkEnd w:id="223"/>
      <w:bookmarkEnd w:id="224"/>
      <w:bookmarkEnd w:id="225"/>
      <w:bookmarkEnd w:id="226"/>
      <w:bookmarkEnd w:id="227"/>
      <w:bookmarkEnd w:id="228"/>
      <w:bookmarkEnd w:id="229"/>
      <w:bookmarkEnd w:id="230"/>
      <w:bookmarkEnd w:id="231"/>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监测点位</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本次共布设</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个声环境质量监测点，</w:t>
      </w:r>
      <w:r>
        <w:rPr>
          <w:rFonts w:hint="default" w:ascii="Times New Roman" w:hAnsi="Times New Roman" w:eastAsia="宋体" w:cs="Times New Roman"/>
          <w:color w:val="auto"/>
          <w:sz w:val="24"/>
          <w:szCs w:val="24"/>
          <w:highlight w:val="none"/>
          <w:lang w:eastAsia="zh-CN"/>
        </w:rPr>
        <w:t>厂区四周各设置1个噪声监测点，农商银行、东侧居民、南侧居民、北侧居民、电力公司各设置1个噪声监测点</w:t>
      </w:r>
      <w:r>
        <w:rPr>
          <w:rFonts w:hint="default" w:ascii="Times New Roman" w:hAnsi="Times New Roman" w:eastAsia="宋体" w:cs="Times New Roman"/>
          <w:color w:val="auto"/>
          <w:sz w:val="24"/>
          <w:szCs w:val="24"/>
          <w:highlight w:val="none"/>
        </w:rPr>
        <w:t>。监测布点见附图4.</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-1。</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监测时间</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本次声环境质量现状监测由内蒙古华智鼎环保科技有限公司于20</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日进行。监测时间选择昼间（06：00～22：00）和夜间（22：00～06：00）两个时段，每次测量10分钟的连续等效A声级。</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监测项目</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噪声测量值为A声级，采用等效连续A声级LAeq作为评价量。</w:t>
      </w:r>
    </w:p>
    <w:p>
      <w:pPr>
        <w:pStyle w:val="138"/>
        <w:keepNext w:val="0"/>
        <w:shd w:val="clear"/>
        <w:spacing w:line="360" w:lineRule="auto"/>
        <w:ind w:firstLine="480"/>
        <w:rPr>
          <w:rFonts w:hint="default" w:ascii="Times New Roman" w:hAnsi="Times New Roman" w:eastAsia="宋体" w:cs="Times New Roman"/>
          <w:color w:val="auto"/>
          <w:sz w:val="24"/>
          <w:szCs w:val="24"/>
          <w:highlight w:val="none"/>
        </w:rPr>
      </w:pPr>
      <w:bookmarkStart w:id="232" w:name="_Toc154297281"/>
      <w:bookmarkStart w:id="233" w:name="_Toc154297938"/>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监测结果</w:t>
      </w:r>
      <w:bookmarkEnd w:id="232"/>
      <w:bookmarkEnd w:id="233"/>
    </w:p>
    <w:p>
      <w:pPr>
        <w:keepNext w:val="0"/>
        <w:shd w:val="clear"/>
        <w:tabs>
          <w:tab w:val="center" w:pos="4153"/>
          <w:tab w:val="right" w:pos="8306"/>
        </w:tabs>
        <w:spacing w:line="360" w:lineRule="auto"/>
        <w:ind w:firstLine="480"/>
        <w:rPr>
          <w:rFonts w:hint="default" w:ascii="Times New Roman" w:hAnsi="Times New Roman" w:eastAsia="宋体" w:cs="Times New Roman"/>
          <w:b/>
          <w:color w:val="auto"/>
          <w:sz w:val="24"/>
          <w:szCs w:val="24"/>
          <w:highlight w:val="none"/>
        </w:rPr>
      </w:pPr>
      <w:bookmarkStart w:id="234" w:name="_Ref203376394"/>
      <w:r>
        <w:rPr>
          <w:rFonts w:hint="default" w:ascii="Times New Roman" w:hAnsi="Times New Roman" w:eastAsia="宋体" w:cs="Times New Roman"/>
          <w:color w:val="auto"/>
          <w:sz w:val="24"/>
          <w:szCs w:val="24"/>
          <w:highlight w:val="none"/>
        </w:rPr>
        <w:t>监测结果见表4.</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-1。</w:t>
      </w:r>
      <w:bookmarkEnd w:id="234"/>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1   声环境质量现状监测结果表   单位：dB（A）</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1656"/>
        <w:gridCol w:w="1656"/>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5"/>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声环境质量现状常规检测Leq[dB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Merge w:val="restart"/>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pacing w:val="20"/>
                <w:sz w:val="21"/>
                <w:szCs w:val="21"/>
                <w:highlight w:val="none"/>
              </w:rPr>
              <w:t>检测点位</w:t>
            </w:r>
          </w:p>
        </w:tc>
        <w:tc>
          <w:tcPr>
            <w:tcW w:w="3312" w:type="dxa"/>
            <w:gridSpan w:val="2"/>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p>
        </w:tc>
        <w:tc>
          <w:tcPr>
            <w:tcW w:w="3312" w:type="dxa"/>
            <w:gridSpan w:val="2"/>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Merge w:val="continue"/>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656" w:type="dxa"/>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检测时间</w:t>
            </w:r>
          </w:p>
        </w:tc>
        <w:tc>
          <w:tcPr>
            <w:tcW w:w="1656" w:type="dxa"/>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检测结果</w:t>
            </w:r>
          </w:p>
        </w:tc>
        <w:tc>
          <w:tcPr>
            <w:tcW w:w="1656" w:type="dxa"/>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检测时间</w:t>
            </w:r>
          </w:p>
        </w:tc>
        <w:tc>
          <w:tcPr>
            <w:tcW w:w="1656" w:type="dxa"/>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rPr>
              <w:t>厂界东侧△1</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08:02-08:12</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51</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22:02-22:12</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南侧△2</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08:15-08:25</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52</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22:16-22:26</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侧△3</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08:29-08:39</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54</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22:29-22:39</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西南</w:t>
            </w:r>
            <w:r>
              <w:rPr>
                <w:rFonts w:hint="default" w:ascii="Times New Roman" w:hAnsi="Times New Roman" w:eastAsia="宋体" w:cs="Times New Roman"/>
                <w:color w:val="auto"/>
                <w:sz w:val="21"/>
                <w:szCs w:val="21"/>
              </w:rPr>
              <w:t>侧△4</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08:42-08:52</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22:43-22:53</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5</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08:58-09:08</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51</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23:00-23:10</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厂界北侧△</w:t>
            </w:r>
            <w:r>
              <w:rPr>
                <w:rFonts w:hint="default" w:ascii="Times New Roman" w:hAnsi="Times New Roman" w:eastAsia="宋体" w:cs="Times New Roman"/>
                <w:color w:val="auto"/>
                <w:sz w:val="21"/>
                <w:szCs w:val="21"/>
                <w:lang w:val="en-US" w:eastAsia="zh-CN"/>
              </w:rPr>
              <w:t>6</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09:13-09:23</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23:16-23:26</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北侧居民△</w:t>
            </w:r>
            <w:r>
              <w:rPr>
                <w:rFonts w:hint="default" w:ascii="Times New Roman" w:hAnsi="Times New Roman" w:eastAsia="宋体" w:cs="Times New Roman"/>
                <w:color w:val="auto"/>
                <w:sz w:val="21"/>
                <w:szCs w:val="21"/>
                <w:lang w:val="en-US" w:eastAsia="zh-CN"/>
              </w:rPr>
              <w:t>7</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09:27-09:37</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53</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23:29-23:39</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东侧居民△</w:t>
            </w:r>
            <w:r>
              <w:rPr>
                <w:rFonts w:hint="default" w:ascii="Times New Roman" w:hAnsi="Times New Roman" w:eastAsia="宋体" w:cs="Times New Roman"/>
                <w:color w:val="auto"/>
                <w:sz w:val="21"/>
                <w:szCs w:val="21"/>
                <w:lang w:val="en-US" w:eastAsia="zh-CN"/>
              </w:rPr>
              <w:t>8</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09:42-09:52</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53</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23:43-23:53</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南侧居民△</w:t>
            </w:r>
            <w:r>
              <w:rPr>
                <w:rFonts w:hint="default" w:ascii="Times New Roman" w:hAnsi="Times New Roman" w:eastAsia="宋体" w:cs="Times New Roman"/>
                <w:color w:val="auto"/>
                <w:sz w:val="21"/>
                <w:szCs w:val="21"/>
                <w:lang w:val="en-US" w:eastAsia="zh-CN"/>
              </w:rPr>
              <w:t>9</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09:59-10:09</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52</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23:57-00:07</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农商银行△</w:t>
            </w:r>
            <w:r>
              <w:rPr>
                <w:rFonts w:hint="default" w:ascii="Times New Roman" w:hAnsi="Times New Roman" w:eastAsia="宋体" w:cs="Times New Roman"/>
                <w:color w:val="auto"/>
                <w:sz w:val="21"/>
                <w:szCs w:val="21"/>
                <w:lang w:val="en-US" w:eastAsia="zh-CN"/>
              </w:rPr>
              <w:t>10</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10:15-10:25</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54</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00:12-00:22</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电力公司△</w:t>
            </w:r>
            <w:r>
              <w:rPr>
                <w:rFonts w:hint="default" w:ascii="Times New Roman" w:hAnsi="Times New Roman" w:eastAsia="宋体" w:cs="Times New Roman"/>
                <w:color w:val="auto"/>
                <w:sz w:val="21"/>
                <w:szCs w:val="21"/>
                <w:lang w:val="en-US" w:eastAsia="zh-CN"/>
              </w:rPr>
              <w:t>11</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10:29-10:39</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55</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00:26-00:36</w:t>
            </w:r>
          </w:p>
        </w:tc>
        <w:tc>
          <w:tcPr>
            <w:tcW w:w="1656" w:type="dxa"/>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3" w:type="dxa"/>
            <w:vAlign w:val="center"/>
          </w:tcPr>
          <w:p>
            <w:pPr>
              <w:shd w:val="clear"/>
              <w:tabs>
                <w:tab w:val="left" w:pos="1470"/>
              </w:tabs>
              <w:adjustRightInd w:val="0"/>
              <w:snapToGrid w:val="0"/>
              <w:spacing w:line="240" w:lineRule="auto"/>
              <w:jc w:val="center"/>
              <w:rPr>
                <w:rFonts w:hint="default" w:ascii="Times New Roman" w:hAnsi="Times New Roman" w:eastAsia="宋体" w:cs="Times New Roman"/>
                <w:color w:val="auto"/>
                <w:sz w:val="21"/>
                <w:szCs w:val="21"/>
                <w:highlight w:val="none"/>
              </w:rPr>
            </w:pPr>
            <w:bookmarkStart w:id="235" w:name="_Toc154297282"/>
            <w:bookmarkStart w:id="236" w:name="_Toc154113665"/>
            <w:bookmarkStart w:id="237" w:name="_Toc243043575"/>
            <w:bookmarkStart w:id="238" w:name="_Toc327383112"/>
            <w:bookmarkStart w:id="239" w:name="_Toc154297939"/>
            <w:bookmarkStart w:id="240" w:name="_Toc248741096"/>
            <w:bookmarkStart w:id="241" w:name="_Toc29171432"/>
            <w:bookmarkStart w:id="242" w:name="_Toc464475396"/>
            <w:bookmarkStart w:id="243" w:name="_Toc29168809"/>
            <w:bookmarkStart w:id="244" w:name="_Toc152924481"/>
            <w:r>
              <w:rPr>
                <w:rFonts w:hint="default" w:ascii="Times New Roman" w:hAnsi="Times New Roman" w:eastAsia="宋体" w:cs="Times New Roman"/>
                <w:color w:val="auto"/>
                <w:sz w:val="21"/>
                <w:szCs w:val="21"/>
                <w:highlight w:val="none"/>
              </w:rPr>
              <w:t>《声环境质量标准》（GB3096-2008）2类功能区</w:t>
            </w:r>
          </w:p>
        </w:tc>
        <w:tc>
          <w:tcPr>
            <w:tcW w:w="3312" w:type="dxa"/>
            <w:gridSpan w:val="2"/>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rPr>
              <w:t>昼间</w:t>
            </w: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dB（A）</w:t>
            </w:r>
          </w:p>
        </w:tc>
        <w:tc>
          <w:tcPr>
            <w:tcW w:w="3312" w:type="dxa"/>
            <w:gridSpan w:val="2"/>
            <w:vAlign w:val="center"/>
          </w:tcPr>
          <w:p>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rPr>
              <w:t>夜间</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dB（A）</w:t>
            </w:r>
          </w:p>
        </w:tc>
      </w:tr>
    </w:tbl>
    <w:p>
      <w:pPr>
        <w:pStyle w:val="6"/>
        <w:keepNext w:val="0"/>
        <w:keepLines w:val="0"/>
        <w:shd w:val="clea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.2声环境质量现状评价</w:t>
      </w:r>
      <w:bookmarkEnd w:id="235"/>
      <w:bookmarkEnd w:id="236"/>
      <w:bookmarkEnd w:id="237"/>
      <w:bookmarkEnd w:id="238"/>
      <w:bookmarkEnd w:id="239"/>
      <w:bookmarkEnd w:id="240"/>
      <w:bookmarkEnd w:id="241"/>
      <w:bookmarkEnd w:id="242"/>
      <w:bookmarkEnd w:id="243"/>
      <w:bookmarkEnd w:id="244"/>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lang w:eastAsia="zh-CN"/>
        </w:rPr>
      </w:pPr>
      <w:bookmarkStart w:id="245" w:name="_Toc142986085"/>
      <w:bookmarkStart w:id="246" w:name="_Toc149658117"/>
      <w:bookmarkStart w:id="247" w:name="_Toc142986824"/>
      <w:r>
        <w:rPr>
          <w:rFonts w:hint="default" w:ascii="Times New Roman" w:hAnsi="Times New Roman" w:eastAsia="宋体" w:cs="Times New Roman"/>
          <w:color w:val="auto"/>
          <w:sz w:val="24"/>
          <w:szCs w:val="32"/>
          <w:highlight w:val="none"/>
        </w:rPr>
        <w:t>根据监测统计结果，各监测点的昼间监测值在</w:t>
      </w:r>
      <w:r>
        <w:rPr>
          <w:rFonts w:hint="default" w:ascii="Times New Roman" w:hAnsi="Times New Roman" w:eastAsia="宋体" w:cs="Times New Roman"/>
          <w:color w:val="auto"/>
          <w:sz w:val="24"/>
          <w:szCs w:val="32"/>
          <w:highlight w:val="none"/>
          <w:lang w:val="en-US" w:eastAsia="zh-CN"/>
        </w:rPr>
        <w:t>50</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lang w:val="en-US" w:eastAsia="zh-CN"/>
        </w:rPr>
        <w:t>55</w:t>
      </w:r>
      <w:r>
        <w:rPr>
          <w:rFonts w:hint="default" w:ascii="Times New Roman" w:hAnsi="Times New Roman" w:eastAsia="宋体" w:cs="Times New Roman"/>
          <w:color w:val="auto"/>
          <w:sz w:val="24"/>
          <w:szCs w:val="32"/>
          <w:highlight w:val="none"/>
        </w:rPr>
        <w:t>dB（A），夜间监测值在</w:t>
      </w:r>
      <w:r>
        <w:rPr>
          <w:rFonts w:hint="default" w:ascii="Times New Roman" w:hAnsi="Times New Roman" w:eastAsia="宋体" w:cs="Times New Roman"/>
          <w:color w:val="auto"/>
          <w:sz w:val="24"/>
          <w:szCs w:val="32"/>
          <w:highlight w:val="none"/>
          <w:lang w:val="en-US" w:eastAsia="zh-CN"/>
        </w:rPr>
        <w:t>41</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lang w:val="en-US" w:eastAsia="zh-CN"/>
        </w:rPr>
        <w:t>45</w:t>
      </w:r>
      <w:r>
        <w:rPr>
          <w:rFonts w:hint="default" w:ascii="Times New Roman" w:hAnsi="Times New Roman" w:eastAsia="宋体" w:cs="Times New Roman"/>
          <w:color w:val="auto"/>
          <w:sz w:val="24"/>
          <w:szCs w:val="32"/>
          <w:highlight w:val="none"/>
        </w:rPr>
        <w:t>dB（A）之间，满足《声环境质量标准》（GB3096-2008）</w:t>
      </w:r>
      <w:r>
        <w:rPr>
          <w:rFonts w:hint="default"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rPr>
        <w:t>类标准，</w:t>
      </w:r>
      <w:bookmarkEnd w:id="245"/>
      <w:bookmarkEnd w:id="246"/>
      <w:bookmarkEnd w:id="247"/>
      <w:r>
        <w:rPr>
          <w:rFonts w:hint="default" w:ascii="Times New Roman" w:hAnsi="Times New Roman" w:eastAsia="宋体" w:cs="Times New Roman"/>
          <w:color w:val="auto"/>
          <w:sz w:val="24"/>
          <w:szCs w:val="32"/>
          <w:highlight w:val="none"/>
        </w:rPr>
        <w:t>这表明拟建项目所在区域声环境良好</w:t>
      </w:r>
      <w:r>
        <w:rPr>
          <w:rFonts w:hint="default" w:ascii="Times New Roman" w:hAnsi="Times New Roman" w:eastAsia="宋体" w:cs="Times New Roman"/>
          <w:color w:val="auto"/>
          <w:sz w:val="24"/>
          <w:szCs w:val="32"/>
          <w:highlight w:val="none"/>
          <w:lang w:eastAsia="zh-CN"/>
        </w:rPr>
        <w:t>。</w:t>
      </w:r>
    </w:p>
    <w:p>
      <w:pPr>
        <w:pStyle w:val="5"/>
        <w:shd w:val="clear"/>
        <w:spacing w:line="360" w:lineRule="auto"/>
        <w:rPr>
          <w:rFonts w:hint="default" w:ascii="Times New Roman" w:hAnsi="Times New Roman" w:eastAsia="宋体" w:cs="Times New Roman"/>
          <w:color w:val="auto"/>
          <w:highlight w:val="none"/>
        </w:rPr>
      </w:pPr>
      <w:bookmarkStart w:id="248" w:name="_Toc14593"/>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生态</w:t>
      </w:r>
      <w:r>
        <w:rPr>
          <w:rFonts w:hint="default" w:ascii="Times New Roman" w:hAnsi="Times New Roman" w:eastAsia="宋体" w:cs="Times New Roman"/>
          <w:color w:val="auto"/>
          <w:highlight w:val="none"/>
        </w:rPr>
        <w:t>环境现状评价</w:t>
      </w:r>
      <w:bookmarkEnd w:id="248"/>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本项目位于乌拉特前旗额尔登布拉格苏木旧乡政府院内，利用院内现有生产厂房进行建设，不新增占地；并且根据现场调查，拟建厂区内无自然植被覆盖。</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lang w:val="en-US" w:eastAsia="zh-CN"/>
        </w:rPr>
      </w:pP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lang w:val="en-US" w:eastAsia="zh-CN"/>
        </w:rPr>
      </w:pP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lang w:val="en-US" w:eastAsia="zh-CN"/>
        </w:rPr>
      </w:pPr>
    </w:p>
    <w:p>
      <w:pPr>
        <w:keepNext w:val="0"/>
        <w:shd w:val="clear"/>
        <w:tabs>
          <w:tab w:val="center" w:pos="4153"/>
          <w:tab w:val="right" w:pos="8306"/>
        </w:tabs>
        <w:ind w:firstLine="480"/>
        <w:rPr>
          <w:rFonts w:hint="default" w:ascii="Times New Roman" w:hAnsi="Times New Roman" w:eastAsia="宋体" w:cs="Times New Roman"/>
          <w:color w:val="auto"/>
          <w:highlight w:val="none"/>
          <w:lang w:eastAsia="zh-CN"/>
        </w:rPr>
        <w:sectPr>
          <w:pgSz w:w="11906" w:h="16838"/>
          <w:pgMar w:top="1440" w:right="1797" w:bottom="1440" w:left="1797" w:header="851" w:footer="992" w:gutter="0"/>
          <w:pgNumType w:fmt="decimal"/>
          <w:cols w:space="425" w:num="1"/>
          <w:docGrid w:type="lines" w:linePitch="312" w:charSpace="0"/>
        </w:sectPr>
      </w:pPr>
    </w:p>
    <w:p>
      <w:pPr>
        <w:keepNext w:val="0"/>
        <w:shd w:val="clear"/>
        <w:tabs>
          <w:tab w:val="center" w:pos="4153"/>
          <w:tab w:val="right" w:pos="8306"/>
        </w:tabs>
        <w:ind w:left="0" w:leftChars="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755520" behindDoc="0" locked="0" layoutInCell="1" allowOverlap="1">
                <wp:simplePos x="0" y="0"/>
                <wp:positionH relativeFrom="column">
                  <wp:posOffset>5639435</wp:posOffset>
                </wp:positionH>
                <wp:positionV relativeFrom="paragraph">
                  <wp:posOffset>1544955</wp:posOffset>
                </wp:positionV>
                <wp:extent cx="107950" cy="179705"/>
                <wp:effectExtent l="12700" t="12700" r="12700" b="17145"/>
                <wp:wrapNone/>
                <wp:docPr id="193" name="等腰三角形 193"/>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44.05pt;margin-top:121.65pt;height:14.15pt;width:8.5pt;z-index:251755520;v-text-anchor:middle;mso-width-relative:page;mso-height-relative:page;" fillcolor="#FFFF00" filled="t" stroked="t" coordsize="21600,21600" o:gfxdata="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3dclXZAAAACwEAAA8AAAAAAAAAAQAgAAAA&#10;IgAAAGRycy9kb3ducmV2LnhtbFBLAQIUABQAAAAIAIdO4kBvEUahfAIAAO0EAAAOAAAAAAAAAAEA&#10;IAAAACgBAABkcnMvZTJvRG9jLnhtbFBLBQYAAAAABgAGAFkBAAAWBg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44256" behindDoc="0" locked="0" layoutInCell="1" allowOverlap="1">
                <wp:simplePos x="0" y="0"/>
                <wp:positionH relativeFrom="column">
                  <wp:posOffset>1766570</wp:posOffset>
                </wp:positionH>
                <wp:positionV relativeFrom="paragraph">
                  <wp:posOffset>496570</wp:posOffset>
                </wp:positionV>
                <wp:extent cx="4718050" cy="4255770"/>
                <wp:effectExtent l="12700" t="12700" r="12700" b="17780"/>
                <wp:wrapNone/>
                <wp:docPr id="182" name="任意多边形 182"/>
                <wp:cNvGraphicFramePr/>
                <a:graphic xmlns:a="http://schemas.openxmlformats.org/drawingml/2006/main">
                  <a:graphicData uri="http://schemas.microsoft.com/office/word/2010/wordprocessingShape">
                    <wps:wsp>
                      <wps:cNvSpPr/>
                      <wps:spPr>
                        <a:xfrm>
                          <a:off x="0" y="0"/>
                          <a:ext cx="4718050" cy="4255770"/>
                        </a:xfrm>
                        <a:custGeom>
                          <a:avLst/>
                          <a:gdLst>
                            <a:gd name="connisteX0" fmla="*/ 4184015 w 4982210"/>
                            <a:gd name="connsiteY0" fmla="*/ 0 h 4439920"/>
                            <a:gd name="connisteX1" fmla="*/ 0 w 4982210"/>
                            <a:gd name="connsiteY1" fmla="*/ 577850 h 4439920"/>
                            <a:gd name="connisteX2" fmla="*/ 586105 w 4982210"/>
                            <a:gd name="connsiteY2" fmla="*/ 3838575 h 4439920"/>
                            <a:gd name="connisteX3" fmla="*/ 784225 w 4982210"/>
                            <a:gd name="connsiteY3" fmla="*/ 3795395 h 4439920"/>
                            <a:gd name="connisteX4" fmla="*/ 952500 w 4982210"/>
                            <a:gd name="connsiteY4" fmla="*/ 4439920 h 4439920"/>
                            <a:gd name="connisteX5" fmla="*/ 4667250 w 4982210"/>
                            <a:gd name="connsiteY5" fmla="*/ 3495040 h 4439920"/>
                            <a:gd name="connisteX6" fmla="*/ 4777105 w 4982210"/>
                            <a:gd name="connsiteY6" fmla="*/ 3479800 h 4439920"/>
                            <a:gd name="connisteX7" fmla="*/ 4630420 w 4982210"/>
                            <a:gd name="connsiteY7" fmla="*/ 3040380 h 4439920"/>
                            <a:gd name="connisteX8" fmla="*/ 4982210 w 4982210"/>
                            <a:gd name="connsiteY8" fmla="*/ 2930525 h 4439920"/>
                            <a:gd name="connisteX9" fmla="*/ 4184015 w 4982210"/>
                            <a:gd name="connsiteY9" fmla="*/ 0 h 44399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4982210" h="4439920">
                              <a:moveTo>
                                <a:pt x="4184015" y="0"/>
                              </a:moveTo>
                              <a:lnTo>
                                <a:pt x="0" y="577850"/>
                              </a:lnTo>
                              <a:lnTo>
                                <a:pt x="586105" y="3838575"/>
                              </a:lnTo>
                              <a:lnTo>
                                <a:pt x="784225" y="3795395"/>
                              </a:lnTo>
                              <a:lnTo>
                                <a:pt x="952500" y="4439920"/>
                              </a:lnTo>
                              <a:lnTo>
                                <a:pt x="4667250" y="3495040"/>
                              </a:lnTo>
                              <a:lnTo>
                                <a:pt x="4777105" y="3479800"/>
                              </a:lnTo>
                              <a:lnTo>
                                <a:pt x="4630420" y="3040380"/>
                              </a:lnTo>
                              <a:lnTo>
                                <a:pt x="4982210" y="2930525"/>
                              </a:lnTo>
                              <a:lnTo>
                                <a:pt x="4184015"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39.1pt;margin-top:39.1pt;height:335.1pt;width:371.5pt;z-index:251744256;mso-width-relative:page;mso-height-relative:page;" filled="f" stroked="t" coordsize="4982210,4439920" o:gfxdata="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" path="m4184015,0l0,577850,586105,3838575,784225,3795395,952500,4439920,4667250,3495040,4777105,3479800,4630420,3040380,4982210,2930525,4184015,0xe">
                <v:path o:connectlocs="3962175,0;0,553883;555029,3679366;742644,3637977;901997,4255770;4419789,3350079;4523819,3335471;4384912,2914277;4718050,2808978;3962175,0" o:connectangles="0,0,0,0,0,0,0,0,0,0"/>
                <v:fill on="f" focussize="0,0"/>
                <v:stroke weight="2pt" color="#FFFF00 [3204]"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50400" behindDoc="0" locked="0" layoutInCell="1" allowOverlap="1">
                <wp:simplePos x="0" y="0"/>
                <wp:positionH relativeFrom="column">
                  <wp:posOffset>4315460</wp:posOffset>
                </wp:positionH>
                <wp:positionV relativeFrom="paragraph">
                  <wp:posOffset>2504440</wp:posOffset>
                </wp:positionV>
                <wp:extent cx="107950" cy="179705"/>
                <wp:effectExtent l="12700" t="12700" r="12700" b="17145"/>
                <wp:wrapNone/>
                <wp:docPr id="188" name="等腰三角形 188"/>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9.8pt;margin-top:197.2pt;height:14.15pt;width:8.5pt;z-index:251750400;v-text-anchor:middle;mso-width-relative:page;mso-height-relative:page;" fillcolor="#FFFF00" filled="t" stroked="t" coordsize="21600,21600" o:gfxdata="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6sF2zZAAAACwEAAA8AAAAAAAAAAQAgAAAA&#10;IgAAAGRycy9kb3ducmV2LnhtbFBLAQIUABQAAAAIAIdO4kBHMjxufAIAAO0EAAAOAAAAAAAAAAEA&#10;IAAAACgBAABkcnMvZTJvRG9jLnhtbFBLBQYAAAAABgAGAFkBAAAWBg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56544" behindDoc="0" locked="0" layoutInCell="1" allowOverlap="1">
                <wp:simplePos x="0" y="0"/>
                <wp:positionH relativeFrom="column">
                  <wp:posOffset>4259580</wp:posOffset>
                </wp:positionH>
                <wp:positionV relativeFrom="paragraph">
                  <wp:posOffset>2335530</wp:posOffset>
                </wp:positionV>
                <wp:extent cx="107950" cy="179705"/>
                <wp:effectExtent l="12700" t="12700" r="12700" b="17145"/>
                <wp:wrapNone/>
                <wp:docPr id="194" name="等腰三角形 194"/>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5.4pt;margin-top:183.9pt;height:14.15pt;width:8.5pt;z-index:251756544;v-text-anchor:middle;mso-width-relative:page;mso-height-relative:page;" fillcolor="#FFFF00" filled="t" stroked="t" coordsize="21600,21600" o:gfxdata="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ZuVgDXAAAACwEAAA8AAAAAAAAAAQAgAAAAIgAA&#10;AGRycy9kb3ducmV2LnhtbFBLAQIUABQAAAAIAIdO4kDZGvj3ewIAAO0EAAAOAAAAAAAAAAEAIAAA&#10;ACYBAABkcnMvZTJvRG9jLnhtbFBLBQYAAAAABgAGAFkBAAATBg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74976" behindDoc="0" locked="0" layoutInCell="1" allowOverlap="1">
                <wp:simplePos x="0" y="0"/>
                <wp:positionH relativeFrom="column">
                  <wp:posOffset>3878580</wp:posOffset>
                </wp:positionH>
                <wp:positionV relativeFrom="paragraph">
                  <wp:posOffset>2454910</wp:posOffset>
                </wp:positionV>
                <wp:extent cx="107950" cy="179705"/>
                <wp:effectExtent l="12700" t="12700" r="12700" b="17145"/>
                <wp:wrapNone/>
                <wp:docPr id="39" name="等腰三角形 39"/>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5.4pt;margin-top:193.3pt;height:14.15pt;width:8.5pt;z-index:251774976;v-text-anchor:middle;mso-width-relative:page;mso-height-relative:page;" fillcolor="#FFFF00" filled="t" stroked="t" coordsize="21600,21600" o:gfxdata="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MZxztkAAAALAQAADwAAAAAAAAABACAAAAAi&#10;AAAAZHJzL2Rvd25yZXYueG1sUEsBAhQAFAAAAAgAh07iQGZAryN7AgAA6wQAAA4AAAAAAAAAAQAg&#10;AAAAKAEAAGRycy9lMm9Eb2MueG1sUEsFBgAAAAAGAAYAWQEAABUGA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49376" behindDoc="0" locked="0" layoutInCell="1" allowOverlap="1">
                <wp:simplePos x="0" y="0"/>
                <wp:positionH relativeFrom="column">
                  <wp:posOffset>4729480</wp:posOffset>
                </wp:positionH>
                <wp:positionV relativeFrom="paragraph">
                  <wp:posOffset>3154680</wp:posOffset>
                </wp:positionV>
                <wp:extent cx="107950" cy="179705"/>
                <wp:effectExtent l="12700" t="12700" r="12700" b="17145"/>
                <wp:wrapNone/>
                <wp:docPr id="187" name="等腰三角形 187"/>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72.4pt;margin-top:248.4pt;height:14.15pt;width:8.5pt;z-index:251749376;v-text-anchor:middle;mso-width-relative:page;mso-height-relative:page;" fillcolor="#FFFF00" filled="t" stroked="t" coordsize="21600,21600" o:gfxdata="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LC70bZAAAACwEAAA8AAAAAAAAAAQAgAAAA&#10;IgAAAGRycy9kb3ducmV2LnhtbFBLAQIUABQAAAAIAIdO4kCh/aTffAIAAO0EAAAOAAAAAAAAAAEA&#10;IAAAACgBAABkcnMvZTJvRG9jLnhtbFBLBQYAAAAABgAGAFkBAAAWBg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73952" behindDoc="0" locked="0" layoutInCell="1" allowOverlap="1">
                <wp:simplePos x="0" y="0"/>
                <wp:positionH relativeFrom="column">
                  <wp:posOffset>4224020</wp:posOffset>
                </wp:positionH>
                <wp:positionV relativeFrom="paragraph">
                  <wp:posOffset>2882265</wp:posOffset>
                </wp:positionV>
                <wp:extent cx="107950" cy="179705"/>
                <wp:effectExtent l="12700" t="12700" r="12700" b="17145"/>
                <wp:wrapNone/>
                <wp:docPr id="34" name="等腰三角形 34"/>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2.6pt;margin-top:226.95pt;height:14.15pt;width:8.5pt;z-index:251773952;v-text-anchor:middle;mso-width-relative:page;mso-height-relative:page;" fillcolor="#FFFF00" filled="t" stroked="t" coordsize="21600,21600" o:gfxdata="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znFQtkAAAALAQAADwAAAAAAAAABACAAAAAi&#10;AAAAZHJzL2Rvd25yZXYueG1sUEsBAhQAFAAAAAgAh07iQByHxwl7AgAA6wQAAA4AAAAAAAAAAQAg&#10;AAAAKAEAAGRycy9lMm9Eb2MueG1sUEsFBgAAAAAGAAYAWQEAABUGA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52448" behindDoc="0" locked="0" layoutInCell="1" allowOverlap="1">
                <wp:simplePos x="0" y="0"/>
                <wp:positionH relativeFrom="column">
                  <wp:posOffset>3928745</wp:posOffset>
                </wp:positionH>
                <wp:positionV relativeFrom="paragraph">
                  <wp:posOffset>1750060</wp:posOffset>
                </wp:positionV>
                <wp:extent cx="107950" cy="179705"/>
                <wp:effectExtent l="12700" t="12700" r="12700" b="17145"/>
                <wp:wrapNone/>
                <wp:docPr id="189" name="等腰三角形 189"/>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9.35pt;margin-top:137.8pt;height:14.15pt;width:8.5pt;z-index:251752448;v-text-anchor:middle;mso-width-relative:page;mso-height-relative:page;" fillcolor="#FFFF00" filled="t" stroked="t" coordsize="21600,21600" o:gfxdata="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rJc/+2gAAAAsBAAAPAAAAAAAAAAEAIAAA&#10;ACIAAABkcnMvZG93bnJldi54bWxQSwECFAAUAAAACACHTuJAzerYcnwCAADtBAAADgAAAAAAAAAB&#10;ACAAAAApAQAAZHJzL2Uyb0RvYy54bWxQSwUGAAAAAAYABgBZAQAAFwY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48352" behindDoc="0" locked="0" layoutInCell="1" allowOverlap="1">
                <wp:simplePos x="0" y="0"/>
                <wp:positionH relativeFrom="column">
                  <wp:posOffset>3940175</wp:posOffset>
                </wp:positionH>
                <wp:positionV relativeFrom="paragraph">
                  <wp:posOffset>2646680</wp:posOffset>
                </wp:positionV>
                <wp:extent cx="107950" cy="179705"/>
                <wp:effectExtent l="12700" t="12700" r="12700" b="17145"/>
                <wp:wrapNone/>
                <wp:docPr id="186" name="等腰三角形 186"/>
                <wp:cNvGraphicFramePr/>
                <a:graphic xmlns:a="http://schemas.openxmlformats.org/drawingml/2006/main">
                  <a:graphicData uri="http://schemas.microsoft.com/office/word/2010/wordprocessingShape">
                    <wps:wsp>
                      <wps:cNvSpPr/>
                      <wps:spPr>
                        <a:xfrm>
                          <a:off x="2494280" y="3279775"/>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10.25pt;margin-top:208.4pt;height:14.15pt;width:8.5pt;z-index:251748352;v-text-anchor:middle;mso-width-relative:page;mso-height-relative:page;" fillcolor="#FFFF00" filled="t" stroked="t" coordsize="21600,21600" o:gfxdata="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A/QidgAAAALAQAADwAA&#10;AAAAAAABACAAAAAiAAAAZHJzL2Rvd25yZXYueG1sUEsBAhQAFAAAAAgAh07iQPO0aEyIAgAA+QQA&#10;AA4AAAAAAAAAAQAgAAAAJwEAAGRycy9lMm9Eb2MueG1sUEsFBgAAAAAGAAYAWQEAACEGA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53472" behindDoc="0" locked="0" layoutInCell="1" allowOverlap="1">
                <wp:simplePos x="0" y="0"/>
                <wp:positionH relativeFrom="column">
                  <wp:posOffset>4458335</wp:posOffset>
                </wp:positionH>
                <wp:positionV relativeFrom="paragraph">
                  <wp:posOffset>1983105</wp:posOffset>
                </wp:positionV>
                <wp:extent cx="107950" cy="179705"/>
                <wp:effectExtent l="12700" t="12700" r="12700" b="17145"/>
                <wp:wrapNone/>
                <wp:docPr id="191" name="等腰三角形 191"/>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51.05pt;margin-top:156.15pt;height:14.15pt;width:8.5pt;z-index:251753472;v-text-anchor:middle;mso-width-relative:page;mso-height-relative:page;" fillcolor="#FFFF00" filled="t" stroked="t" coordsize="21600,21600" o:gfxdata="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LEl59kAAAALAQAADwAAAAAAAAABACAAAAAi&#10;AAAAZHJzL2Rvd25yZXYueG1sUEsBAhQAFAAAAAgAh07iQHugj5h7AgAA7QQAAA4AAAAAAAAAAQAg&#10;AAAAKAEAAGRycy9lMm9Eb2MueG1sUEsFBgAAAAAGAAYAWQEAABUGA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51424" behindDoc="0" locked="0" layoutInCell="1" allowOverlap="1">
                <wp:simplePos x="0" y="0"/>
                <wp:positionH relativeFrom="column">
                  <wp:posOffset>3654425</wp:posOffset>
                </wp:positionH>
                <wp:positionV relativeFrom="paragraph">
                  <wp:posOffset>2170430</wp:posOffset>
                </wp:positionV>
                <wp:extent cx="107950" cy="179705"/>
                <wp:effectExtent l="12700" t="12700" r="12700" b="17145"/>
                <wp:wrapNone/>
                <wp:docPr id="190" name="等腰三角形 190"/>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7.75pt;margin-top:170.9pt;height:14.15pt;width:8.5pt;z-index:251751424;v-text-anchor:middle;mso-width-relative:page;mso-height-relative:page;" fillcolor="#FFFF00" filled="t" stroked="t" coordsize="21600,21600" o:gfxdata="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QHNEO2AAAAAsBAAAPAAAAAAAAAAEAIAAAACIA&#10;AABkcnMvZG93bnJldi54bWxQSwECFAAUAAAACACHTuJA8XhrhHsCAADtBAAADgAAAAAAAAABACAA&#10;AAAnAQAAZHJzL2Uyb0RvYy54bWxQSwUGAAAAAAYABgBZAQAAFAY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54496" behindDoc="0" locked="0" layoutInCell="1" allowOverlap="1">
                <wp:simplePos x="0" y="0"/>
                <wp:positionH relativeFrom="column">
                  <wp:posOffset>3759835</wp:posOffset>
                </wp:positionH>
                <wp:positionV relativeFrom="paragraph">
                  <wp:posOffset>989330</wp:posOffset>
                </wp:positionV>
                <wp:extent cx="107950" cy="179705"/>
                <wp:effectExtent l="12700" t="12700" r="12700" b="17145"/>
                <wp:wrapNone/>
                <wp:docPr id="192" name="等腰三角形 192"/>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6.05pt;margin-top:77.9pt;height:14.15pt;width:8.5pt;z-index:251754496;v-text-anchor:middle;mso-width-relative:page;mso-height-relative:page;" fillcolor="#FFFF00" filled="t" stroked="t" coordsize="21600,21600" o:gfxdata="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Ur5by2AAAAAsBAAAPAAAAAAAAAAEAIAAAACIA&#10;AABkcnMvZG93bnJldi54bWxQSwECFAAUAAAACACHTuJA5cmivXsCAADtBAAADgAAAAAAAAABACAA&#10;AAAnAQAAZHJzL2Uyb0RvYy54bWxQSwUGAAAAAAYABgBZAQAAFAY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57568" behindDoc="0" locked="0" layoutInCell="1" allowOverlap="1">
                <wp:simplePos x="0" y="0"/>
                <wp:positionH relativeFrom="column">
                  <wp:posOffset>1289685</wp:posOffset>
                </wp:positionH>
                <wp:positionV relativeFrom="paragraph">
                  <wp:posOffset>4631055</wp:posOffset>
                </wp:positionV>
                <wp:extent cx="107950" cy="179705"/>
                <wp:effectExtent l="12700" t="12700" r="12700" b="17145"/>
                <wp:wrapNone/>
                <wp:docPr id="195" name="等腰三角形 195"/>
                <wp:cNvGraphicFramePr/>
                <a:graphic xmlns:a="http://schemas.openxmlformats.org/drawingml/2006/main">
                  <a:graphicData uri="http://schemas.microsoft.com/office/word/2010/wordprocessingShape">
                    <wps:wsp>
                      <wps:cNvSpPr/>
                      <wps:spPr>
                        <a:xfrm>
                          <a:off x="0" y="0"/>
                          <a:ext cx="107950" cy="17970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1.55pt;margin-top:364.65pt;height:14.15pt;width:8.5pt;z-index:251757568;v-text-anchor:middle;mso-width-relative:page;mso-height-relative:page;" fillcolor="#FFFF00" filled="t" stroked="t" coordsize="21600,21600" o:gfxdata="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pCWTbZAAAACwEAAA8AAAAAAAAAAQAgAAAA&#10;IgAAAGRycy9kb3ducmV2LnhtbFBLAQIUABQAAAAIAIdO4kBTwhzrfAIAAO0EAAAOAAAAAAAAAAEA&#10;IAAAACgBAABkcnMvZTJvRG9jLnhtbFBLBQYAAAAABgAGAFkBAAAWBgAAAAA=&#10;" adj="10800">
                <v:fill on="t" focussize="0,0"/>
                <v:stroke weight="2pt" color="#000000 [3213]" joinstyle="round"/>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46304" behindDoc="0" locked="0" layoutInCell="1" allowOverlap="1">
                <wp:simplePos x="0" y="0"/>
                <wp:positionH relativeFrom="column">
                  <wp:posOffset>1282700</wp:posOffset>
                </wp:positionH>
                <wp:positionV relativeFrom="paragraph">
                  <wp:posOffset>4364355</wp:posOffset>
                </wp:positionV>
                <wp:extent cx="215900" cy="107950"/>
                <wp:effectExtent l="12700" t="12700" r="19050" b="12700"/>
                <wp:wrapNone/>
                <wp:docPr id="184" name="矩形 184"/>
                <wp:cNvGraphicFramePr/>
                <a:graphic xmlns:a="http://schemas.openxmlformats.org/drawingml/2006/main">
                  <a:graphicData uri="http://schemas.microsoft.com/office/word/2010/wordprocessingShape">
                    <wps:wsp>
                      <wps:cNvSpPr/>
                      <wps:spPr>
                        <a:xfrm>
                          <a:off x="0" y="0"/>
                          <a:ext cx="215900" cy="1079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pt;margin-top:343.65pt;height:8.5pt;width:17pt;z-index:251746304;v-text-anchor:middle;mso-width-relative:page;mso-height-relative:page;" filled="f" stroked="t" coordsize="21600,21600" o:gfxdata="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35IU9kAAAALAQAADwAAAAAAAAABACAAAAAiAAAAZHJzL2Rvd25yZXYueG1sUEsBAhQAFAAAAAgA&#10;h07iQC0JhnxdAgAAtwQAAA4AAAAAAAAAAQAgAAAAKAEAAGRycy9lMm9Eb2MueG1sUEsFBgAAAAAG&#10;AAYAWQEAAPcFAAAAAA==&#10;">
                <v:fill on="f" focussize="0,0"/>
                <v:stroke weight="2pt" color="#FFFF00 [3204]" joinstyle="round"/>
                <v:imagedata o:title=""/>
                <o:lock v:ext="edit" aspectratio="f"/>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747328" behindDoc="0" locked="0" layoutInCell="1" allowOverlap="1">
                <wp:simplePos x="0" y="0"/>
                <wp:positionH relativeFrom="column">
                  <wp:posOffset>828675</wp:posOffset>
                </wp:positionH>
                <wp:positionV relativeFrom="paragraph">
                  <wp:posOffset>4080510</wp:posOffset>
                </wp:positionV>
                <wp:extent cx="215900" cy="107950"/>
                <wp:effectExtent l="12700" t="12700" r="19050" b="12700"/>
                <wp:wrapNone/>
                <wp:docPr id="185" name="矩形 185"/>
                <wp:cNvGraphicFramePr/>
                <a:graphic xmlns:a="http://schemas.openxmlformats.org/drawingml/2006/main">
                  <a:graphicData uri="http://schemas.microsoft.com/office/word/2010/wordprocessingShape">
                    <wps:wsp>
                      <wps:cNvSpPr/>
                      <wps:spPr>
                        <a:xfrm>
                          <a:off x="0" y="0"/>
                          <a:ext cx="215900" cy="107950"/>
                        </a:xfrm>
                        <a:prstGeom prst="rect">
                          <a:avLst/>
                        </a:prstGeom>
                        <a:solidFill>
                          <a:srgbClr val="7030A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25pt;margin-top:321.3pt;height:8.5pt;width:17pt;z-index:251747328;v-text-anchor:middle;mso-width-relative:page;mso-height-relative:page;" fillcolor="#7030A0" filled="t" stroked="t" coordsize="21600,21600" o:gfxdata="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hGA02AAAAAsBAAAPAAAAAAAAAAEAIAAAACIAAABkcnMvZG93bnJldi54bWxQ&#10;SwECFAAUAAAACACHTuJAapxhHGkCAADgBAAADgAAAAAAAAABACAAAAAnAQAAZHJzL2Uyb0RvYy54&#10;bWxQSwUGAAAAAAYABgBZAQAAAgYAAAAA&#10;">
                <v:fill on="t" focussize="0,0"/>
                <v:stroke weight="2pt" color="#FF0000 [3204]" joinstyle="round"/>
                <v:imagedata o:title=""/>
                <o:lock v:ext="edit" aspectratio="f"/>
              </v:rect>
            </w:pict>
          </mc:Fallback>
        </mc:AlternateContent>
      </w:r>
      <w:r>
        <w:rPr>
          <w:rFonts w:hint="default" w:ascii="Times New Roman" w:hAnsi="Times New Roman" w:eastAsia="宋体" w:cs="Times New Roman"/>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29210</wp:posOffset>
                </wp:positionH>
                <wp:positionV relativeFrom="paragraph">
                  <wp:posOffset>3595370</wp:posOffset>
                </wp:positionV>
                <wp:extent cx="1838325" cy="1350010"/>
                <wp:effectExtent l="12700" t="12700" r="15875" b="27940"/>
                <wp:wrapNone/>
                <wp:docPr id="183" name="矩形 183"/>
                <wp:cNvGraphicFramePr/>
                <a:graphic xmlns:a="http://schemas.openxmlformats.org/drawingml/2006/main">
                  <a:graphicData uri="http://schemas.microsoft.com/office/word/2010/wordprocessingShape">
                    <wps:wsp>
                      <wps:cNvSpPr/>
                      <wps:spPr>
                        <a:xfrm>
                          <a:off x="0" y="0"/>
                          <a:ext cx="1838325" cy="1350010"/>
                        </a:xfrm>
                        <a:prstGeom prst="rect">
                          <a:avLst/>
                        </a:prstGeom>
                        <a:solidFill>
                          <a:srgbClr val="BFBFBF"/>
                        </a:solidFill>
                        <a:ln w="25400" cap="flat" cmpd="sng">
                          <a:solidFill>
                            <a:srgbClr val="000000"/>
                          </a:solidFill>
                          <a:prstDash val="solid"/>
                          <a:round/>
                          <a:headEnd type="none" w="med" len="med"/>
                          <a:tailEnd type="none" w="med" len="med"/>
                        </a:ln>
                      </wps:spPr>
                      <wps:txb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eastAsia="宋体"/>
                                <w:b/>
                                <w:bCs/>
                                <w:color w:val="000000" w:themeColor="text1"/>
                                <w:sz w:val="24"/>
                                <w:szCs w:val="32"/>
                                <w:lang w:eastAsia="zh-CN"/>
                                <w14:textFill>
                                  <w14:solidFill>
                                    <w14:schemeClr w14:val="tx1"/>
                                  </w14:solidFill>
                                </w14:textFill>
                              </w:rPr>
                              <w:t>厂区位置</w:t>
                            </w:r>
                          </w:p>
                          <w:p>
                            <w:pPr>
                              <w:spacing w:line="360" w:lineRule="auto"/>
                              <w:ind w:firstLine="0" w:firstLineChars="0"/>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声</w:t>
                            </w:r>
                            <w:r>
                              <w:rPr>
                                <w:rFonts w:hint="eastAsia"/>
                                <w:b/>
                                <w:bCs/>
                                <w:color w:val="000000" w:themeColor="text1"/>
                                <w:sz w:val="24"/>
                                <w:szCs w:val="32"/>
                                <w14:textFill>
                                  <w14:solidFill>
                                    <w14:schemeClr w14:val="tx1"/>
                                  </w14:solidFill>
                                </w14:textFill>
                              </w:rPr>
                              <w:t>环境评价范围</w:t>
                            </w:r>
                          </w:p>
                          <w:p>
                            <w:pPr>
                              <w:spacing w:line="360" w:lineRule="auto"/>
                              <w:ind w:firstLine="0" w:firstLineChars="0"/>
                              <w:rPr>
                                <w:rFonts w:hint="eastAsia" w:eastAsia="宋体"/>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声</w:t>
                            </w:r>
                            <w:r>
                              <w:rPr>
                                <w:rFonts w:hint="eastAsia"/>
                                <w:b/>
                                <w:bCs/>
                                <w:color w:val="000000" w:themeColor="text1"/>
                                <w:sz w:val="24"/>
                                <w:szCs w:val="32"/>
                                <w14:textFill>
                                  <w14:solidFill>
                                    <w14:schemeClr w14:val="tx1"/>
                                  </w14:solidFill>
                                </w14:textFill>
                              </w:rPr>
                              <w:t>环境</w:t>
                            </w:r>
                            <w:r>
                              <w:rPr>
                                <w:rFonts w:hint="eastAsia"/>
                                <w:b/>
                                <w:bCs/>
                                <w:color w:val="000000" w:themeColor="text1"/>
                                <w:sz w:val="24"/>
                                <w:szCs w:val="32"/>
                                <w:lang w:eastAsia="zh-CN"/>
                                <w14:textFill>
                                  <w14:solidFill>
                                    <w14:schemeClr w14:val="tx1"/>
                                  </w14:solidFill>
                                </w14:textFill>
                              </w:rPr>
                              <w:t>监测点位</w:t>
                            </w:r>
                          </w:p>
                        </w:txbxContent>
                      </wps:txbx>
                      <wps:bodyPr anchor="ctr" upright="1"/>
                    </wps:wsp>
                  </a:graphicData>
                </a:graphic>
              </wp:anchor>
            </w:drawing>
          </mc:Choice>
          <mc:Fallback>
            <w:pict>
              <v:rect id="_x0000_s1026" o:spid="_x0000_s1026" o:spt="1" style="position:absolute;left:0pt;margin-left:2.3pt;margin-top:283.1pt;height:106.3pt;width:144.75pt;z-index:251745280;v-text-anchor:middle;mso-width-relative:page;mso-height-relative:page;" fillcolor="#BFBFBF" filled="t" stroked="t" coordsize="21600,21600" o:gfxdata="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h1I2AAAAAkBAAAPAAAAAAAAAAEAIAAA&#10;ACIAAABkcnMvZG93bnJldi54bWxQSwECFAAUAAAACACHTuJALv3K7gwCAAA8BAAADgAAAAAAAAAB&#10;ACAAAAAnAQAAZHJzL2Uyb0RvYy54bWxQSwUGAAAAAAYABgBZAQAApQUAAAAA&#10;">
                <v:fill on="t" focussize="0,0"/>
                <v:stroke weight="2pt" color="#000000" joinstyle="round"/>
                <v:imagedata o:title=""/>
                <o:lock v:ext="edit" aspectratio="f"/>
                <v:textbox>
                  <w:txbxContent>
                    <w:p>
                      <w:pPr>
                        <w:spacing w:line="360" w:lineRule="auto"/>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图例</w:t>
                      </w:r>
                    </w:p>
                    <w:p>
                      <w:pPr>
                        <w:spacing w:line="360" w:lineRule="auto"/>
                        <w:ind w:firstLine="0" w:firstLineChars="0"/>
                        <w:rPr>
                          <w:rFonts w:hint="eastAsia" w:eastAsia="宋体"/>
                          <w:b/>
                          <w:bCs/>
                          <w:color w:val="000000" w:themeColor="text1"/>
                          <w:sz w:val="24"/>
                          <w:szCs w:val="32"/>
                          <w:lang w:val="en-US" w:eastAsia="zh-CN"/>
                          <w14:textFill>
                            <w14:solidFill>
                              <w14:schemeClr w14:val="tx1"/>
                            </w14:solidFill>
                          </w14:textFill>
                        </w:rPr>
                      </w:pPr>
                      <w:r>
                        <w:rPr>
                          <w:rFonts w:hint="eastAsia" w:eastAsia="宋体"/>
                          <w:b/>
                          <w:bCs/>
                          <w:color w:val="000000" w:themeColor="text1"/>
                          <w:sz w:val="24"/>
                          <w:szCs w:val="32"/>
                          <w:lang w:eastAsia="zh-CN"/>
                          <w14:textFill>
                            <w14:solidFill>
                              <w14:schemeClr w14:val="tx1"/>
                            </w14:solidFill>
                          </w14:textFill>
                        </w:rPr>
                        <w:t>厂区位置</w:t>
                      </w:r>
                    </w:p>
                    <w:p>
                      <w:pPr>
                        <w:spacing w:line="360" w:lineRule="auto"/>
                        <w:ind w:firstLine="0" w:firstLineChars="0"/>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声</w:t>
                      </w:r>
                      <w:r>
                        <w:rPr>
                          <w:rFonts w:hint="eastAsia"/>
                          <w:b/>
                          <w:bCs/>
                          <w:color w:val="000000" w:themeColor="text1"/>
                          <w:sz w:val="24"/>
                          <w:szCs w:val="32"/>
                          <w14:textFill>
                            <w14:solidFill>
                              <w14:schemeClr w14:val="tx1"/>
                            </w14:solidFill>
                          </w14:textFill>
                        </w:rPr>
                        <w:t>环境评价范围</w:t>
                      </w:r>
                    </w:p>
                    <w:p>
                      <w:pPr>
                        <w:spacing w:line="360" w:lineRule="auto"/>
                        <w:ind w:firstLine="0" w:firstLineChars="0"/>
                        <w:rPr>
                          <w:rFonts w:hint="eastAsia" w:eastAsia="宋体"/>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声</w:t>
                      </w:r>
                      <w:r>
                        <w:rPr>
                          <w:rFonts w:hint="eastAsia"/>
                          <w:b/>
                          <w:bCs/>
                          <w:color w:val="000000" w:themeColor="text1"/>
                          <w:sz w:val="24"/>
                          <w:szCs w:val="32"/>
                          <w14:textFill>
                            <w14:solidFill>
                              <w14:schemeClr w14:val="tx1"/>
                            </w14:solidFill>
                          </w14:textFill>
                        </w:rPr>
                        <w:t>环境</w:t>
                      </w:r>
                      <w:r>
                        <w:rPr>
                          <w:rFonts w:hint="eastAsia"/>
                          <w:b/>
                          <w:bCs/>
                          <w:color w:val="000000" w:themeColor="text1"/>
                          <w:sz w:val="24"/>
                          <w:szCs w:val="32"/>
                          <w:lang w:eastAsia="zh-CN"/>
                          <w14:textFill>
                            <w14:solidFill>
                              <w14:schemeClr w14:val="tx1"/>
                            </w14:solidFill>
                          </w14:textFill>
                        </w:rPr>
                        <w:t>监测点位</w:t>
                      </w:r>
                    </w:p>
                  </w:txbxContent>
                </v:textbox>
              </v:rect>
            </w:pict>
          </mc:Fallback>
        </mc:AlternateContent>
      </w:r>
      <w:r>
        <w:rPr>
          <w:rFonts w:hint="default" w:ascii="Times New Roman" w:hAnsi="Times New Roman" w:eastAsia="宋体" w:cs="Times New Roman"/>
          <w:color w:val="auto"/>
        </w:rPr>
        <w:drawing>
          <wp:anchor distT="0" distB="0" distL="114300" distR="114300" simplePos="0" relativeHeight="251702272" behindDoc="0" locked="0" layoutInCell="1" allowOverlap="1">
            <wp:simplePos x="0" y="0"/>
            <wp:positionH relativeFrom="column">
              <wp:posOffset>7938770</wp:posOffset>
            </wp:positionH>
            <wp:positionV relativeFrom="paragraph">
              <wp:posOffset>22860</wp:posOffset>
            </wp:positionV>
            <wp:extent cx="567055" cy="624840"/>
            <wp:effectExtent l="0" t="0" r="4445" b="3810"/>
            <wp:wrapNone/>
            <wp:docPr id="1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pic:cNvPicPr>
                      <a:picLocks noChangeAspect="1"/>
                    </pic:cNvPicPr>
                  </pic:nvPicPr>
                  <pic:blipFill>
                    <a:blip r:embed="rId16"/>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b/>
          <w:bCs/>
          <w:color w:val="auto"/>
          <w:sz w:val="24"/>
          <w:szCs w:val="32"/>
          <w:lang w:val="en-US" w:eastAsia="zh-CN"/>
        </w:rPr>
        <w:drawing>
          <wp:inline distT="0" distB="0" distL="114300" distR="114300">
            <wp:extent cx="6186170" cy="4932045"/>
            <wp:effectExtent l="0" t="0" r="5080" b="1905"/>
            <wp:docPr id="27" name="图片 27" descr="屏幕截图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屏幕截图33333333"/>
                    <pic:cNvPicPr>
                      <a:picLocks noChangeAspect="1"/>
                    </pic:cNvPicPr>
                  </pic:nvPicPr>
                  <pic:blipFill>
                    <a:blip r:embed="rId17"/>
                    <a:stretch>
                      <a:fillRect/>
                    </a:stretch>
                  </pic:blipFill>
                  <pic:spPr>
                    <a:xfrm>
                      <a:off x="0" y="0"/>
                      <a:ext cx="6186170" cy="4932045"/>
                    </a:xfrm>
                    <a:prstGeom prst="rect">
                      <a:avLst/>
                    </a:prstGeom>
                  </pic:spPr>
                </pic:pic>
              </a:graphicData>
            </a:graphic>
          </wp:inline>
        </w:drawing>
      </w:r>
    </w:p>
    <w:p>
      <w:pPr>
        <w:keepNext w:val="0"/>
        <w:shd w:val="clear"/>
        <w:tabs>
          <w:tab w:val="center" w:pos="4153"/>
          <w:tab w:val="right" w:pos="8306"/>
        </w:tabs>
        <w:ind w:left="0" w:leftChars="0" w:firstLine="0" w:firstLineChars="0"/>
        <w:jc w:val="center"/>
        <w:rPr>
          <w:rFonts w:hint="default" w:ascii="Times New Roman" w:hAnsi="Times New Roman" w:eastAsia="宋体" w:cs="Times New Roman"/>
          <w:b/>
          <w:bCs/>
          <w:color w:val="auto"/>
          <w:sz w:val="24"/>
          <w:szCs w:val="32"/>
          <w:highlight w:val="none"/>
          <w:lang w:val="en-US" w:eastAsia="zh-CN"/>
        </w:rPr>
        <w:sectPr>
          <w:pgSz w:w="16838" w:h="11906" w:orient="landscape"/>
          <w:pgMar w:top="1797" w:right="1440" w:bottom="1797" w:left="1440" w:header="851" w:footer="992" w:gutter="0"/>
          <w:pgNumType w:fmt="decimal"/>
          <w:cols w:space="425" w:num="1"/>
          <w:docGrid w:type="lines" w:linePitch="312" w:charSpace="0"/>
        </w:sectPr>
      </w:pPr>
      <w:r>
        <w:rPr>
          <w:rFonts w:hint="default" w:ascii="Times New Roman" w:hAnsi="Times New Roman" w:eastAsia="宋体" w:cs="Times New Roman"/>
          <w:b/>
          <w:bCs/>
          <w:color w:val="auto"/>
          <w:sz w:val="24"/>
          <w:szCs w:val="32"/>
          <w:highlight w:val="none"/>
          <w:lang w:val="en-US" w:eastAsia="zh-CN"/>
        </w:rPr>
        <w:t>图4.5-1  声环境布点图</w:t>
      </w:r>
    </w:p>
    <w:p>
      <w:pPr>
        <w:pStyle w:val="4"/>
        <w:keepLines/>
        <w:pageBreakBefore/>
        <w:shd w:val="clear"/>
        <w:spacing w:before="120" w:after="120" w:line="360" w:lineRule="auto"/>
        <w:rPr>
          <w:rFonts w:hint="default" w:ascii="Times New Roman" w:hAnsi="Times New Roman" w:eastAsia="宋体" w:cs="Times New Roman"/>
          <w:color w:val="auto"/>
          <w:szCs w:val="28"/>
          <w:highlight w:val="none"/>
        </w:rPr>
      </w:pPr>
      <w:bookmarkStart w:id="249" w:name="_Toc464475412"/>
      <w:bookmarkStart w:id="250" w:name="_Toc243119363"/>
      <w:bookmarkStart w:id="251" w:name="_Toc20287"/>
      <w:bookmarkStart w:id="252" w:name="_Toc327383123"/>
      <w:r>
        <w:rPr>
          <w:rFonts w:hint="default" w:ascii="Times New Roman" w:hAnsi="Times New Roman" w:eastAsia="宋体" w:cs="Times New Roman"/>
          <w:color w:val="auto"/>
          <w:szCs w:val="28"/>
          <w:highlight w:val="none"/>
        </w:rPr>
        <w:t>5环境影响预测及评价</w:t>
      </w:r>
      <w:bookmarkEnd w:id="249"/>
      <w:bookmarkEnd w:id="250"/>
      <w:bookmarkEnd w:id="251"/>
      <w:bookmarkEnd w:id="252"/>
    </w:p>
    <w:p>
      <w:pPr>
        <w:pStyle w:val="5"/>
        <w:keepNext w:val="0"/>
        <w:shd w:val="clear"/>
        <w:spacing w:before="60" w:after="60" w:line="360" w:lineRule="auto"/>
        <w:rPr>
          <w:rFonts w:hint="default" w:ascii="Times New Roman" w:hAnsi="Times New Roman" w:eastAsia="宋体" w:cs="Times New Roman"/>
          <w:color w:val="auto"/>
          <w:highlight w:val="none"/>
        </w:rPr>
      </w:pPr>
      <w:bookmarkStart w:id="253" w:name="_Toc24337"/>
      <w:bookmarkStart w:id="254" w:name="_Toc464475413"/>
      <w:bookmarkStart w:id="255" w:name="_Toc327383124"/>
      <w:bookmarkStart w:id="256" w:name="_Toc243119364"/>
      <w:r>
        <w:rPr>
          <w:rFonts w:hint="default" w:ascii="Times New Roman" w:hAnsi="Times New Roman" w:eastAsia="宋体" w:cs="Times New Roman"/>
          <w:color w:val="auto"/>
          <w:highlight w:val="none"/>
        </w:rPr>
        <w:t>5.1施工期环境影响预测及评价</w:t>
      </w:r>
      <w:bookmarkEnd w:id="253"/>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5.1.1施工期大气环境影响分析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施工期大气污染源主要为施工扬尘。</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1</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产生扬尘的环节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施工扬尘主要集中在土建施工阶段，由施工区地表开挖、物料、土方装卸、堆放，以及施工车辆运输易起尘物料等过程产生。</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①施工区地表开挖、物料装卸、堆放，在气候干燥又有风的情况下，会产生扬尘，减少露天堆放和保证一定的含水率及减少裸露地面是减少风力起尘的有效手段；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②施工车辆运输易起尘物料过程中会产生扬尘，主要为土方、物料运输过程中遮盖不严产生的扬尘，运输过程中加盖苫布可有效地减少扬尘；运输车辆引起的在行驶中会产生扬尘，据有关文献资料介绍，车辆行驶产生的扬尘占总扬尘的60%上。在同样路面清洁程度条件下，车速越快，扬尘量越大；而在同样车速情况下，路面越脏，则扬尘量越大。因此限速行驶及保持路面的清洁是减少汽车扬尘的有效手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扬尘的影响范围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扬尘主要影响范围在扬尘点下风向近距离范围内，而真正对外环境产生影响的是一些微小尘粒。根据现场的气候情况不同，其影响范围也有所不同。主要为：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①施工场地内扬尘污染较严重，在风力二级的情况下施工现场内扬尘浓度是上风向对照点的1.8倍。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2"/>
          <w:highlight w:val="none"/>
        </w:rPr>
        <w:t>②施</w:t>
      </w:r>
      <w:r>
        <w:rPr>
          <w:rFonts w:hint="default" w:ascii="Times New Roman" w:hAnsi="Times New Roman" w:eastAsia="宋体" w:cs="Times New Roman"/>
          <w:color w:val="auto"/>
          <w:sz w:val="24"/>
          <w:highlight w:val="none"/>
        </w:rPr>
        <w:t>工扬尘对环境影响随着距离的加大而减弱，在风力二级的情况下至距施工现场50m左右范围内的环境敏感点会受到扬尘的污染。因此该项目施工扬尘，有可能对四周敏感目标均造成一定的影响</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）扬尘的影响分析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①土建工程基础开挖场地在施工前进行洒水降尘，并在四周设置围挡；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②开挖土方堆放过程进行覆盖苫布，通过对堆场进行洒水；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fldChar w:fldCharType="begin"/>
      </w:r>
      <w:r>
        <w:rPr>
          <w:rFonts w:hint="default" w:ascii="Times New Roman" w:hAnsi="Times New Roman" w:eastAsia="宋体" w:cs="Times New Roman"/>
          <w:color w:val="auto"/>
          <w:sz w:val="24"/>
          <w:highlight w:val="none"/>
          <w:lang w:eastAsia="zh-CN"/>
        </w:rPr>
        <w:instrText xml:space="preserve"> = 3 \* GB3 \* MERGEFORMAT </w:instrText>
      </w:r>
      <w:r>
        <w:rPr>
          <w:rFonts w:hint="default" w:ascii="Times New Roman" w:hAnsi="Times New Roman" w:eastAsia="宋体" w:cs="Times New Roman"/>
          <w:color w:val="auto"/>
          <w:sz w:val="24"/>
          <w:highlight w:val="none"/>
          <w:lang w:eastAsia="zh-CN"/>
        </w:rPr>
        <w:fldChar w:fldCharType="separate"/>
      </w: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lang w:eastAsia="zh-CN"/>
        </w:rPr>
        <w:fldChar w:fldCharType="end"/>
      </w:r>
      <w:r>
        <w:rPr>
          <w:rFonts w:hint="default" w:ascii="Times New Roman" w:hAnsi="Times New Roman" w:eastAsia="宋体" w:cs="Times New Roman"/>
          <w:color w:val="auto"/>
          <w:sz w:val="24"/>
          <w:highlight w:val="none"/>
          <w:lang w:eastAsia="zh-CN"/>
        </w:rPr>
        <w:t>建筑材料堆放过程进行覆盖苫布，通过对堆场进行洒水；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fldChar w:fldCharType="begin"/>
      </w:r>
      <w:r>
        <w:rPr>
          <w:rFonts w:hint="default" w:ascii="Times New Roman" w:hAnsi="Times New Roman" w:eastAsia="宋体" w:cs="Times New Roman"/>
          <w:color w:val="auto"/>
          <w:sz w:val="24"/>
          <w:highlight w:val="none"/>
          <w:lang w:eastAsia="zh-CN"/>
        </w:rPr>
        <w:instrText xml:space="preserve"> = 4 \* GB3 \* MERGEFORMAT </w:instrText>
      </w:r>
      <w:r>
        <w:rPr>
          <w:rFonts w:hint="default" w:ascii="Times New Roman" w:hAnsi="Times New Roman" w:eastAsia="宋体" w:cs="Times New Roman"/>
          <w:color w:val="auto"/>
          <w:sz w:val="24"/>
          <w:highlight w:val="none"/>
          <w:lang w:eastAsia="zh-CN"/>
        </w:rPr>
        <w:fldChar w:fldCharType="separate"/>
      </w: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lang w:eastAsia="zh-CN"/>
        </w:rPr>
        <w:fldChar w:fldCharType="end"/>
      </w:r>
      <w:r>
        <w:rPr>
          <w:rFonts w:hint="default" w:ascii="Times New Roman" w:hAnsi="Times New Roman" w:eastAsia="宋体" w:cs="Times New Roman"/>
          <w:color w:val="auto"/>
          <w:sz w:val="24"/>
          <w:highlight w:val="none"/>
          <w:lang w:eastAsia="zh-CN"/>
        </w:rPr>
        <w:t>运输道路进行洒水抑尘；</w:t>
      </w:r>
    </w:p>
    <w:p>
      <w:pPr>
        <w:shd w:val="clear"/>
        <w:spacing w:line="360" w:lineRule="auto"/>
        <w:ind w:firstLine="480" w:firstLineChars="200"/>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lang w:eastAsia="zh-CN"/>
        </w:rPr>
        <w:t>⑤将</w:t>
      </w:r>
      <w:r>
        <w:rPr>
          <w:rFonts w:hint="default" w:ascii="Times New Roman" w:hAnsi="Times New Roman" w:eastAsia="宋体" w:cs="Times New Roman"/>
          <w:color w:val="auto"/>
          <w:sz w:val="24"/>
          <w:highlight w:val="none"/>
          <w:lang w:eastAsia="zh-CN"/>
        </w:rPr>
        <w:t>开挖土方和建筑材料堆放至厂区北侧，远离</w:t>
      </w:r>
      <w:r>
        <w:rPr>
          <w:rFonts w:hint="default" w:ascii="Times New Roman" w:hAnsi="Times New Roman" w:eastAsia="宋体" w:cs="Times New Roman"/>
          <w:color w:val="auto"/>
          <w:sz w:val="24"/>
          <w:szCs w:val="22"/>
          <w:highlight w:val="none"/>
          <w:lang w:eastAsia="zh-CN"/>
        </w:rPr>
        <w:t>农商银行和电力公司；</w:t>
      </w:r>
    </w:p>
    <w:p>
      <w:pPr>
        <w:shd w:val="clear"/>
        <w:spacing w:line="360" w:lineRule="auto"/>
        <w:ind w:firstLine="480" w:firstLineChars="200"/>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lang w:eastAsia="zh-CN"/>
        </w:rPr>
        <w:fldChar w:fldCharType="begin"/>
      </w:r>
      <w:r>
        <w:rPr>
          <w:rFonts w:hint="default" w:ascii="Times New Roman" w:hAnsi="Times New Roman" w:eastAsia="宋体" w:cs="Times New Roman"/>
          <w:color w:val="auto"/>
          <w:sz w:val="24"/>
          <w:szCs w:val="22"/>
          <w:highlight w:val="none"/>
          <w:lang w:eastAsia="zh-CN"/>
        </w:rPr>
        <w:instrText xml:space="preserve"> = 6 \* GB3 \* MERGEFORMAT </w:instrText>
      </w:r>
      <w:r>
        <w:rPr>
          <w:rFonts w:hint="default" w:ascii="Times New Roman" w:hAnsi="Times New Roman" w:eastAsia="宋体" w:cs="Times New Roman"/>
          <w:color w:val="auto"/>
          <w:sz w:val="24"/>
          <w:szCs w:val="22"/>
          <w:highlight w:val="none"/>
          <w:lang w:eastAsia="zh-CN"/>
        </w:rPr>
        <w:fldChar w:fldCharType="separate"/>
      </w:r>
      <w:r>
        <w:rPr>
          <w:rFonts w:hint="default" w:ascii="Times New Roman" w:hAnsi="Times New Roman" w:eastAsia="宋体" w:cs="Times New Roman"/>
          <w:color w:val="auto"/>
          <w:sz w:val="24"/>
          <w:szCs w:val="22"/>
          <w:highlight w:val="none"/>
        </w:rPr>
        <w:t>⑥</w:t>
      </w:r>
      <w:r>
        <w:rPr>
          <w:rFonts w:hint="default" w:ascii="Times New Roman" w:hAnsi="Times New Roman" w:eastAsia="宋体" w:cs="Times New Roman"/>
          <w:color w:val="auto"/>
          <w:sz w:val="24"/>
          <w:szCs w:val="22"/>
          <w:highlight w:val="none"/>
          <w:lang w:eastAsia="zh-CN"/>
        </w:rPr>
        <w:fldChar w:fldCharType="end"/>
      </w:r>
      <w:r>
        <w:rPr>
          <w:rFonts w:hint="default" w:ascii="Times New Roman" w:hAnsi="Times New Roman" w:eastAsia="宋体" w:cs="Times New Roman"/>
          <w:color w:val="auto"/>
          <w:sz w:val="24"/>
          <w:szCs w:val="22"/>
          <w:highlight w:val="none"/>
          <w:lang w:eastAsia="zh-CN"/>
        </w:rPr>
        <w:t>在厂区与农商银行、与电力公司之间设置高</w:t>
      </w:r>
      <w:r>
        <w:rPr>
          <w:rFonts w:hint="default" w:ascii="Times New Roman" w:hAnsi="Times New Roman" w:eastAsia="宋体" w:cs="Times New Roman"/>
          <w:color w:val="auto"/>
          <w:sz w:val="24"/>
          <w:szCs w:val="22"/>
          <w:highlight w:val="none"/>
          <w:lang w:val="en-US" w:eastAsia="zh-CN"/>
        </w:rPr>
        <w:t>2m的工程</w:t>
      </w:r>
      <w:r>
        <w:rPr>
          <w:rFonts w:hint="default" w:ascii="Times New Roman" w:hAnsi="Times New Roman" w:eastAsia="宋体" w:cs="Times New Roman"/>
          <w:color w:val="auto"/>
          <w:sz w:val="24"/>
          <w:szCs w:val="22"/>
          <w:highlight w:val="none"/>
          <w:lang w:eastAsia="zh-CN"/>
        </w:rPr>
        <w:t>网防尘。</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5.1.2施工期水环境影响分析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2"/>
          <w:highlight w:val="none"/>
        </w:rPr>
        <w:t>施工期废水主要为施工废水、施工人员生活污水。施工废水产生量约2m³/d，排放水质SS浓度较高，还有少量矿物油，据类比监测调查SS浓度一般为1000-3000mg/L，全部沉淀后回用。施工现场不设施工人员生活区，工作期间施工人员生活污水</w:t>
      </w:r>
      <w:r>
        <w:rPr>
          <w:rFonts w:hint="default" w:ascii="Times New Roman" w:hAnsi="Times New Roman" w:eastAsia="宋体" w:cs="Times New Roman"/>
          <w:color w:val="auto"/>
          <w:sz w:val="24"/>
          <w:szCs w:val="22"/>
          <w:highlight w:val="none"/>
          <w:lang w:val="en-US" w:eastAsia="zh-CN"/>
        </w:rPr>
        <w:t>排入</w:t>
      </w:r>
      <w:r>
        <w:rPr>
          <w:rFonts w:hint="default" w:ascii="Times New Roman" w:hAnsi="Times New Roman" w:eastAsia="宋体" w:cs="Times New Roman"/>
          <w:color w:val="auto"/>
          <w:sz w:val="24"/>
          <w:szCs w:val="22"/>
          <w:highlight w:val="none"/>
          <w:lang w:eastAsia="zh-CN"/>
        </w:rPr>
        <w:t>防渗化粪池</w:t>
      </w:r>
      <w:r>
        <w:rPr>
          <w:rFonts w:hint="default" w:ascii="Times New Roman" w:hAnsi="Times New Roman" w:eastAsia="宋体" w:cs="Times New Roman"/>
          <w:color w:val="auto"/>
          <w:sz w:val="24"/>
          <w:szCs w:val="22"/>
          <w:highlight w:val="none"/>
        </w:rPr>
        <w:t>。施工期施工废水对环境影响较小。</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5.1.3施工期固体废弃物影响分析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施工期固体废物主要包括工程弃土、施工垃圾。施工垃圾产生量为1t，全部按照城市管理部门指定路线拉运至指定倾倒地点倾倒，对环境产生影响较小。</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5.1.4施工期声环境影响预测分析</w:t>
      </w:r>
    </w:p>
    <w:p>
      <w:pPr>
        <w:shd w:val="clear"/>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施工期噪声主要来源于各种机械噪声和运输车辆噪声，其强度与施工设备的种类及施工队伍的管理等有关。建设期主要施工机械设备的噪声源强见表5.1-1，物料运输车辆类型及其声级值见表5.1-2。</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表5.1-1  施工期主要噪声源及其声级值</w:t>
      </w:r>
    </w:p>
    <w:tbl>
      <w:tblPr>
        <w:tblStyle w:val="90"/>
        <w:tblW w:w="8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7"/>
        <w:gridCol w:w="1646"/>
        <w:gridCol w:w="1457"/>
        <w:gridCol w:w="1456"/>
        <w:gridCol w:w="1587"/>
        <w:gridCol w:w="10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02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施工阶段</w:t>
            </w:r>
          </w:p>
        </w:tc>
        <w:tc>
          <w:tcPr>
            <w:tcW w:w="1646"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  源</w:t>
            </w:r>
          </w:p>
        </w:tc>
        <w:tc>
          <w:tcPr>
            <w:tcW w:w="14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声源强度</w:t>
            </w:r>
          </w:p>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1456"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施工阶段</w:t>
            </w:r>
          </w:p>
        </w:tc>
        <w:tc>
          <w:tcPr>
            <w:tcW w:w="158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  源</w:t>
            </w:r>
          </w:p>
        </w:tc>
        <w:tc>
          <w:tcPr>
            <w:tcW w:w="108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声源强度</w:t>
            </w:r>
          </w:p>
          <w:p>
            <w:pPr>
              <w:shd w:val="clear"/>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2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土石方</w:t>
            </w:r>
          </w:p>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阶段</w:t>
            </w:r>
          </w:p>
        </w:tc>
        <w:tc>
          <w:tcPr>
            <w:tcW w:w="1646"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挖土机</w:t>
            </w:r>
          </w:p>
        </w:tc>
        <w:tc>
          <w:tcPr>
            <w:tcW w:w="14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78~96</w:t>
            </w:r>
          </w:p>
        </w:tc>
        <w:tc>
          <w:tcPr>
            <w:tcW w:w="1456"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装修</w:t>
            </w:r>
          </w:p>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安装阶段</w:t>
            </w:r>
          </w:p>
        </w:tc>
        <w:tc>
          <w:tcPr>
            <w:tcW w:w="158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手工钻</w:t>
            </w:r>
          </w:p>
        </w:tc>
        <w:tc>
          <w:tcPr>
            <w:tcW w:w="108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27"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底板与结构阶段</w:t>
            </w:r>
          </w:p>
        </w:tc>
        <w:tc>
          <w:tcPr>
            <w:tcW w:w="1646"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电锯</w:t>
            </w:r>
          </w:p>
        </w:tc>
        <w:tc>
          <w:tcPr>
            <w:tcW w:w="14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5</w:t>
            </w:r>
          </w:p>
        </w:tc>
        <w:tc>
          <w:tcPr>
            <w:tcW w:w="1456"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58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无齿锯</w:t>
            </w:r>
          </w:p>
        </w:tc>
        <w:tc>
          <w:tcPr>
            <w:tcW w:w="108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27"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646"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w:t>
            </w:r>
          </w:p>
        </w:tc>
        <w:tc>
          <w:tcPr>
            <w:tcW w:w="145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90~95</w:t>
            </w:r>
          </w:p>
        </w:tc>
        <w:tc>
          <w:tcPr>
            <w:tcW w:w="1456"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58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多功能木工刨</w:t>
            </w:r>
          </w:p>
        </w:tc>
        <w:tc>
          <w:tcPr>
            <w:tcW w:w="108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260" w:type="dxa"/>
            <w:gridSpan w:val="6"/>
            <w:vAlign w:val="center"/>
          </w:tcPr>
          <w:p>
            <w:pPr>
              <w:shd w:val="clea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56"/>
                <w:sz w:val="21"/>
                <w:szCs w:val="21"/>
                <w:highlight w:val="none"/>
                <w:lang w:val="zh-CN"/>
              </w:rPr>
              <w:t>注：当多台机械设备同时作业时，产生噪声叠加，叠加后的噪声增加3~8dB，一般不会超过10dB。</w:t>
            </w:r>
          </w:p>
        </w:tc>
      </w:tr>
    </w:tbl>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表5.1-2  施工期运输车辆及其声级值</w:t>
      </w:r>
    </w:p>
    <w:tbl>
      <w:tblPr>
        <w:tblStyle w:val="90"/>
        <w:tblW w:w="8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04"/>
        <w:gridCol w:w="2573"/>
        <w:gridCol w:w="2506"/>
        <w:gridCol w:w="19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4"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施工阶段</w:t>
            </w:r>
          </w:p>
        </w:tc>
        <w:tc>
          <w:tcPr>
            <w:tcW w:w="257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运输内容</w:t>
            </w:r>
          </w:p>
        </w:tc>
        <w:tc>
          <w:tcPr>
            <w:tcW w:w="2506"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车辆类型</w:t>
            </w:r>
          </w:p>
        </w:tc>
        <w:tc>
          <w:tcPr>
            <w:tcW w:w="1977" w:type="dxa"/>
            <w:vAlign w:val="center"/>
          </w:tcPr>
          <w:p>
            <w:pPr>
              <w:shd w:val="clea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声源强度dB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4"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土方阶段</w:t>
            </w:r>
          </w:p>
        </w:tc>
        <w:tc>
          <w:tcPr>
            <w:tcW w:w="257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弃土外运</w:t>
            </w:r>
          </w:p>
        </w:tc>
        <w:tc>
          <w:tcPr>
            <w:tcW w:w="2506"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大型载重车</w:t>
            </w:r>
          </w:p>
        </w:tc>
        <w:tc>
          <w:tcPr>
            <w:tcW w:w="1977"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4"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结构阶段</w:t>
            </w:r>
          </w:p>
        </w:tc>
        <w:tc>
          <w:tcPr>
            <w:tcW w:w="257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钢筋</w:t>
            </w:r>
          </w:p>
        </w:tc>
        <w:tc>
          <w:tcPr>
            <w:tcW w:w="2506"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电锯、吊车等</w:t>
            </w:r>
          </w:p>
        </w:tc>
        <w:tc>
          <w:tcPr>
            <w:tcW w:w="1977"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4"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装修阶段</w:t>
            </w:r>
          </w:p>
        </w:tc>
        <w:tc>
          <w:tcPr>
            <w:tcW w:w="257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各种装修材料及必备设备</w:t>
            </w:r>
          </w:p>
        </w:tc>
        <w:tc>
          <w:tcPr>
            <w:tcW w:w="2506"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汽车</w:t>
            </w:r>
          </w:p>
        </w:tc>
        <w:tc>
          <w:tcPr>
            <w:tcW w:w="197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85-90</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①单个室外的点声源在预测点产生的声级计算公式</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相同方向预测点位置的倍频带声压级LP</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计算公式：</w:t>
      </w:r>
    </w:p>
    <w:p>
      <w:pPr>
        <w:shd w:val="clear"/>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9" o:spt="75" type="#_x0000_t75" style="height:17.55pt;width:93.3pt;" o:ole="t" filled="f" o:preferrelative="t" stroked="f" coordsize="21600,21600">
            <v:path/>
            <v:fill on="f" focussize="0,0"/>
            <v:stroke on="f" joinstyle="miter"/>
            <v:imagedata r:id="rId34" o:title=""/>
            <o:lock v:ext="edit" aspectratio="t"/>
            <w10:wrap type="none"/>
            <w10:anchorlock/>
          </v:shape>
          <o:OLEObject Type="Embed" ProgID="Equation.3" ShapeID="_x0000_i1029" DrawAspect="Content" ObjectID="_1468075729" r:id="rId33">
            <o:LockedField>false</o:LockedField>
          </o:OLEObject>
        </w:object>
      </w:r>
    </w:p>
    <w:p>
      <w:pPr>
        <w:shd w:val="clear"/>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0" o:spt="75" type="#_x0000_t75" style="height:17.55pt;width:166.55pt;" o:ole="t" filled="f" o:preferrelative="t" stroked="f" coordsize="21600,21600">
            <v:path/>
            <v:fill on="f" focussize="0,0"/>
            <v:stroke on="f" joinstyle="miter"/>
            <v:imagedata r:id="rId36" o:title=""/>
            <o:lock v:ext="edit" aspectratio="t"/>
            <w10:wrap type="none"/>
            <w10:anchorlock/>
          </v:shape>
          <o:OLEObject Type="Embed" ProgID="Equation.3" ShapeID="_x0000_i1030" DrawAspect="Content" ObjectID="_1468075730" r:id="rId35">
            <o:LockedField>false</o:LockedField>
          </o:OLEObject>
        </w:objec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pPr>
        <w:shd w:val="clear"/>
        <w:spacing w:line="360" w:lineRule="auto"/>
        <w:ind w:firstLine="1440" w:firstLineChars="6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Lp</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—靠近声源处某点的倍频带声压级，dB；</w:t>
      </w:r>
    </w:p>
    <w:p>
      <w:pPr>
        <w:shd w:val="clear"/>
        <w:spacing w:line="360" w:lineRule="auto"/>
        <w:ind w:firstLine="1440" w:firstLineChars="6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A—倍频带衰减，dB；</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Ad</w:t>
      </w:r>
      <w:r>
        <w:rPr>
          <w:rFonts w:hint="default" w:ascii="Times New Roman" w:hAnsi="Times New Roman" w:eastAsia="宋体" w:cs="Times New Roman"/>
          <w:color w:val="auto"/>
          <w:sz w:val="24"/>
          <w:highlight w:val="none"/>
          <w:lang w:eastAsia="zh-CN"/>
        </w:rPr>
        <w:t>Ⅳ</w:t>
      </w:r>
      <w:r>
        <w:rPr>
          <w:rFonts w:hint="default" w:ascii="Times New Roman" w:hAnsi="Times New Roman" w:eastAsia="宋体" w:cs="Times New Roman"/>
          <w:color w:val="auto"/>
          <w:sz w:val="24"/>
          <w:highlight w:val="none"/>
        </w:rPr>
        <w:t>—几何发散引起的倍频带衰减，dB；</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Aatm—大气吸收引起的倍频带衰减，dB；</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Agr—地面效应引起的倍频带衰减，dB；</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Abar—声屏障引起的倍频带衰减，dB；</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Amisc—其他多方面效应引起的倍频带衰减，dB。</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②室内声源等效室外声源声功率级计算方法</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室外的倍频带声压级</w:t>
      </w:r>
    </w:p>
    <w:p>
      <w:pPr>
        <w:shd w:val="clear"/>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1" o:spt="75" type="#_x0000_t75" style="height:17.55pt;width:100.8pt;" o:ole="t"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1" r:id="rId37">
            <o:LockedField>false</o:LockedField>
          </o:OLEObject>
        </w:object>
      </w:r>
    </w:p>
    <w:p>
      <w:pPr>
        <w:shd w:val="clea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TL—隔墙（或窗户）倍频带的隔声量，dB。</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某一室内声源靠近围护结构处产生的倍频带声压级</w:t>
      </w:r>
    </w:p>
    <w:p>
      <w:pPr>
        <w:shd w:val="clear"/>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2" o:spt="75" type="#_x0000_t75" style="height:30.7pt;width:135.85pt;" o:ole="t" filled="f" o:preferrelative="t" stroked="f" coordsize="21600,21600">
            <v:path/>
            <v:fill on="f" focussize="0,0"/>
            <v:stroke on="f" joinstyle="miter"/>
            <v:imagedata r:id="rId40" o:title=""/>
            <o:lock v:ext="edit" aspectratio="t"/>
            <w10:wrap type="none"/>
            <w10:anchorlock/>
          </v:shape>
          <o:OLEObject Type="Embed" ProgID="Equation.3" ShapeID="_x0000_i1032" DrawAspect="Content" ObjectID="_1468075732" r:id="rId39">
            <o:LockedField>false</o:LockedField>
          </o:OLEObject>
        </w:objec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Q—指向性因数；</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R—房间常数；</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r —声源在靠近围护结构某点处的距离，m。</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室内声源在围护结构处产生的i倍频带叠加声压级：</w:t>
      </w:r>
    </w:p>
    <w:p>
      <w:pPr>
        <w:shd w:val="clear"/>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3" o:spt="75" type="#_x0000_t75" style="height:35.7pt;width:132.75pt;" o:ole="t" filled="f" o:preferrelative="t" stroked="f" coordsize="21600,21600">
            <v:path/>
            <v:fill on="f" focussize="0,0"/>
            <v:stroke on="f" joinstyle="miter"/>
            <v:imagedata r:id="rId42" o:title=""/>
            <o:lock v:ext="edit" aspectratio="t"/>
            <w10:wrap type="none"/>
            <w10:anchorlock/>
          </v:shape>
          <o:OLEObject Type="Embed" ProgID="Equation.3" ShapeID="_x0000_i1033" DrawAspect="Content" ObjectID="_1468075733" r:id="rId41">
            <o:LockedField>false</o:LockedField>
          </o:OLEObject>
        </w:objec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Lp1i</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—靠近围护结构处室内N个声源i倍频带的叠加声压级，dB；</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Lp1ij—室内j声源i倍频带的声压级，dB；</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N—室内声源总数。</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③噪声贡献值计算</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拟建项目声源对预测点产生的贡献值为：</w:t>
      </w:r>
    </w:p>
    <w:p>
      <w:pPr>
        <w:shd w:val="clear"/>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4" o:spt="75" type="#_x0000_t75" style="height:38.8pt;width:204.75pt;" o:ole="t" filled="f" o:preferrelative="t" stroked="f" coordsize="21600,21600">
            <v:path/>
            <v:fill on="f" focussize="0,0"/>
            <v:stroke on="f" joinstyle="miter"/>
            <v:imagedata r:id="rId44" o:title=""/>
            <o:lock v:ext="edit" aspectratio="t"/>
            <w10:wrap type="none"/>
            <w10:anchorlock/>
          </v:shape>
          <o:OLEObject Type="Embed" ProgID="Equation.3" ShapeID="_x0000_i1034" DrawAspect="Content" ObjectID="_1468075734" r:id="rId43">
            <o:LockedField>false</o:LockedField>
          </o:OLEObject>
        </w:objec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tj—在T时间内j声源工作时间，s；</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ti—在T时间内i声源工作时间，s；</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T—用于计算等效声级的时间，s；</w:t>
      </w:r>
    </w:p>
    <w:p>
      <w:pPr>
        <w:shd w:val="clea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N—室外声源个数；</w:t>
      </w:r>
    </w:p>
    <w:p>
      <w:pPr>
        <w:shd w:val="clea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M—等效室外声源个数。     </w:t>
      </w:r>
    </w:p>
    <w:p>
      <w:pPr>
        <w:shd w:val="clear"/>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预测结果</w:t>
      </w:r>
    </w:p>
    <w:p>
      <w:pPr>
        <w:shd w:val="clear"/>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采用上述公式计算，可得到施工期各种机械在不同距离处的噪声预测值，结果见表5.1-3。</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表5.1-3  主要施工机械在不同距离处的噪声预测结果   单位dB（A）</w:t>
      </w:r>
    </w:p>
    <w:tbl>
      <w:tblPr>
        <w:tblStyle w:val="90"/>
        <w:tblW w:w="8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341"/>
        <w:gridCol w:w="768"/>
        <w:gridCol w:w="846"/>
        <w:gridCol w:w="832"/>
        <w:gridCol w:w="904"/>
        <w:gridCol w:w="897"/>
        <w:gridCol w:w="895"/>
        <w:gridCol w:w="895"/>
        <w:gridCol w:w="88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41"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机械名称</w:t>
            </w:r>
          </w:p>
        </w:tc>
        <w:tc>
          <w:tcPr>
            <w:tcW w:w="6919" w:type="dxa"/>
            <w:gridSpan w:val="8"/>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距施工点不同距离的噪声值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41" w:type="dxa"/>
            <w:vMerge w:val="continue"/>
            <w:vAlign w:val="center"/>
          </w:tcPr>
          <w:p>
            <w:pPr>
              <w:widowControl/>
              <w:shd w:val="clear"/>
              <w:jc w:val="left"/>
              <w:rPr>
                <w:rFonts w:hint="default" w:ascii="Times New Roman" w:hAnsi="Times New Roman" w:eastAsia="宋体" w:cs="Times New Roman"/>
                <w:color w:val="auto"/>
                <w:szCs w:val="21"/>
                <w:highlight w:val="none"/>
              </w:rPr>
            </w:pPr>
          </w:p>
        </w:tc>
        <w:tc>
          <w:tcPr>
            <w:tcW w:w="768"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5m</w:t>
            </w:r>
          </w:p>
        </w:tc>
        <w:tc>
          <w:tcPr>
            <w:tcW w:w="846"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20m</w:t>
            </w:r>
          </w:p>
        </w:tc>
        <w:tc>
          <w:tcPr>
            <w:tcW w:w="83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50m</w:t>
            </w:r>
          </w:p>
        </w:tc>
        <w:tc>
          <w:tcPr>
            <w:tcW w:w="904"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100m</w:t>
            </w:r>
          </w:p>
        </w:tc>
        <w:tc>
          <w:tcPr>
            <w:tcW w:w="89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150m</w:t>
            </w:r>
          </w:p>
        </w:tc>
        <w:tc>
          <w:tcPr>
            <w:tcW w:w="895"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200m</w:t>
            </w:r>
          </w:p>
        </w:tc>
        <w:tc>
          <w:tcPr>
            <w:tcW w:w="895"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250m</w:t>
            </w:r>
          </w:p>
        </w:tc>
        <w:tc>
          <w:tcPr>
            <w:tcW w:w="88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41"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装载</w:t>
            </w:r>
            <w:r>
              <w:rPr>
                <w:rFonts w:hint="default" w:ascii="Times New Roman" w:hAnsi="Times New Roman" w:eastAsia="宋体" w:cs="Times New Roman"/>
                <w:color w:val="auto"/>
                <w:szCs w:val="21"/>
                <w:highlight w:val="none"/>
              </w:rPr>
              <w:t>机</w:t>
            </w:r>
          </w:p>
        </w:tc>
        <w:tc>
          <w:tcPr>
            <w:tcW w:w="768"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82</w:t>
            </w:r>
          </w:p>
        </w:tc>
        <w:tc>
          <w:tcPr>
            <w:tcW w:w="846"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69</w:t>
            </w:r>
          </w:p>
        </w:tc>
        <w:tc>
          <w:tcPr>
            <w:tcW w:w="832"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62</w:t>
            </w:r>
          </w:p>
        </w:tc>
        <w:tc>
          <w:tcPr>
            <w:tcW w:w="904"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56</w:t>
            </w:r>
          </w:p>
        </w:tc>
        <w:tc>
          <w:tcPr>
            <w:tcW w:w="897"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52</w:t>
            </w:r>
          </w:p>
        </w:tc>
        <w:tc>
          <w:tcPr>
            <w:tcW w:w="895"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w:t>
            </w:r>
          </w:p>
        </w:tc>
        <w:tc>
          <w:tcPr>
            <w:tcW w:w="895"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48</w:t>
            </w:r>
          </w:p>
        </w:tc>
        <w:tc>
          <w:tcPr>
            <w:tcW w:w="882"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41"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运输车辆</w:t>
            </w:r>
          </w:p>
        </w:tc>
        <w:tc>
          <w:tcPr>
            <w:tcW w:w="768"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71</w:t>
            </w:r>
          </w:p>
        </w:tc>
        <w:tc>
          <w:tcPr>
            <w:tcW w:w="846"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58</w:t>
            </w:r>
          </w:p>
        </w:tc>
        <w:tc>
          <w:tcPr>
            <w:tcW w:w="832"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51</w:t>
            </w:r>
          </w:p>
        </w:tc>
        <w:tc>
          <w:tcPr>
            <w:tcW w:w="904"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45</w:t>
            </w:r>
          </w:p>
        </w:tc>
        <w:tc>
          <w:tcPr>
            <w:tcW w:w="897"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41</w:t>
            </w:r>
          </w:p>
        </w:tc>
        <w:tc>
          <w:tcPr>
            <w:tcW w:w="895"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39</w:t>
            </w:r>
          </w:p>
        </w:tc>
        <w:tc>
          <w:tcPr>
            <w:tcW w:w="895"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37</w:t>
            </w:r>
          </w:p>
        </w:tc>
        <w:tc>
          <w:tcPr>
            <w:tcW w:w="882"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41"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木工电刨</w:t>
            </w:r>
          </w:p>
        </w:tc>
        <w:tc>
          <w:tcPr>
            <w:tcW w:w="768"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81</w:t>
            </w:r>
          </w:p>
        </w:tc>
        <w:tc>
          <w:tcPr>
            <w:tcW w:w="846"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69</w:t>
            </w:r>
          </w:p>
        </w:tc>
        <w:tc>
          <w:tcPr>
            <w:tcW w:w="832"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61</w:t>
            </w:r>
          </w:p>
        </w:tc>
        <w:tc>
          <w:tcPr>
            <w:tcW w:w="904"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55</w:t>
            </w:r>
          </w:p>
        </w:tc>
        <w:tc>
          <w:tcPr>
            <w:tcW w:w="897"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51</w:t>
            </w:r>
          </w:p>
        </w:tc>
        <w:tc>
          <w:tcPr>
            <w:tcW w:w="895"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49</w:t>
            </w:r>
          </w:p>
        </w:tc>
        <w:tc>
          <w:tcPr>
            <w:tcW w:w="895"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47</w:t>
            </w:r>
          </w:p>
        </w:tc>
        <w:tc>
          <w:tcPr>
            <w:tcW w:w="882" w:type="dxa"/>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45</w:t>
            </w:r>
          </w:p>
        </w:tc>
      </w:tr>
    </w:tbl>
    <w:p>
      <w:pPr>
        <w:shd w:val="clear"/>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3</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噪声影响分析</w:t>
      </w:r>
    </w:p>
    <w:p>
      <w:pPr>
        <w:shd w:val="clear"/>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①由表5.1-3可知，单机施工机械噪声昼间在距声源</w:t>
      </w:r>
      <w:r>
        <w:rPr>
          <w:rFonts w:hint="default" w:ascii="Times New Roman" w:hAnsi="Times New Roman" w:eastAsia="宋体" w:cs="Times New Roman"/>
          <w:color w:val="auto"/>
          <w:sz w:val="24"/>
          <w:szCs w:val="22"/>
          <w:highlight w:val="none"/>
          <w:lang w:val="en-US" w:eastAsia="zh-CN"/>
        </w:rPr>
        <w:t>20</w:t>
      </w:r>
      <w:r>
        <w:rPr>
          <w:rFonts w:hint="default" w:ascii="Times New Roman" w:hAnsi="Times New Roman" w:eastAsia="宋体" w:cs="Times New Roman"/>
          <w:color w:val="auto"/>
          <w:sz w:val="24"/>
          <w:szCs w:val="22"/>
          <w:highlight w:val="none"/>
        </w:rPr>
        <w:t>米外噪声预测值可符合《建筑施工场界环境噪声排放标准》</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GB12523-2011</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标准限值。</w:t>
      </w:r>
    </w:p>
    <w:p>
      <w:pPr>
        <w:shd w:val="clear"/>
        <w:spacing w:line="360" w:lineRule="auto"/>
        <w:ind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rPr>
        <w:t>②现场施工人员要严加管理，在施工建设时要防止互相撞击噪声，要文明施工</w:t>
      </w:r>
      <w:r>
        <w:rPr>
          <w:rFonts w:hint="default" w:ascii="Times New Roman" w:hAnsi="Times New Roman" w:eastAsia="宋体" w:cs="Times New Roman"/>
          <w:color w:val="auto"/>
          <w:sz w:val="24"/>
          <w:szCs w:val="22"/>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val="en-US" w:eastAsia="zh-CN"/>
        </w:rPr>
        <w:fldChar w:fldCharType="begin"/>
      </w:r>
      <w:r>
        <w:rPr>
          <w:rFonts w:hint="default" w:ascii="Times New Roman" w:hAnsi="Times New Roman" w:eastAsia="宋体" w:cs="Times New Roman"/>
          <w:color w:val="auto"/>
          <w:sz w:val="24"/>
          <w:szCs w:val="22"/>
          <w:highlight w:val="none"/>
          <w:lang w:val="en-US" w:eastAsia="zh-CN"/>
        </w:rPr>
        <w:instrText xml:space="preserve"> = 3 \* GB3 \* MERGEFORMAT </w:instrText>
      </w:r>
      <w:r>
        <w:rPr>
          <w:rFonts w:hint="default" w:ascii="Times New Roman" w:hAnsi="Times New Roman" w:eastAsia="宋体" w:cs="Times New Roman"/>
          <w:color w:val="auto"/>
          <w:sz w:val="24"/>
          <w:szCs w:val="22"/>
          <w:highlight w:val="none"/>
          <w:lang w:val="en-US" w:eastAsia="zh-CN"/>
        </w:rPr>
        <w:fldChar w:fldCharType="separate"/>
      </w:r>
      <w:r>
        <w:rPr>
          <w:rFonts w:hint="default" w:ascii="Times New Roman" w:hAnsi="Times New Roman" w:eastAsia="宋体" w:cs="Times New Roman"/>
          <w:color w:val="auto"/>
          <w:sz w:val="24"/>
          <w:szCs w:val="22"/>
          <w:highlight w:val="none"/>
        </w:rPr>
        <w:t>③</w:t>
      </w:r>
      <w:r>
        <w:rPr>
          <w:rFonts w:hint="default" w:ascii="Times New Roman" w:hAnsi="Times New Roman" w:eastAsia="宋体" w:cs="Times New Roman"/>
          <w:color w:val="auto"/>
          <w:sz w:val="24"/>
          <w:szCs w:val="22"/>
          <w:highlight w:val="none"/>
          <w:lang w:val="en-US" w:eastAsia="zh-CN"/>
        </w:rPr>
        <w:fldChar w:fldCharType="end"/>
      </w:r>
      <w:r>
        <w:rPr>
          <w:rFonts w:hint="default" w:ascii="Times New Roman" w:hAnsi="Times New Roman" w:eastAsia="宋体" w:cs="Times New Roman"/>
          <w:color w:val="auto"/>
          <w:sz w:val="24"/>
          <w:szCs w:val="22"/>
          <w:highlight w:val="none"/>
        </w:rPr>
        <w:t>施工现场合理布局，以避免局部声级过高，尽可能将施工阶段的噪声减至最小。</w:t>
      </w:r>
    </w:p>
    <w:p>
      <w:pPr>
        <w:shd w:val="clear"/>
        <w:spacing w:line="360" w:lineRule="auto"/>
        <w:ind w:firstLine="480" w:firstLineChars="200"/>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rPr>
        <w:fldChar w:fldCharType="begin"/>
      </w:r>
      <w:r>
        <w:rPr>
          <w:rFonts w:hint="default" w:ascii="Times New Roman" w:hAnsi="Times New Roman" w:eastAsia="宋体" w:cs="Times New Roman"/>
          <w:color w:val="auto"/>
          <w:sz w:val="24"/>
          <w:szCs w:val="22"/>
          <w:highlight w:val="none"/>
        </w:rPr>
        <w:instrText xml:space="preserve"> = 4 \* GB3 \* MERGEFORMAT </w:instrText>
      </w:r>
      <w:r>
        <w:rPr>
          <w:rFonts w:hint="default" w:ascii="Times New Roman" w:hAnsi="Times New Roman" w:eastAsia="宋体" w:cs="Times New Roman"/>
          <w:color w:val="auto"/>
          <w:sz w:val="24"/>
          <w:szCs w:val="22"/>
          <w:highlight w:val="none"/>
        </w:rPr>
        <w:fldChar w:fldCharType="separate"/>
      </w:r>
      <w:r>
        <w:rPr>
          <w:rFonts w:hint="default" w:ascii="Times New Roman" w:hAnsi="Times New Roman" w:eastAsia="宋体" w:cs="Times New Roman"/>
          <w:color w:val="auto"/>
          <w:sz w:val="24"/>
          <w:szCs w:val="22"/>
          <w:highlight w:val="none"/>
        </w:rPr>
        <w:t>④</w:t>
      </w:r>
      <w:r>
        <w:rPr>
          <w:rFonts w:hint="default" w:ascii="Times New Roman" w:hAnsi="Times New Roman" w:eastAsia="宋体" w:cs="Times New Roman"/>
          <w:color w:val="auto"/>
          <w:sz w:val="24"/>
          <w:szCs w:val="22"/>
          <w:highlight w:val="none"/>
        </w:rPr>
        <w:fldChar w:fldCharType="end"/>
      </w:r>
      <w:r>
        <w:rPr>
          <w:rFonts w:hint="default" w:ascii="Times New Roman" w:hAnsi="Times New Roman" w:eastAsia="宋体" w:cs="Times New Roman"/>
          <w:color w:val="auto"/>
          <w:sz w:val="24"/>
          <w:szCs w:val="22"/>
          <w:highlight w:val="none"/>
          <w:lang w:eastAsia="zh-CN"/>
        </w:rPr>
        <w:t>合理安排作业时间，严禁中午和晚上施工。</w:t>
      </w:r>
    </w:p>
    <w:p>
      <w:pPr>
        <w:shd w:val="clear"/>
        <w:spacing w:line="360" w:lineRule="auto"/>
        <w:ind w:firstLine="480" w:firstLineChars="200"/>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lang w:eastAsia="zh-CN"/>
        </w:rPr>
        <w:fldChar w:fldCharType="begin"/>
      </w:r>
      <w:r>
        <w:rPr>
          <w:rFonts w:hint="default" w:ascii="Times New Roman" w:hAnsi="Times New Roman" w:eastAsia="宋体" w:cs="Times New Roman"/>
          <w:color w:val="auto"/>
          <w:sz w:val="24"/>
          <w:szCs w:val="22"/>
          <w:highlight w:val="none"/>
          <w:lang w:eastAsia="zh-CN"/>
        </w:rPr>
        <w:instrText xml:space="preserve"> = 5 \* GB3 \* MERGEFORMAT </w:instrText>
      </w:r>
      <w:r>
        <w:rPr>
          <w:rFonts w:hint="default" w:ascii="Times New Roman" w:hAnsi="Times New Roman" w:eastAsia="宋体" w:cs="Times New Roman"/>
          <w:color w:val="auto"/>
          <w:sz w:val="24"/>
          <w:szCs w:val="22"/>
          <w:highlight w:val="none"/>
          <w:lang w:eastAsia="zh-CN"/>
        </w:rPr>
        <w:fldChar w:fldCharType="separate"/>
      </w:r>
      <w:r>
        <w:rPr>
          <w:rFonts w:hint="default" w:ascii="Times New Roman" w:hAnsi="Times New Roman" w:eastAsia="宋体" w:cs="Times New Roman"/>
          <w:color w:val="auto"/>
          <w:sz w:val="24"/>
          <w:szCs w:val="22"/>
          <w:highlight w:val="none"/>
        </w:rPr>
        <w:t>⑤</w:t>
      </w:r>
      <w:r>
        <w:rPr>
          <w:rFonts w:hint="default" w:ascii="Times New Roman" w:hAnsi="Times New Roman" w:eastAsia="宋体" w:cs="Times New Roman"/>
          <w:color w:val="auto"/>
          <w:sz w:val="24"/>
          <w:szCs w:val="22"/>
          <w:highlight w:val="none"/>
          <w:lang w:eastAsia="zh-CN"/>
        </w:rPr>
        <w:fldChar w:fldCharType="end"/>
      </w:r>
      <w:r>
        <w:rPr>
          <w:rFonts w:hint="default" w:ascii="Times New Roman" w:hAnsi="Times New Roman" w:eastAsia="宋体" w:cs="Times New Roman"/>
          <w:color w:val="auto"/>
          <w:sz w:val="24"/>
          <w:szCs w:val="22"/>
          <w:highlight w:val="none"/>
          <w:lang w:eastAsia="zh-CN"/>
        </w:rPr>
        <w:t>及时保养维修施工机械，严格按照操作规程使用各类机械。</w:t>
      </w:r>
    </w:p>
    <w:p>
      <w:pPr>
        <w:shd w:val="clear"/>
        <w:spacing w:line="360" w:lineRule="auto"/>
        <w:ind w:firstLine="480" w:firstLineChars="200"/>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lang w:eastAsia="zh-CN"/>
        </w:rPr>
        <w:fldChar w:fldCharType="begin"/>
      </w:r>
      <w:r>
        <w:rPr>
          <w:rFonts w:hint="default" w:ascii="Times New Roman" w:hAnsi="Times New Roman" w:eastAsia="宋体" w:cs="Times New Roman"/>
          <w:color w:val="auto"/>
          <w:sz w:val="24"/>
          <w:szCs w:val="22"/>
          <w:highlight w:val="none"/>
          <w:lang w:eastAsia="zh-CN"/>
        </w:rPr>
        <w:instrText xml:space="preserve"> = 6 \* GB3 \* MERGEFORMAT </w:instrText>
      </w:r>
      <w:r>
        <w:rPr>
          <w:rFonts w:hint="default" w:ascii="Times New Roman" w:hAnsi="Times New Roman" w:eastAsia="宋体" w:cs="Times New Roman"/>
          <w:color w:val="auto"/>
          <w:sz w:val="24"/>
          <w:szCs w:val="22"/>
          <w:highlight w:val="none"/>
          <w:lang w:eastAsia="zh-CN"/>
        </w:rPr>
        <w:fldChar w:fldCharType="separate"/>
      </w:r>
      <w:r>
        <w:rPr>
          <w:rFonts w:hint="default" w:ascii="Times New Roman" w:hAnsi="Times New Roman" w:eastAsia="宋体" w:cs="Times New Roman"/>
          <w:color w:val="auto"/>
          <w:sz w:val="24"/>
          <w:szCs w:val="22"/>
          <w:highlight w:val="none"/>
        </w:rPr>
        <w:t>⑥</w:t>
      </w:r>
      <w:r>
        <w:rPr>
          <w:rFonts w:hint="default" w:ascii="Times New Roman" w:hAnsi="Times New Roman" w:eastAsia="宋体" w:cs="Times New Roman"/>
          <w:color w:val="auto"/>
          <w:sz w:val="24"/>
          <w:szCs w:val="22"/>
          <w:highlight w:val="none"/>
          <w:lang w:eastAsia="zh-CN"/>
        </w:rPr>
        <w:fldChar w:fldCharType="end"/>
      </w:r>
      <w:r>
        <w:rPr>
          <w:rFonts w:hint="default" w:ascii="Times New Roman" w:hAnsi="Times New Roman" w:eastAsia="宋体" w:cs="Times New Roman"/>
          <w:color w:val="auto"/>
          <w:sz w:val="24"/>
          <w:szCs w:val="22"/>
          <w:highlight w:val="none"/>
          <w:lang w:eastAsia="zh-CN"/>
        </w:rPr>
        <w:t>在厂区与农商银行、与电力公司之间设置挡板。</w:t>
      </w:r>
    </w:p>
    <w:p>
      <w:pPr>
        <w:shd w:val="clear"/>
        <w:spacing w:line="360" w:lineRule="auto"/>
        <w:ind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eastAsia="zh-CN"/>
        </w:rPr>
        <w:t>施工期，建设单位采取以上噪声防治措施后，对周围敏感点声环境影响较小。</w:t>
      </w:r>
    </w:p>
    <w:p>
      <w:pPr>
        <w:pStyle w:val="5"/>
        <w:keepNext w:val="0"/>
        <w:shd w:val="clear"/>
        <w:spacing w:before="60" w:after="60" w:line="360" w:lineRule="auto"/>
        <w:rPr>
          <w:rFonts w:hint="default" w:ascii="Times New Roman" w:hAnsi="Times New Roman" w:eastAsia="宋体" w:cs="Times New Roman"/>
          <w:color w:val="auto"/>
          <w:highlight w:val="none"/>
        </w:rPr>
      </w:pPr>
      <w:bookmarkStart w:id="257" w:name="_Toc28644"/>
      <w:r>
        <w:rPr>
          <w:rFonts w:hint="default" w:ascii="Times New Roman" w:hAnsi="Times New Roman" w:eastAsia="宋体" w:cs="Times New Roman"/>
          <w:color w:val="auto"/>
          <w:highlight w:val="none"/>
        </w:rPr>
        <w:t>5.2大气环境环境影响预测及评价</w:t>
      </w:r>
      <w:bookmarkEnd w:id="254"/>
      <w:bookmarkEnd w:id="255"/>
      <w:bookmarkEnd w:id="256"/>
      <w:bookmarkEnd w:id="257"/>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多年气候特征统计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项目根据乌拉特前旗气象站1999-2018年观测资料分析统计资料显示：乌拉特前旗属温带大陆性气候，其气候特征为：冬季寒冷而漫长，夏季炎热而短暂，冬春季节干旱少雨，春季多风沙，夏秋季节高温多雨，年降水量少而集中，该地区年蒸发量远大于降水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lang w:val="en-US" w:eastAsia="zh-CN"/>
        </w:rPr>
        <w:t>1</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风向及风频</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rPr>
        <w:t>年主导风向为SSE，出现频率18.1％；春夏秋冬四季的主导风向均为SSE，出现频率分别为17.7％、21.9％、20.1％和14.1％；全年静风频率也很高达到17.3％，静风时，污染物在污染源附近各方位均匀缓慢扩散，易在源附近地面出现污染物高浓度，故当静风天气出现时要特别注意加强对污染的监测与防治。具体情况见表5.</w:t>
      </w:r>
      <w:r>
        <w:rPr>
          <w:rFonts w:hint="default" w:ascii="Times New Roman" w:hAnsi="Times New Roman" w:eastAsia="宋体" w:cs="Times New Roman"/>
          <w:color w:val="auto"/>
          <w:sz w:val="24"/>
          <w:szCs w:val="32"/>
          <w:lang w:val="en-US" w:eastAsia="zh-CN"/>
        </w:rPr>
        <w:t>2</w:t>
      </w:r>
      <w:r>
        <w:rPr>
          <w:rFonts w:hint="default" w:ascii="Times New Roman" w:hAnsi="Times New Roman" w:eastAsia="宋体" w:cs="Times New Roman"/>
          <w:color w:val="auto"/>
          <w:sz w:val="24"/>
          <w:szCs w:val="32"/>
        </w:rPr>
        <w:t>-1，风频玫瑰图见图5.</w:t>
      </w:r>
      <w:r>
        <w:rPr>
          <w:rFonts w:hint="default" w:ascii="Times New Roman" w:hAnsi="Times New Roman" w:eastAsia="宋体" w:cs="Times New Roman"/>
          <w:color w:val="auto"/>
          <w:sz w:val="24"/>
          <w:szCs w:val="32"/>
          <w:lang w:val="en-US" w:eastAsia="zh-CN"/>
        </w:rPr>
        <w:t>2</w:t>
      </w:r>
      <w:r>
        <w:rPr>
          <w:rFonts w:hint="default" w:ascii="Times New Roman" w:hAnsi="Times New Roman" w:eastAsia="宋体" w:cs="Times New Roman"/>
          <w:color w:val="auto"/>
          <w:sz w:val="24"/>
          <w:szCs w:val="32"/>
        </w:rPr>
        <w:t>-1</w:t>
      </w:r>
      <w:r>
        <w:rPr>
          <w:rFonts w:hint="default" w:ascii="Times New Roman" w:hAnsi="Times New Roman" w:eastAsia="宋体" w:cs="Times New Roman"/>
          <w:color w:val="auto"/>
          <w:sz w:val="24"/>
          <w:szCs w:val="32"/>
          <w:lang w:val="en-US" w:eastAsia="zh-CN"/>
        </w:rPr>
        <w:t>。</w:t>
      </w:r>
    </w:p>
    <w:p>
      <w:pPr>
        <w:snapToGrid/>
        <w:spacing w:line="240" w:lineRule="auto"/>
        <w:ind w:firstLine="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表5.</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-1  乌拉特前旗地面风向、频率统计表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380"/>
        <w:gridCol w:w="1120"/>
        <w:gridCol w:w="122"/>
        <w:gridCol w:w="1377"/>
        <w:gridCol w:w="1384"/>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Merge w:val="restart"/>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78048" behindDoc="0" locked="0" layoutInCell="1" allowOverlap="1">
                      <wp:simplePos x="0" y="0"/>
                      <wp:positionH relativeFrom="column">
                        <wp:posOffset>-62230</wp:posOffset>
                      </wp:positionH>
                      <wp:positionV relativeFrom="paragraph">
                        <wp:posOffset>-14605</wp:posOffset>
                      </wp:positionV>
                      <wp:extent cx="1041400" cy="324485"/>
                      <wp:effectExtent l="1270" t="4445" r="5080" b="13970"/>
                      <wp:wrapNone/>
                      <wp:docPr id="31" name="直接连接符 31"/>
                      <wp:cNvGraphicFramePr/>
                      <a:graphic xmlns:a="http://schemas.openxmlformats.org/drawingml/2006/main">
                        <a:graphicData uri="http://schemas.microsoft.com/office/word/2010/wordprocessingShape">
                          <wps:wsp>
                            <wps:cNvCnPr/>
                            <wps:spPr>
                              <a:xfrm>
                                <a:off x="0" y="0"/>
                                <a:ext cx="1041400" cy="3244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9pt;margin-top:-1.15pt;height:25.55pt;width:82pt;z-index:251778048;mso-width-relative:page;mso-height-relative:page;" filled="f" stroked="t" coordsize="21600,21600" o:gfxdata="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LxiMTYAAAACAEAAA8AAAAAAAAAAQAgAAAAIgAAAGRycy9kb3ducmV2LnhtbFBL&#10;AQIUABQAAAAIAIdO4kBCwn/79gEAAO0DAAAOAAAAAAAAAAEAIAAAACcBAABkcnMvZTJvRG9jLnht&#10;bFBLBQYAAAAABgAGAFkBAACPBQ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77024" behindDoc="0" locked="0" layoutInCell="1" allowOverlap="1">
                      <wp:simplePos x="0" y="0"/>
                      <wp:positionH relativeFrom="column">
                        <wp:posOffset>-58420</wp:posOffset>
                      </wp:positionH>
                      <wp:positionV relativeFrom="paragraph">
                        <wp:posOffset>-20955</wp:posOffset>
                      </wp:positionV>
                      <wp:extent cx="461010" cy="589280"/>
                      <wp:effectExtent l="3810" t="3175" r="11430" b="17145"/>
                      <wp:wrapNone/>
                      <wp:docPr id="50" name="直接连接符 50"/>
                      <wp:cNvGraphicFramePr/>
                      <a:graphic xmlns:a="http://schemas.openxmlformats.org/drawingml/2006/main">
                        <a:graphicData uri="http://schemas.microsoft.com/office/word/2010/wordprocessingShape">
                          <wps:wsp>
                            <wps:cNvCnPr/>
                            <wps:spPr>
                              <a:xfrm>
                                <a:off x="0" y="0"/>
                                <a:ext cx="461010" cy="5892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6pt;margin-top:-1.65pt;height:46.4pt;width:36.3pt;z-index:251777024;mso-width-relative:page;mso-height-relative:page;" filled="f" stroked="t" coordsize="21600,21600" o:gfxdata="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2M3Bm1gAAAAcBAAAPAAAAAAAAAAEAIAAAACIAAABkcnMvZG93bnJldi54bWxQSwEC&#10;FAAUAAAACACHTuJAsY/DzvYBAADsAwAADgAAAAAAAAABACAAAAAl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季节</w:t>
            </w:r>
          </w:p>
          <w:p>
            <w:pPr>
              <w:adjustRightInd w:val="0"/>
              <w:snapToGrid w:val="0"/>
              <w:spacing w:line="240" w:lineRule="auto"/>
              <w:ind w:firstLine="485" w:firstLineChars="250"/>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统计值</w:t>
            </w:r>
          </w:p>
          <w:p>
            <w:pPr>
              <w:adjustRightInd w:val="0"/>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冬季</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春季</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夏季</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秋季</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Merge w:val="continue"/>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风频</w:t>
            </w:r>
          </w:p>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风频</w:t>
            </w:r>
          </w:p>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风频</w:t>
            </w:r>
          </w:p>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风频</w:t>
            </w:r>
          </w:p>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风频</w:t>
            </w:r>
          </w:p>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NNE</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ENE</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ESE</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SE</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SSE</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21.9</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WSW</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WNW</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NNW</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1421"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w:t>
            </w:r>
          </w:p>
        </w:tc>
        <w:tc>
          <w:tcPr>
            <w:tcW w:w="1278" w:type="dxa"/>
            <w:gridSpan w:val="2"/>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w:t>
            </w:r>
          </w:p>
        </w:tc>
        <w:tc>
          <w:tcPr>
            <w:tcW w:w="1418"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14.5</w:t>
            </w:r>
          </w:p>
        </w:tc>
        <w:tc>
          <w:tcPr>
            <w:tcW w:w="1425"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19.3</w:t>
            </w:r>
          </w:p>
        </w:tc>
        <w:tc>
          <w:tcPr>
            <w:tcW w:w="1307" w:type="dxa"/>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6" w:type="dxa"/>
            <w:gridSpan w:val="3"/>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181860" cy="2125345"/>
                  <wp:effectExtent l="0" t="0" r="8890" b="8255"/>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45"/>
                          <a:stretch>
                            <a:fillRect/>
                          </a:stretch>
                        </pic:blipFill>
                        <pic:spPr>
                          <a:xfrm>
                            <a:off x="0" y="0"/>
                            <a:ext cx="2181860" cy="2125345"/>
                          </a:xfrm>
                          <a:prstGeom prst="rect">
                            <a:avLst/>
                          </a:prstGeom>
                          <a:noFill/>
                          <a:ln>
                            <a:noFill/>
                          </a:ln>
                        </pic:spPr>
                      </pic:pic>
                    </a:graphicData>
                  </a:graphic>
                </wp:inline>
              </w:drawing>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冬季（C=22.0%）</w:t>
            </w:r>
          </w:p>
        </w:tc>
        <w:tc>
          <w:tcPr>
            <w:tcW w:w="4276" w:type="dxa"/>
            <w:gridSpan w:val="4"/>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104390" cy="2124075"/>
                  <wp:effectExtent l="0" t="0" r="10160" b="9525"/>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46"/>
                          <a:stretch>
                            <a:fillRect/>
                          </a:stretch>
                        </pic:blipFill>
                        <pic:spPr>
                          <a:xfrm>
                            <a:off x="0" y="0"/>
                            <a:ext cx="2104390" cy="2124075"/>
                          </a:xfrm>
                          <a:prstGeom prst="rect">
                            <a:avLst/>
                          </a:prstGeom>
                          <a:noFill/>
                          <a:ln>
                            <a:noFill/>
                          </a:ln>
                        </pic:spPr>
                      </pic:pic>
                    </a:graphicData>
                  </a:graphic>
                </wp:inline>
              </w:drawing>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春季（C=11.2%）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6" w:type="dxa"/>
            <w:gridSpan w:val="3"/>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200275" cy="2123440"/>
                  <wp:effectExtent l="0" t="0" r="9525" b="10160"/>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47"/>
                          <a:stretch>
                            <a:fillRect/>
                          </a:stretch>
                        </pic:blipFill>
                        <pic:spPr>
                          <a:xfrm>
                            <a:off x="0" y="0"/>
                            <a:ext cx="2200275" cy="2123440"/>
                          </a:xfrm>
                          <a:prstGeom prst="rect">
                            <a:avLst/>
                          </a:prstGeom>
                          <a:noFill/>
                          <a:ln>
                            <a:noFill/>
                          </a:ln>
                        </pic:spPr>
                      </pic:pic>
                    </a:graphicData>
                  </a:graphic>
                </wp:inline>
              </w:drawing>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夏季（C=14.5%）</w:t>
            </w:r>
          </w:p>
        </w:tc>
        <w:tc>
          <w:tcPr>
            <w:tcW w:w="4276" w:type="dxa"/>
            <w:gridSpan w:val="4"/>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085975" cy="2124075"/>
                  <wp:effectExtent l="0" t="0" r="9525" b="9525"/>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48"/>
                          <a:stretch>
                            <a:fillRect/>
                          </a:stretch>
                        </pic:blipFill>
                        <pic:spPr>
                          <a:xfrm>
                            <a:off x="0" y="0"/>
                            <a:ext cx="2085975" cy="2124075"/>
                          </a:xfrm>
                          <a:prstGeom prst="rect">
                            <a:avLst/>
                          </a:prstGeom>
                          <a:noFill/>
                          <a:ln>
                            <a:noFill/>
                          </a:ln>
                        </pic:spPr>
                      </pic:pic>
                    </a:graphicData>
                  </a:graphic>
                </wp:inline>
              </w:drawing>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秋季（C=19.3%）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7"/>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162810" cy="2124075"/>
                  <wp:effectExtent l="0" t="0" r="8890" b="9525"/>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49"/>
                          <a:stretch>
                            <a:fillRect/>
                          </a:stretch>
                        </pic:blipFill>
                        <pic:spPr>
                          <a:xfrm>
                            <a:off x="0" y="0"/>
                            <a:ext cx="2162810" cy="2124075"/>
                          </a:xfrm>
                          <a:prstGeom prst="rect">
                            <a:avLst/>
                          </a:prstGeom>
                          <a:noFill/>
                          <a:ln>
                            <a:noFill/>
                          </a:ln>
                        </pic:spPr>
                      </pic:pic>
                    </a:graphicData>
                  </a:graphic>
                </wp:inline>
              </w:drawing>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全年（C=17.3%）</w:t>
            </w:r>
          </w:p>
        </w:tc>
      </w:tr>
    </w:tbl>
    <w:p>
      <w:pPr>
        <w:snapToGrid/>
        <w:spacing w:line="240" w:lineRule="auto"/>
        <w:ind w:firstLine="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图5.</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-1  乌拉特前旗地面风向频率玫瑰图</w:t>
      </w:r>
    </w:p>
    <w:p>
      <w:pPr>
        <w:spacing w:line="360" w:lineRule="auto"/>
        <w:ind w:firstLine="482"/>
        <w:rPr>
          <w:rFonts w:hint="default" w:ascii="Times New Roman" w:hAnsi="Times New Roman" w:eastAsia="宋体" w:cs="Times New Roman"/>
          <w:color w:val="auto"/>
          <w:sz w:val="24"/>
          <w:szCs w:val="24"/>
        </w:rPr>
      </w:pPr>
      <w:bookmarkStart w:id="258" w:name="_Toc10201_WPSOffice_Level3"/>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风速</w:t>
      </w:r>
      <w:bookmarkEnd w:id="258"/>
    </w:p>
    <w:p>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乌拉特前旗的地面月（年）平均风速数值的统计，见表5.</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-2；由表5.</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-2可以看出，该地区年平均风速为3.0m/s。全年以春季风速最大（如4月份风速为3.8m/s），冬季风速最小（如1月份风速为2.4m/s），其风速的年较差为1.4m/s。</w:t>
      </w:r>
    </w:p>
    <w:p>
      <w:pPr>
        <w:snapToGrid/>
        <w:spacing w:line="240" w:lineRule="auto"/>
        <w:ind w:firstLine="0"/>
        <w:jc w:val="center"/>
        <w:rPr>
          <w:rFonts w:hint="default" w:ascii="Times New Roman" w:hAnsi="Times New Roman" w:eastAsia="宋体" w:cs="Times New Roman"/>
          <w:b/>
          <w:color w:val="auto"/>
          <w:sz w:val="24"/>
          <w:szCs w:val="24"/>
        </w:rPr>
      </w:pPr>
    </w:p>
    <w:p>
      <w:pPr>
        <w:snapToGrid/>
        <w:spacing w:line="240" w:lineRule="auto"/>
        <w:ind w:firstLine="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表5.</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-2  乌拉特前旗平均风速数值表</w:t>
      </w:r>
    </w:p>
    <w:tbl>
      <w:tblPr>
        <w:tblStyle w:val="90"/>
        <w:tblW w:w="827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552"/>
        <w:gridCol w:w="552"/>
        <w:gridCol w:w="552"/>
        <w:gridCol w:w="552"/>
        <w:gridCol w:w="552"/>
        <w:gridCol w:w="552"/>
        <w:gridCol w:w="552"/>
        <w:gridCol w:w="553"/>
        <w:gridCol w:w="553"/>
        <w:gridCol w:w="553"/>
        <w:gridCol w:w="553"/>
        <w:gridCol w:w="553"/>
        <w:gridCol w:w="5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月（年）</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平均风速（m/s）</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各风向下的平均风速</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乌拉特前旗各风向不同风速段的出现频率见表5.</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-3，全年主要风速出现在2.0～5.9 m/s之间，其出现频率约占各风速段总出现频率的61.88%；而各风向下以SSE风的出现频率最大，达16.11%。</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4"/>
          <w:szCs w:val="24"/>
        </w:rPr>
        <w:t>表5.</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-3  乌拉特前旗各风速段出现频率（单位：%）</w:t>
      </w:r>
    </w:p>
    <w:tbl>
      <w:tblPr>
        <w:tblStyle w:val="90"/>
        <w:tblW w:w="8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3"/>
        <w:gridCol w:w="1261"/>
        <w:gridCol w:w="1077"/>
        <w:gridCol w:w="1194"/>
        <w:gridCol w:w="1200"/>
        <w:gridCol w:w="1101"/>
        <w:gridCol w:w="1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630" w:firstLineChars="3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-1270</wp:posOffset>
                      </wp:positionV>
                      <wp:extent cx="848995" cy="336550"/>
                      <wp:effectExtent l="1905" t="4445" r="6350" b="20955"/>
                      <wp:wrapNone/>
                      <wp:docPr id="79" name="直接连接符 79"/>
                      <wp:cNvGraphicFramePr/>
                      <a:graphic xmlns:a="http://schemas.openxmlformats.org/drawingml/2006/main">
                        <a:graphicData uri="http://schemas.microsoft.com/office/word/2010/wordprocessingShape">
                          <wps:wsp>
                            <wps:cNvCnPr/>
                            <wps:spPr>
                              <a:xfrm>
                                <a:off x="0" y="0"/>
                                <a:ext cx="848995" cy="33655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9pt;margin-top:-0.1pt;height:26.5pt;width:66.85pt;z-index:251779072;mso-width-relative:page;mso-height-relative:page;" filled="f" stroked="t" coordsize="21600,21600" o:gfxdata="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TyXRjWAAAABwEAAA8AAAAAAAAAAQAgAAAAIgAAAGRycy9kb3ducmV2LnhtbFBL&#10;AQIUABQAAAAIAIdO4kAJQIi2+AEAAOwDAAAOAAAAAAAAAAEAIAAAACUBAABkcnMvZTJvRG9jLnht&#10;bFBLBQYAAAAABgAGAFkBAACPBQ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 w:val="21"/>
                <w:szCs w:val="21"/>
              </w:rPr>
              <w:t>风速</w:t>
            </w:r>
          </w:p>
          <w:p>
            <w:pPr>
              <w:adjustRightInd w:val="0"/>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风向</w:t>
            </w:r>
          </w:p>
        </w:tc>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1.0～1.9</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2.0～2.9</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3.0～3.9</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4.0～5.9</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p>
        </w:tc>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2.14</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1.79</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NNE</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0.82</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1.59</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2.03</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1.48</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ENE</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0.49</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0.66</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0.59</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0.22</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ESE</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0.56</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0.38</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SE</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1.63</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2.92</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SSE</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0.83</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2.37</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3.94</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6.41</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3.25</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4.05</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0.58</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0.64</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0.41</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0.72</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0.76</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WSW</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0.42</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0.64</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0.44</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0.60</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0.98</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0.81</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0.90</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WNW</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0.41</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0.52</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0.57</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0.91</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0.67</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0.73</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0.71</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0.93</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NNW</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0.63</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0.94</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0.62</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0.73</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15.18</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11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12.06</w:t>
            </w:r>
          </w:p>
        </w:tc>
        <w:tc>
          <w:tcPr>
            <w:tcW w:w="12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18.62</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23.05</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10.83</w:t>
            </w:r>
          </w:p>
        </w:tc>
      </w:tr>
    </w:tbl>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大气环境影响预测</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szCs w:val="32"/>
          <w:highlight w:val="none"/>
          <w:lang w:val="en-US" w:eastAsia="zh-CN"/>
        </w:rPr>
        <w:t>（1）预测模式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color w:val="auto"/>
          <w:sz w:val="24"/>
          <w:szCs w:val="24"/>
          <w:highlight w:val="none"/>
        </w:rPr>
        <w:t>根据拟建项目地区的地貌特征及气象条件，按国家环境保护行业标准《环境影响评价技术导则—大气环境》HJ2.2—2018中的规定，采用估算模式（SCREEN3模型）进行预测分析</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32"/>
          <w:highlight w:val="none"/>
          <w:lang w:eastAsia="zh-CN"/>
        </w:rPr>
      </w:pPr>
      <w:r>
        <w:rPr>
          <w:rFonts w:hint="default" w:ascii="Times New Roman" w:hAnsi="Times New Roman" w:eastAsia="宋体" w:cs="Times New Roman"/>
          <w:b/>
          <w:bCs/>
          <w:color w:val="auto"/>
          <w:sz w:val="24"/>
          <w:szCs w:val="32"/>
          <w:highlight w:val="none"/>
          <w:lang w:eastAsia="zh-CN"/>
        </w:rPr>
        <w:t>（</w:t>
      </w:r>
      <w:r>
        <w:rPr>
          <w:rFonts w:hint="default" w:ascii="Times New Roman" w:hAnsi="Times New Roman" w:eastAsia="宋体" w:cs="Times New Roman"/>
          <w:b/>
          <w:bCs/>
          <w:color w:val="auto"/>
          <w:sz w:val="24"/>
          <w:szCs w:val="32"/>
          <w:highlight w:val="none"/>
          <w:lang w:val="en-US" w:eastAsia="zh-CN"/>
        </w:rPr>
        <w:t>2</w:t>
      </w:r>
      <w:r>
        <w:rPr>
          <w:rFonts w:hint="default" w:ascii="Times New Roman" w:hAnsi="Times New Roman" w:eastAsia="宋体" w:cs="Times New Roman"/>
          <w:b/>
          <w:bCs/>
          <w:color w:val="auto"/>
          <w:sz w:val="24"/>
          <w:szCs w:val="32"/>
          <w:highlight w:val="none"/>
          <w:lang w:eastAsia="zh-CN"/>
        </w:rPr>
        <w:t>）估算模型参数</w:t>
      </w:r>
    </w:p>
    <w:p>
      <w:pPr>
        <w:keepNext w:val="0"/>
        <w:keepLines w:val="0"/>
        <w:pageBreakBefore w:val="0"/>
        <w:widowControl w:val="0"/>
        <w:shd w:val="clear"/>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rPr>
        <w:t>估算模型参数见表</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szCs w:val="24"/>
          <w:highlight w:val="none"/>
        </w:rPr>
        <w:t>。</w:t>
      </w:r>
    </w:p>
    <w:p>
      <w:pPr>
        <w:shd w:val="clear"/>
        <w:spacing w:line="440" w:lineRule="exact"/>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5.2-4</w:t>
      </w:r>
      <w:r>
        <w:rPr>
          <w:rFonts w:hint="default" w:ascii="Times New Roman" w:hAnsi="Times New Roman" w:eastAsia="宋体" w:cs="Times New Roman"/>
          <w:b/>
          <w:bCs/>
          <w:color w:val="auto"/>
          <w:sz w:val="24"/>
          <w:highlight w:val="none"/>
        </w:rPr>
        <w:t xml:space="preserve">    估算模型参数表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2342"/>
        <w:gridCol w:w="1951"/>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3" w:type="dxa"/>
            <w:gridSpan w:val="2"/>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参数</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取值</w:t>
            </w: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1" w:type="dxa"/>
            <w:vMerge w:val="restart"/>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城市/农村选项</w:t>
            </w:r>
          </w:p>
        </w:tc>
        <w:tc>
          <w:tcPr>
            <w:tcW w:w="2342"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城市/农村</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农村</w:t>
            </w: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60%以上属于农村地区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1" w:type="dxa"/>
            <w:vMerge w:val="continue"/>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2342"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人口数（城市选项时）</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w:t>
            </w: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3" w:type="dxa"/>
            <w:gridSpan w:val="2"/>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最高环境温度/℃</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lang w:val="en-US" w:eastAsia="zh-CN"/>
              </w:rPr>
              <w:t>36.5</w:t>
            </w:r>
          </w:p>
        </w:tc>
        <w:tc>
          <w:tcPr>
            <w:tcW w:w="2650" w:type="dxa"/>
            <w:vMerge w:val="restart"/>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近20年期限统计数据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3" w:type="dxa"/>
            <w:gridSpan w:val="2"/>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最低环境温度/℃</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lang w:val="en-US" w:eastAsia="zh-CN"/>
              </w:rPr>
              <w:t>-22.7</w:t>
            </w:r>
          </w:p>
        </w:tc>
        <w:tc>
          <w:tcPr>
            <w:tcW w:w="2650" w:type="dxa"/>
            <w:vMerge w:val="continue"/>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3" w:type="dxa"/>
            <w:gridSpan w:val="2"/>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土地利用类型</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耕地</w:t>
            </w: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3" w:type="dxa"/>
            <w:gridSpan w:val="2"/>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区域湿度条件</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干燥</w:t>
            </w: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中国干湿状况分布图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1" w:type="dxa"/>
            <w:vMerge w:val="restart"/>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是否考虑地形</w:t>
            </w:r>
          </w:p>
        </w:tc>
        <w:tc>
          <w:tcPr>
            <w:tcW w:w="2342"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考虑地形</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 xml:space="preserve">是   </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否</w:t>
            </w: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考虑地形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1" w:type="dxa"/>
            <w:vMerge w:val="continue"/>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2342"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地形数据分辨率/m</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90m</w:t>
            </w: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1" w:type="dxa"/>
            <w:vMerge w:val="restart"/>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是否考虑岸线熏烟</w:t>
            </w:r>
          </w:p>
        </w:tc>
        <w:tc>
          <w:tcPr>
            <w:tcW w:w="2342"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考虑岸线熏烟</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 xml:space="preserve">是   </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否</w:t>
            </w: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污染源附近3km范围内没有大型水体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1" w:type="dxa"/>
            <w:vMerge w:val="continue"/>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2342"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岸线距离/km</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1" w:type="dxa"/>
            <w:vMerge w:val="continue"/>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2342"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岸线方向/°</w:t>
            </w:r>
          </w:p>
        </w:tc>
        <w:tc>
          <w:tcPr>
            <w:tcW w:w="1951"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c>
          <w:tcPr>
            <w:tcW w:w="2650" w:type="dxa"/>
            <w:tcBorders>
              <w:tl2br w:val="nil"/>
              <w:tr2bl w:val="nil"/>
            </w:tcBorders>
            <w:noWrap/>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rPr>
            </w:pPr>
          </w:p>
        </w:tc>
      </w:tr>
    </w:tbl>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3）预测因子</w:t>
      </w:r>
    </w:p>
    <w:p>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表</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rPr>
        <w:t xml:space="preserve">  评价因子和评价标准表</w:t>
      </w:r>
    </w:p>
    <w:tbl>
      <w:tblPr>
        <w:tblStyle w:val="90"/>
        <w:tblW w:w="8504" w:type="dxa"/>
        <w:jc w:val="center"/>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Layout w:type="fixed"/>
        <w:tblCellMar>
          <w:top w:w="0" w:type="dxa"/>
          <w:left w:w="0" w:type="dxa"/>
          <w:bottom w:w="0" w:type="dxa"/>
          <w:right w:w="0" w:type="dxa"/>
        </w:tblCellMar>
      </w:tblPr>
      <w:tblGrid>
        <w:gridCol w:w="1416"/>
        <w:gridCol w:w="1416"/>
        <w:gridCol w:w="1416"/>
        <w:gridCol w:w="1417"/>
        <w:gridCol w:w="2839"/>
      </w:tblGrid>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340" w:hRule="atLeast"/>
          <w:jc w:val="center"/>
        </w:trPr>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评价因子</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平均时段</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标准值</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单位</w:t>
            </w:r>
          </w:p>
        </w:tc>
        <w:tc>
          <w:tcPr>
            <w:tcW w:w="567"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标准来源</w: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340" w:hRule="atLeast"/>
          <w:jc w:val="center"/>
        </w:trPr>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10</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24小时平均</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150</w:t>
            </w:r>
          </w:p>
        </w:tc>
        <w:tc>
          <w:tcPr>
            <w:tcW w:w="283" w:type="dxa"/>
            <w:vMerge w:val="restart"/>
            <w:tcBorders>
              <w:top w:val="single" w:color="auto" w:sz="4" w:space="0"/>
              <w:left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μg/m</w:t>
            </w:r>
            <w:r>
              <w:rPr>
                <w:rFonts w:hint="default" w:ascii="Times New Roman" w:hAnsi="Times New Roman" w:eastAsia="宋体" w:cs="Times New Roman"/>
                <w:color w:val="auto"/>
                <w:highlight w:val="none"/>
                <w:vertAlign w:val="superscript"/>
              </w:rPr>
              <w:t>3</w:t>
            </w:r>
          </w:p>
        </w:tc>
        <w:tc>
          <w:tcPr>
            <w:tcW w:w="567" w:type="dxa"/>
            <w:vMerge w:val="restart"/>
            <w:tcBorders>
              <w:top w:val="single" w:color="auto" w:sz="4" w:space="0"/>
              <w:left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《环境空气质量标准》</w:t>
            </w:r>
          </w:p>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（GB3095-2012）</w:t>
            </w:r>
          </w:p>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二级标准</w: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340" w:hRule="atLeast"/>
          <w:jc w:val="center"/>
        </w:trPr>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TSP</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24小时平均</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300</w:t>
            </w:r>
          </w:p>
        </w:tc>
        <w:tc>
          <w:tcPr>
            <w:tcW w:w="283" w:type="dxa"/>
            <w:vMerge w:val="continue"/>
            <w:tcBorders>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p>
        </w:tc>
        <w:tc>
          <w:tcPr>
            <w:tcW w:w="567" w:type="dxa"/>
            <w:vMerge w:val="continue"/>
            <w:tcBorders>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340" w:hRule="atLeast"/>
          <w:jc w:val="center"/>
        </w:trPr>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非甲烷总烃</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1小时平均</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283"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p>
        </w:tc>
        <w:tc>
          <w:tcPr>
            <w:tcW w:w="567" w:type="dxa"/>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《大气环境质量 非甲烷总烃限值》（DB13/1577-2012）二级标准</w: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340" w:hRule="atLeast"/>
          <w:jc w:val="center"/>
        </w:trPr>
        <w:tc>
          <w:tcPr>
            <w:tcW w:w="283" w:type="dxa"/>
            <w:gridSpan w:val="5"/>
            <w:tcBorders>
              <w:top w:val="single" w:color="auto" w:sz="4" w:space="0"/>
              <w:left w:val="single" w:color="auto" w:sz="4" w:space="0"/>
              <w:bottom w:val="single" w:color="auto" w:sz="4" w:space="0"/>
              <w:right w:val="single" w:color="auto" w:sz="4" w:space="0"/>
              <w:tl2br w:val="nil"/>
              <w:tr2bl w:val="nil"/>
            </w:tcBorders>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注：预测时，1小时平均质量浓度限值C</w:t>
            </w:r>
            <w:r>
              <w:rPr>
                <w:rFonts w:hint="default" w:ascii="Times New Roman" w:hAnsi="Times New Roman" w:eastAsia="宋体" w:cs="Times New Roman"/>
                <w:color w:val="auto"/>
                <w:highlight w:val="none"/>
                <w:vertAlign w:val="subscript"/>
              </w:rPr>
              <w:t>0i</w:t>
            </w:r>
            <w:r>
              <w:rPr>
                <w:rFonts w:hint="default" w:ascii="Times New Roman" w:hAnsi="Times New Roman" w:eastAsia="宋体" w:cs="Times New Roman"/>
                <w:color w:val="auto"/>
                <w:highlight w:val="none"/>
              </w:rPr>
              <w:t>为24小时平均质量浓度限值的3倍</w:t>
            </w:r>
          </w:p>
        </w:tc>
      </w:tr>
    </w:tbl>
    <w:p>
      <w:pPr>
        <w:shd w:val="clear"/>
        <w:spacing w:line="360" w:lineRule="auto"/>
        <w:ind w:firstLine="482"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bCs/>
          <w:color w:val="auto"/>
          <w:sz w:val="24"/>
          <w:szCs w:val="24"/>
          <w:highlight w:val="none"/>
          <w:lang w:eastAsia="zh-CN"/>
        </w:rPr>
        <w:t>预测结果</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1）有组织排放源</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根据估算模式分析，造粒生产车间排气筒P1有组织</w:t>
      </w:r>
      <w:r>
        <w:rPr>
          <w:rFonts w:hint="default" w:ascii="Times New Roman" w:hAnsi="Times New Roman" w:eastAsia="宋体" w:cs="Times New Roman"/>
          <w:color w:val="auto"/>
          <w:sz w:val="24"/>
          <w:szCs w:val="24"/>
          <w:highlight w:val="none"/>
          <w:lang w:eastAsia="zh-CN"/>
        </w:rPr>
        <w:t>排放的</w:t>
      </w:r>
      <w:r>
        <w:rPr>
          <w:rFonts w:hint="default" w:ascii="Times New Roman" w:hAnsi="Times New Roman" w:eastAsia="宋体" w:cs="Times New Roman"/>
          <w:color w:val="auto"/>
          <w:sz w:val="24"/>
          <w:szCs w:val="24"/>
          <w:highlight w:val="none"/>
        </w:rPr>
        <w:t>非甲烷总烃下风向最大落地浓度为23.7627</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w:t>
      </w:r>
      <w:r>
        <w:rPr>
          <w:rFonts w:hint="default" w:ascii="Times New Roman" w:hAnsi="Times New Roman" w:eastAsia="宋体" w:cs="Times New Roman"/>
          <w:color w:val="auto"/>
          <w:sz w:val="24"/>
          <w:szCs w:val="24"/>
          <w:highlight w:val="none"/>
          <w:lang w:val="en-US" w:eastAsia="zh-CN"/>
        </w:rPr>
        <w:t>1.19</w:t>
      </w:r>
      <w:r>
        <w:rPr>
          <w:rFonts w:hint="default" w:ascii="Times New Roman" w:hAnsi="Times New Roman" w:eastAsia="宋体" w:cs="Times New Roman"/>
          <w:color w:val="auto"/>
          <w:sz w:val="24"/>
          <w:szCs w:val="24"/>
          <w:highlight w:val="none"/>
        </w:rPr>
        <w:t>%，下风向最大浓度出现的距离为</w:t>
      </w:r>
      <w:r>
        <w:rPr>
          <w:rFonts w:hint="default" w:ascii="Times New Roman" w:hAnsi="Times New Roman" w:eastAsia="宋体" w:cs="Times New Roman"/>
          <w:color w:val="auto"/>
          <w:sz w:val="24"/>
          <w:szCs w:val="24"/>
          <w:highlight w:val="none"/>
          <w:lang w:val="en-US" w:eastAsia="zh-CN"/>
        </w:rPr>
        <w:t>1810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有组织</w:t>
      </w:r>
      <w:r>
        <w:rPr>
          <w:rFonts w:hint="default" w:ascii="Times New Roman" w:hAnsi="Times New Roman" w:eastAsia="宋体" w:cs="Times New Roman"/>
          <w:color w:val="auto"/>
          <w:sz w:val="24"/>
          <w:szCs w:val="24"/>
          <w:highlight w:val="none"/>
          <w:lang w:eastAsia="zh-CN"/>
        </w:rPr>
        <w:t>排放的颗粒物</w:t>
      </w:r>
      <w:r>
        <w:rPr>
          <w:rFonts w:hint="default" w:ascii="Times New Roman" w:hAnsi="Times New Roman" w:eastAsia="宋体" w:cs="Times New Roman"/>
          <w:color w:val="auto"/>
          <w:sz w:val="24"/>
          <w:szCs w:val="24"/>
          <w:highlight w:val="none"/>
        </w:rPr>
        <w:t>下风向最大落地浓度为33.098</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w:t>
      </w:r>
      <w:r>
        <w:rPr>
          <w:rFonts w:hint="default" w:ascii="Times New Roman" w:hAnsi="Times New Roman" w:eastAsia="宋体" w:cs="Times New Roman"/>
          <w:color w:val="auto"/>
          <w:sz w:val="24"/>
          <w:szCs w:val="24"/>
          <w:shd w:val="clear" w:color="auto" w:fill="auto"/>
          <w:lang w:val="en-US" w:eastAsia="zh-CN"/>
        </w:rPr>
        <w:t>7.36</w:t>
      </w:r>
      <w:r>
        <w:rPr>
          <w:rFonts w:hint="default" w:ascii="Times New Roman" w:hAnsi="Times New Roman" w:eastAsia="宋体" w:cs="Times New Roman"/>
          <w:color w:val="auto"/>
          <w:sz w:val="24"/>
          <w:szCs w:val="24"/>
          <w:highlight w:val="none"/>
        </w:rPr>
        <w:t>%，下风向最大浓度出现的距离为</w:t>
      </w:r>
      <w:r>
        <w:rPr>
          <w:rFonts w:hint="default" w:ascii="Times New Roman" w:hAnsi="Times New Roman" w:eastAsia="宋体" w:cs="Times New Roman"/>
          <w:color w:val="auto"/>
          <w:sz w:val="24"/>
          <w:szCs w:val="24"/>
          <w:highlight w:val="none"/>
          <w:lang w:val="en-US" w:eastAsia="zh-CN"/>
        </w:rPr>
        <w:t>1810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根据估算模式分析，</w:t>
      </w:r>
      <w:r>
        <w:rPr>
          <w:rFonts w:hint="default" w:ascii="Times New Roman" w:hAnsi="Times New Roman" w:eastAsia="宋体" w:cs="Times New Roman"/>
          <w:color w:val="auto"/>
          <w:sz w:val="24"/>
          <w:szCs w:val="24"/>
          <w:highlight w:val="none"/>
          <w:lang w:eastAsia="zh-CN"/>
        </w:rPr>
        <w:t>塑料制品生产车间排气筒P2</w:t>
      </w:r>
      <w:r>
        <w:rPr>
          <w:rFonts w:hint="default" w:ascii="Times New Roman" w:hAnsi="Times New Roman" w:eastAsia="宋体" w:cs="Times New Roman"/>
          <w:color w:val="auto"/>
          <w:sz w:val="24"/>
          <w:szCs w:val="24"/>
          <w:highlight w:val="none"/>
        </w:rPr>
        <w:t>有组织</w:t>
      </w:r>
      <w:r>
        <w:rPr>
          <w:rFonts w:hint="default" w:ascii="Times New Roman" w:hAnsi="Times New Roman" w:eastAsia="宋体" w:cs="Times New Roman"/>
          <w:color w:val="auto"/>
          <w:sz w:val="24"/>
          <w:szCs w:val="24"/>
          <w:highlight w:val="none"/>
          <w:lang w:eastAsia="zh-CN"/>
        </w:rPr>
        <w:t>排放的</w:t>
      </w:r>
      <w:r>
        <w:rPr>
          <w:rFonts w:hint="default" w:ascii="Times New Roman" w:hAnsi="Times New Roman" w:eastAsia="宋体" w:cs="Times New Roman"/>
          <w:color w:val="auto"/>
          <w:sz w:val="24"/>
          <w:szCs w:val="24"/>
          <w:highlight w:val="none"/>
        </w:rPr>
        <w:t>非甲烷总烃下风向最大落地浓度为98.8672</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，占标率为4.94%，下风向最大浓度出现的距离为</w:t>
      </w:r>
      <w:r>
        <w:rPr>
          <w:rFonts w:hint="default" w:ascii="Times New Roman" w:hAnsi="Times New Roman" w:eastAsia="宋体" w:cs="Times New Roman"/>
          <w:color w:val="auto"/>
          <w:sz w:val="24"/>
          <w:szCs w:val="24"/>
          <w:highlight w:val="none"/>
          <w:lang w:val="en-US" w:eastAsia="zh-CN"/>
        </w:rPr>
        <w:t>1810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有组织</w:t>
      </w:r>
      <w:r>
        <w:rPr>
          <w:rFonts w:hint="default" w:ascii="Times New Roman" w:hAnsi="Times New Roman" w:eastAsia="宋体" w:cs="Times New Roman"/>
          <w:color w:val="auto"/>
          <w:sz w:val="24"/>
          <w:szCs w:val="24"/>
          <w:highlight w:val="none"/>
          <w:lang w:eastAsia="zh-CN"/>
        </w:rPr>
        <w:t>排放的颗粒物</w:t>
      </w:r>
      <w:r>
        <w:rPr>
          <w:rFonts w:hint="default" w:ascii="Times New Roman" w:hAnsi="Times New Roman" w:eastAsia="宋体" w:cs="Times New Roman"/>
          <w:color w:val="auto"/>
          <w:sz w:val="24"/>
          <w:szCs w:val="24"/>
          <w:highlight w:val="none"/>
        </w:rPr>
        <w:t>下风向最大落地浓度为13.154</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，占标率为13.154%，下风向最大浓度出现的距离为</w:t>
      </w:r>
      <w:r>
        <w:rPr>
          <w:rFonts w:hint="default" w:ascii="Times New Roman" w:hAnsi="Times New Roman" w:eastAsia="宋体" w:cs="Times New Roman"/>
          <w:color w:val="auto"/>
          <w:sz w:val="24"/>
          <w:szCs w:val="24"/>
          <w:highlight w:val="none"/>
          <w:lang w:val="en-US" w:eastAsia="zh-CN"/>
        </w:rPr>
        <w:t>1810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根据预测，本项目有组织排放的污染物</w:t>
      </w:r>
      <w:r>
        <w:rPr>
          <w:rFonts w:hint="default" w:ascii="Times New Roman" w:hAnsi="Times New Roman" w:eastAsia="宋体" w:cs="Times New Roman"/>
          <w:color w:val="auto"/>
          <w:sz w:val="24"/>
          <w:szCs w:val="24"/>
          <w:highlight w:val="none"/>
        </w:rPr>
        <w:t>下风向最大浓度占标率</w:t>
      </w:r>
      <w:r>
        <w:rPr>
          <w:rFonts w:hint="default" w:ascii="Times New Roman" w:hAnsi="Times New Roman" w:eastAsia="宋体" w:cs="Times New Roman"/>
          <w:color w:val="auto"/>
          <w:sz w:val="24"/>
          <w:szCs w:val="24"/>
          <w:highlight w:val="none"/>
          <w:lang w:eastAsia="zh-CN"/>
        </w:rPr>
        <w:t>最大为</w:t>
      </w:r>
      <w:r>
        <w:rPr>
          <w:rFonts w:hint="default" w:ascii="Times New Roman" w:hAnsi="Times New Roman" w:eastAsia="宋体" w:cs="Times New Roman"/>
          <w:color w:val="auto"/>
          <w:sz w:val="24"/>
          <w:szCs w:val="24"/>
          <w:highlight w:val="none"/>
          <w:lang w:val="en-US" w:eastAsia="zh-CN"/>
        </w:rPr>
        <w:t>7.36%，小于10%，因此，本项目有组织废气对周围大气环境质量影响较小。</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2）无组织排放源</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根据估算模式分析，</w:t>
      </w:r>
      <w:r>
        <w:rPr>
          <w:rFonts w:hint="default" w:ascii="Times New Roman" w:hAnsi="Times New Roman" w:eastAsia="宋体" w:cs="Times New Roman"/>
          <w:color w:val="auto"/>
          <w:sz w:val="24"/>
          <w:szCs w:val="24"/>
          <w:highlight w:val="none"/>
          <w:lang w:eastAsia="zh-CN"/>
        </w:rPr>
        <w:t>造粒生产车间无组织排放的</w:t>
      </w:r>
      <w:r>
        <w:rPr>
          <w:rFonts w:hint="default" w:ascii="Times New Roman" w:hAnsi="Times New Roman" w:eastAsia="宋体" w:cs="Times New Roman"/>
          <w:color w:val="auto"/>
          <w:sz w:val="24"/>
          <w:szCs w:val="24"/>
          <w:highlight w:val="none"/>
        </w:rPr>
        <w:t>非甲烷总烃下风向最大落地浓度为56.6012</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，占标率为2.</w:t>
      </w:r>
      <w:r>
        <w:rPr>
          <w:rFonts w:hint="default" w:ascii="Times New Roman" w:hAnsi="Times New Roman" w:eastAsia="宋体" w:cs="Times New Roman"/>
          <w:color w:val="auto"/>
          <w:sz w:val="24"/>
          <w:szCs w:val="24"/>
          <w:highlight w:val="none"/>
          <w:lang w:val="en-US" w:eastAsia="zh-CN"/>
        </w:rPr>
        <w:t>83</w:t>
      </w:r>
      <w:r>
        <w:rPr>
          <w:rFonts w:hint="default" w:ascii="Times New Roman" w:hAnsi="Times New Roman" w:eastAsia="宋体" w:cs="Times New Roman"/>
          <w:color w:val="auto"/>
          <w:sz w:val="24"/>
          <w:szCs w:val="24"/>
          <w:highlight w:val="none"/>
        </w:rPr>
        <w:t>%，下风向最大浓度出现的距离为</w:t>
      </w:r>
      <w:r>
        <w:rPr>
          <w:rFonts w:hint="default" w:ascii="Times New Roman" w:hAnsi="Times New Roman" w:eastAsia="宋体" w:cs="Times New Roman"/>
          <w:color w:val="auto"/>
          <w:sz w:val="24"/>
          <w:szCs w:val="24"/>
          <w:highlight w:val="none"/>
          <w:lang w:val="en-US" w:eastAsia="zh-CN"/>
        </w:rPr>
        <w:t>74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；无组织排放的颗粒物</w:t>
      </w:r>
      <w:r>
        <w:rPr>
          <w:rFonts w:hint="default" w:ascii="Times New Roman" w:hAnsi="Times New Roman" w:eastAsia="宋体" w:cs="Times New Roman"/>
          <w:color w:val="auto"/>
          <w:sz w:val="24"/>
          <w:szCs w:val="24"/>
          <w:highlight w:val="none"/>
        </w:rPr>
        <w:t>下风向最大落地浓度为71.208</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，占标率为7.91%，下风向最大浓度出现的距离为</w:t>
      </w:r>
      <w:r>
        <w:rPr>
          <w:rFonts w:hint="default" w:ascii="Times New Roman" w:hAnsi="Times New Roman" w:eastAsia="宋体" w:cs="Times New Roman"/>
          <w:color w:val="auto"/>
          <w:sz w:val="24"/>
          <w:szCs w:val="24"/>
          <w:highlight w:val="none"/>
          <w:lang w:val="en-US" w:eastAsia="zh-CN"/>
        </w:rPr>
        <w:t>74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根据估算模式分析，</w:t>
      </w:r>
      <w:r>
        <w:rPr>
          <w:rFonts w:hint="default" w:ascii="Times New Roman" w:hAnsi="Times New Roman" w:eastAsia="宋体" w:cs="Times New Roman"/>
          <w:color w:val="auto"/>
          <w:sz w:val="24"/>
          <w:szCs w:val="24"/>
          <w:highlight w:val="none"/>
          <w:lang w:eastAsia="zh-CN"/>
        </w:rPr>
        <w:t>塑料制品生产车间无组织排放的</w:t>
      </w:r>
      <w:r>
        <w:rPr>
          <w:rFonts w:hint="default" w:ascii="Times New Roman" w:hAnsi="Times New Roman" w:eastAsia="宋体" w:cs="Times New Roman"/>
          <w:color w:val="auto"/>
          <w:sz w:val="24"/>
          <w:szCs w:val="24"/>
          <w:highlight w:val="none"/>
        </w:rPr>
        <w:t>非甲烷总烃下风向最大落地浓度为186.927</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，占标率为9.35%，下风向最大浓度出现的距离为1002m</w:t>
      </w:r>
      <w:r>
        <w:rPr>
          <w:rFonts w:hint="default" w:ascii="Times New Roman" w:hAnsi="Times New Roman" w:eastAsia="宋体" w:cs="Times New Roman"/>
          <w:color w:val="auto"/>
          <w:sz w:val="24"/>
          <w:szCs w:val="24"/>
          <w:highlight w:val="none"/>
          <w:lang w:eastAsia="zh-CN"/>
        </w:rPr>
        <w:t>；无组织排放的颗粒物</w:t>
      </w:r>
      <w:r>
        <w:rPr>
          <w:rFonts w:hint="default" w:ascii="Times New Roman" w:hAnsi="Times New Roman" w:eastAsia="宋体" w:cs="Times New Roman"/>
          <w:color w:val="auto"/>
          <w:sz w:val="24"/>
          <w:szCs w:val="24"/>
          <w:highlight w:val="none"/>
        </w:rPr>
        <w:t>下风向最大落地浓度为55.65</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，占标率为6.18%，下风向最大浓度出现的距离为1002m</w:t>
      </w:r>
      <w:r>
        <w:rPr>
          <w:rFonts w:hint="default" w:ascii="Times New Roman" w:hAnsi="Times New Roman" w:eastAsia="宋体" w:cs="Times New Roman"/>
          <w:color w:val="auto"/>
          <w:sz w:val="24"/>
          <w:szCs w:val="24"/>
          <w:highlight w:val="none"/>
          <w:lang w:eastAsia="zh-CN"/>
        </w:rPr>
        <w:t>。</w:t>
      </w:r>
    </w:p>
    <w:p>
      <w:pPr>
        <w:pStyle w:val="24"/>
        <w:keepNext w:val="0"/>
        <w:keepLines w:val="0"/>
        <w:pageBreakBefore w:val="0"/>
        <w:widowControl w:val="0"/>
        <w:shd w:val="clear"/>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根据预测，本项目无组织排放的污染物</w:t>
      </w:r>
      <w:r>
        <w:rPr>
          <w:rFonts w:hint="default" w:ascii="Times New Roman" w:hAnsi="Times New Roman" w:eastAsia="宋体" w:cs="Times New Roman"/>
          <w:color w:val="auto"/>
          <w:sz w:val="24"/>
          <w:szCs w:val="24"/>
          <w:highlight w:val="none"/>
        </w:rPr>
        <w:t>下风向最大浓度占标率</w:t>
      </w:r>
      <w:r>
        <w:rPr>
          <w:rFonts w:hint="default" w:ascii="Times New Roman" w:hAnsi="Times New Roman" w:eastAsia="宋体" w:cs="Times New Roman"/>
          <w:color w:val="auto"/>
          <w:sz w:val="24"/>
          <w:szCs w:val="24"/>
          <w:highlight w:val="none"/>
          <w:lang w:eastAsia="zh-CN"/>
        </w:rPr>
        <w:t>最大为</w:t>
      </w:r>
      <w:r>
        <w:rPr>
          <w:rFonts w:hint="default" w:ascii="Times New Roman" w:hAnsi="Times New Roman" w:eastAsia="宋体" w:cs="Times New Roman"/>
          <w:color w:val="auto"/>
          <w:sz w:val="24"/>
          <w:szCs w:val="24"/>
          <w:highlight w:val="none"/>
          <w:lang w:val="en-US" w:eastAsia="zh-CN"/>
        </w:rPr>
        <w:t>9.35%，小于10%，因此，本项目无组织废气对周围大气环境质量影响较小。</w:t>
      </w:r>
    </w:p>
    <w:p>
      <w:pPr>
        <w:pStyle w:val="24"/>
        <w:keepNext w:val="0"/>
        <w:keepLines w:val="0"/>
        <w:pageBreakBefore w:val="0"/>
        <w:widowControl w:val="0"/>
        <w:shd w:val="clear"/>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本次环评选取距离项目厂区较近的敏感点进行预测，敏感点分别为东侧</w:t>
      </w:r>
      <w:r>
        <w:rPr>
          <w:rFonts w:hint="default" w:ascii="Times New Roman" w:hAnsi="Times New Roman" w:eastAsia="宋体" w:cs="Times New Roman"/>
          <w:bCs/>
          <w:color w:val="auto"/>
          <w:sz w:val="24"/>
          <w:szCs w:val="24"/>
          <w:lang w:val="en-US" w:eastAsia="zh-CN"/>
        </w:rPr>
        <w:t>175m处的居民、南侧75m处的居民、北侧125m处的居民。</w:t>
      </w:r>
      <w:r>
        <w:rPr>
          <w:rFonts w:hint="default" w:ascii="Times New Roman" w:hAnsi="Times New Roman" w:eastAsia="宋体" w:cs="Times New Roman"/>
          <w:bCs/>
          <w:color w:val="auto"/>
          <w:sz w:val="24"/>
          <w:szCs w:val="24"/>
          <w:lang w:eastAsia="zh-CN"/>
        </w:rPr>
        <w:t>敏感点处</w:t>
      </w:r>
      <w:r>
        <w:rPr>
          <w:rFonts w:hint="default" w:ascii="Times New Roman" w:hAnsi="Times New Roman" w:eastAsia="宋体" w:cs="Times New Roman"/>
          <w:bCs/>
          <w:color w:val="auto"/>
          <w:sz w:val="24"/>
          <w:szCs w:val="24"/>
        </w:rPr>
        <w:t>大气预测值一览表见表</w:t>
      </w:r>
      <w:r>
        <w:rPr>
          <w:rFonts w:hint="default"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rPr>
        <w:t>.2-</w:t>
      </w:r>
      <w:r>
        <w:rPr>
          <w:rFonts w:hint="default"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rPr>
        <w:t>。</w:t>
      </w:r>
    </w:p>
    <w:p>
      <w:pPr>
        <w:pStyle w:val="25"/>
        <w:shd w:val="clear"/>
        <w:spacing w:after="0" w:line="476" w:lineRule="exact"/>
        <w:ind w:firstLine="482" w:firstLineChars="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color w:val="auto"/>
          <w:sz w:val="24"/>
          <w:szCs w:val="24"/>
        </w:rPr>
        <w:t xml:space="preserve"> 敏感点处大气预测值一览表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27"/>
        <w:gridCol w:w="1127"/>
        <w:gridCol w:w="1513"/>
        <w:gridCol w:w="1128"/>
        <w:gridCol w:w="1128"/>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敏感点名称</w:t>
            </w:r>
          </w:p>
        </w:tc>
        <w:tc>
          <w:tcPr>
            <w:tcW w:w="1127"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与厂区距离</w:t>
            </w:r>
          </w:p>
        </w:tc>
        <w:tc>
          <w:tcPr>
            <w:tcW w:w="1127"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污染因子</w:t>
            </w: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污染源</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最大浓度</w:t>
            </w:r>
            <w:r>
              <w:rPr>
                <w:rFonts w:hint="default" w:ascii="Times New Roman" w:hAnsi="Times New Roman" w:eastAsia="宋体" w:cs="Times New Roman"/>
                <w:bCs/>
                <w:color w:val="auto"/>
                <w:sz w:val="21"/>
                <w:szCs w:val="21"/>
              </w:rPr>
              <w:t>值</w:t>
            </w:r>
          </w:p>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μg/m</w:t>
            </w:r>
            <w:r>
              <w:rPr>
                <w:rFonts w:hint="default" w:ascii="Times New Roman" w:hAnsi="Times New Roman" w:eastAsia="宋体" w:cs="Times New Roman"/>
                <w:bCs/>
                <w:color w:val="auto"/>
                <w:sz w:val="21"/>
                <w:szCs w:val="21"/>
                <w:vertAlign w:val="superscript"/>
              </w:rPr>
              <w:t>3</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最大</w:t>
            </w:r>
            <w:r>
              <w:rPr>
                <w:rFonts w:hint="default" w:ascii="Times New Roman" w:hAnsi="Times New Roman" w:eastAsia="宋体" w:cs="Times New Roman"/>
                <w:bCs/>
                <w:color w:val="auto"/>
                <w:sz w:val="21"/>
                <w:szCs w:val="21"/>
              </w:rPr>
              <w:t>预测值</w:t>
            </w:r>
          </w:p>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rPr>
              <w:t>最高允许浓度</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东侧</w:t>
            </w:r>
            <w:r>
              <w:rPr>
                <w:rFonts w:hint="default" w:ascii="Times New Roman" w:hAnsi="Times New Roman" w:eastAsia="宋体" w:cs="Times New Roman"/>
                <w:bCs/>
                <w:color w:val="auto"/>
                <w:sz w:val="21"/>
                <w:szCs w:val="21"/>
                <w:lang w:val="en-US" w:eastAsia="zh-CN"/>
              </w:rPr>
              <w:t>居民</w:t>
            </w:r>
          </w:p>
        </w:tc>
        <w:tc>
          <w:tcPr>
            <w:tcW w:w="1127"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东侧</w:t>
            </w:r>
            <w:r>
              <w:rPr>
                <w:rFonts w:hint="default" w:ascii="Times New Roman" w:hAnsi="Times New Roman" w:eastAsia="宋体" w:cs="Times New Roman"/>
                <w:bCs/>
                <w:color w:val="auto"/>
                <w:sz w:val="21"/>
                <w:szCs w:val="21"/>
                <w:lang w:val="en-US" w:eastAsia="zh-CN"/>
              </w:rPr>
              <w:t>175m</w:t>
            </w:r>
          </w:p>
        </w:tc>
        <w:tc>
          <w:tcPr>
            <w:tcW w:w="1127"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非甲烷总烃</w:t>
            </w: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highlight w:val="none"/>
                <w:shd w:val="clear" w:color="auto" w:fill="auto"/>
                <w:lang w:val="en-US" w:eastAsia="zh-CN"/>
              </w:rPr>
              <w:t>18.0614</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0.24976</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《环境空气质量 非甲烷总烃限值》（DB13/1577-2012）中二级标准2.0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highlight w:val="none"/>
                <w:shd w:val="clear" w:color="auto" w:fill="auto"/>
                <w:lang w:val="en-US" w:eastAsia="zh-CN"/>
              </w:rPr>
              <w:t>75.1478</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highlight w:val="none"/>
              </w:rPr>
              <w:t xml:space="preserve"> 36.7628</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highlight w:val="none"/>
              </w:rPr>
              <w:t>119.788</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颗粒物</w:t>
            </w: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25.157</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0.1170672</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《环境空气质量标准》（GB3095-2012）及修改单表1中二级标准0.3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9.9982</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rPr>
              <w:t>46.25</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rPr>
              <w:t xml:space="preserve"> 35.662</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26"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南侧居民</w:t>
            </w:r>
          </w:p>
        </w:tc>
        <w:tc>
          <w:tcPr>
            <w:tcW w:w="1127"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南侧75m</w:t>
            </w:r>
          </w:p>
        </w:tc>
        <w:tc>
          <w:tcPr>
            <w:tcW w:w="1127"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非甲烷总烃</w:t>
            </w: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11.4664</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0.2312249</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《环境空气质量 非甲烷总烃限值》（DB13/1577-2012）中二级标准2.0</w:t>
            </w:r>
          </w:p>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47.7079</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rPr>
              <w:t>56.5996</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rPr>
              <w:t>115.451</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颗粒物</w:t>
            </w: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15.971</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0.1278954</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《环境空气质量标准》（GB3095-2012）及修改单表1中二级标准0.3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6.3474</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rPr>
              <w:t>71.206</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34.371</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北侧居民</w:t>
            </w:r>
          </w:p>
        </w:tc>
        <w:tc>
          <w:tcPr>
            <w:tcW w:w="1127"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北侧125m</w:t>
            </w:r>
          </w:p>
        </w:tc>
        <w:tc>
          <w:tcPr>
            <w:tcW w:w="1127"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非甲烷总烃</w:t>
            </w: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auto"/>
                <w:lang w:val="en-US" w:eastAsia="zh-CN"/>
              </w:rPr>
              <w:t>16.5631</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0.2639722</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《环境空气质量 非甲烷总烃限值》（DB13/1577-2012）中二级标准2.0</w:t>
            </w:r>
          </w:p>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auto"/>
                <w:lang w:val="en-US" w:eastAsia="zh-CN"/>
              </w:rPr>
              <w:t>68.9139</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44.2942</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134.201</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颗粒物</w:t>
            </w: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auto"/>
                <w:lang w:val="en-US" w:eastAsia="zh-CN"/>
              </w:rPr>
              <w:t>23.07</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0.1279168</w:t>
            </w:r>
          </w:p>
        </w:tc>
        <w:tc>
          <w:tcPr>
            <w:tcW w:w="1128" w:type="dxa"/>
            <w:vMerge w:val="restart"/>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《环境空气质量标准》（GB3095-2012）及修改单表1中二级标准0.3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auto"/>
                <w:lang w:val="en-US" w:eastAsia="zh-CN"/>
              </w:rPr>
              <w:t>9.1688</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55.725</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6"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eastAsia="zh-CN"/>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7"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513"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塑料制品生产车间废气</w:t>
            </w:r>
          </w:p>
        </w:tc>
        <w:tc>
          <w:tcPr>
            <w:tcW w:w="1128" w:type="dxa"/>
            <w:noWrap w:val="0"/>
            <w:tcMar>
              <w:left w:w="0" w:type="dxa"/>
              <w:right w:w="0" w:type="dxa"/>
            </w:tcMar>
            <w:vAlign w:val="center"/>
          </w:tcPr>
          <w:p>
            <w:pPr>
              <w:shd w:val="clea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39.953</w:t>
            </w: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rPr>
            </w:pPr>
          </w:p>
        </w:tc>
        <w:tc>
          <w:tcPr>
            <w:tcW w:w="1128" w:type="dxa"/>
            <w:vMerge w:val="continue"/>
            <w:noWrap w:val="0"/>
            <w:tcMar>
              <w:left w:w="0" w:type="dxa"/>
              <w:right w:w="0" w:type="dxa"/>
            </w:tcMar>
            <w:vAlign w:val="center"/>
          </w:tcPr>
          <w:p>
            <w:pPr>
              <w:shd w:val="clear"/>
              <w:spacing w:line="240" w:lineRule="auto"/>
              <w:jc w:val="center"/>
              <w:rPr>
                <w:rFonts w:hint="default" w:ascii="Times New Roman" w:hAnsi="Times New Roman" w:eastAsia="宋体" w:cs="Times New Roman"/>
                <w:bCs/>
                <w:color w:val="auto"/>
                <w:sz w:val="21"/>
                <w:szCs w:val="21"/>
                <w:lang w:val="en-US"/>
              </w:rPr>
            </w:pP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eastAsia="zh-CN"/>
        </w:rPr>
        <w:t>如上表可知，本项目</w:t>
      </w:r>
      <w:r>
        <w:rPr>
          <w:rFonts w:hint="default" w:ascii="Times New Roman" w:hAnsi="Times New Roman" w:eastAsia="宋体" w:cs="Times New Roman"/>
          <w:color w:val="auto"/>
          <w:sz w:val="24"/>
          <w:szCs w:val="24"/>
        </w:rPr>
        <w:t>各污染物在正常排放时，东侧175m的居民处</w:t>
      </w:r>
      <w:r>
        <w:rPr>
          <w:rFonts w:hint="default" w:ascii="Times New Roman" w:hAnsi="Times New Roman" w:eastAsia="宋体" w:cs="Times New Roman"/>
          <w:color w:val="auto"/>
          <w:sz w:val="24"/>
          <w:szCs w:val="24"/>
          <w:lang w:eastAsia="zh-CN"/>
        </w:rPr>
        <w:t>非甲烷总烃最大排放浓度为0.24976</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color w:val="auto"/>
          <w:sz w:val="24"/>
          <w:szCs w:val="24"/>
          <w:lang w:eastAsia="zh-CN"/>
        </w:rPr>
        <w:t>，颗粒物最大排放浓度为0.1170672</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南侧75m的居民处</w:t>
      </w:r>
      <w:r>
        <w:rPr>
          <w:rFonts w:hint="default" w:ascii="Times New Roman" w:hAnsi="Times New Roman" w:eastAsia="宋体" w:cs="Times New Roman"/>
          <w:color w:val="auto"/>
          <w:sz w:val="24"/>
          <w:szCs w:val="24"/>
          <w:lang w:eastAsia="zh-CN"/>
        </w:rPr>
        <w:t>非甲烷总烃最大排放浓度为0.2312249</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color w:val="auto"/>
          <w:sz w:val="24"/>
          <w:szCs w:val="24"/>
          <w:lang w:eastAsia="zh-CN"/>
        </w:rPr>
        <w:t>，颗粒物最大排放浓度为0.1278954</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北侧125m的居民处</w:t>
      </w:r>
      <w:r>
        <w:rPr>
          <w:rFonts w:hint="default" w:ascii="Times New Roman" w:hAnsi="Times New Roman" w:eastAsia="宋体" w:cs="Times New Roman"/>
          <w:color w:val="auto"/>
          <w:sz w:val="24"/>
          <w:szCs w:val="24"/>
          <w:lang w:eastAsia="zh-CN"/>
        </w:rPr>
        <w:t>非甲烷总烃最大排放浓度为0.2639722</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color w:val="auto"/>
          <w:sz w:val="24"/>
          <w:szCs w:val="24"/>
          <w:lang w:eastAsia="zh-CN"/>
        </w:rPr>
        <w:t>，颗粒物最大排放浓度为0.1279168</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color w:val="auto"/>
          <w:sz w:val="24"/>
          <w:szCs w:val="24"/>
          <w:lang w:eastAsia="zh-CN"/>
        </w:rPr>
        <w:t>；因此，</w:t>
      </w:r>
      <w:r>
        <w:rPr>
          <w:rFonts w:hint="default" w:ascii="Times New Roman" w:hAnsi="Times New Roman" w:eastAsia="宋体" w:cs="Times New Roman"/>
          <w:color w:val="auto"/>
          <w:sz w:val="24"/>
          <w:szCs w:val="24"/>
          <w:lang w:eastAsia="zh-CN"/>
        </w:rPr>
        <w:t>本项目生产期</w:t>
      </w:r>
      <w:r>
        <w:rPr>
          <w:rFonts w:hint="default" w:ascii="Times New Roman" w:hAnsi="Times New Roman" w:eastAsia="宋体" w:cs="Times New Roman"/>
          <w:color w:val="auto"/>
          <w:sz w:val="24"/>
          <w:szCs w:val="24"/>
          <w:lang w:val="en-US" w:eastAsia="zh-CN"/>
        </w:rPr>
        <w:t>排放的颗粒物</w:t>
      </w:r>
      <w:r>
        <w:rPr>
          <w:rFonts w:hint="default" w:ascii="Times New Roman" w:hAnsi="Times New Roman" w:eastAsia="宋体" w:cs="Times New Roman"/>
          <w:color w:val="auto"/>
          <w:sz w:val="24"/>
          <w:szCs w:val="24"/>
          <w:lang w:eastAsia="zh-CN"/>
        </w:rPr>
        <w:t>对</w:t>
      </w:r>
      <w:r>
        <w:rPr>
          <w:rFonts w:hint="default" w:ascii="Times New Roman" w:hAnsi="Times New Roman" w:eastAsia="宋体" w:cs="Times New Roman"/>
          <w:bCs/>
          <w:color w:val="auto"/>
          <w:sz w:val="24"/>
          <w:szCs w:val="24"/>
          <w:lang w:eastAsia="zh-CN"/>
        </w:rPr>
        <w:t>东侧</w:t>
      </w:r>
      <w:r>
        <w:rPr>
          <w:rFonts w:hint="default" w:ascii="Times New Roman" w:hAnsi="Times New Roman" w:eastAsia="宋体" w:cs="Times New Roman"/>
          <w:bCs/>
          <w:color w:val="auto"/>
          <w:sz w:val="24"/>
          <w:szCs w:val="24"/>
          <w:lang w:val="en-US" w:eastAsia="zh-CN"/>
        </w:rPr>
        <w:t>175m处的居民、南侧75m处的居民、北侧125m处的居民等</w:t>
      </w:r>
      <w:r>
        <w:rPr>
          <w:rFonts w:hint="default" w:ascii="Times New Roman" w:hAnsi="Times New Roman" w:eastAsia="宋体" w:cs="Times New Roman"/>
          <w:color w:val="auto"/>
          <w:sz w:val="24"/>
          <w:szCs w:val="24"/>
          <w:lang w:eastAsia="zh-CN"/>
        </w:rPr>
        <w:t>周围敏感点的预测值均满足《环境空气质量标准》（GB3095-2012）及修改单表1中二级标准；排放的非甲烷总烃对</w:t>
      </w:r>
      <w:r>
        <w:rPr>
          <w:rFonts w:hint="default" w:ascii="Times New Roman" w:hAnsi="Times New Roman" w:eastAsia="宋体" w:cs="Times New Roman"/>
          <w:bCs/>
          <w:color w:val="auto"/>
          <w:sz w:val="24"/>
          <w:szCs w:val="24"/>
          <w:lang w:eastAsia="zh-CN"/>
        </w:rPr>
        <w:t>东侧</w:t>
      </w:r>
      <w:r>
        <w:rPr>
          <w:rFonts w:hint="default" w:ascii="Times New Roman" w:hAnsi="Times New Roman" w:eastAsia="宋体" w:cs="Times New Roman"/>
          <w:bCs/>
          <w:color w:val="auto"/>
          <w:sz w:val="24"/>
          <w:szCs w:val="24"/>
          <w:lang w:val="en-US" w:eastAsia="zh-CN"/>
        </w:rPr>
        <w:t>175m处的居民、南侧75m处的居民、北侧125m处的居民等</w:t>
      </w:r>
      <w:r>
        <w:rPr>
          <w:rFonts w:hint="default" w:ascii="Times New Roman" w:hAnsi="Times New Roman" w:eastAsia="宋体" w:cs="Times New Roman"/>
          <w:color w:val="auto"/>
          <w:sz w:val="24"/>
          <w:szCs w:val="24"/>
          <w:lang w:eastAsia="zh-CN"/>
        </w:rPr>
        <w:t>周围敏感点的预测值均满足《环境空气质量 非甲烷总烃限值》（DB13/1577-2012）中二级标准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废气对周围大气环境质量</w:t>
      </w:r>
      <w:r>
        <w:rPr>
          <w:rFonts w:hint="default" w:ascii="Times New Roman" w:hAnsi="Times New Roman" w:eastAsia="宋体" w:cs="Times New Roman"/>
          <w:color w:val="auto"/>
          <w:sz w:val="24"/>
          <w:szCs w:val="24"/>
          <w:highlight w:val="none"/>
          <w:lang w:val="en-US" w:eastAsia="zh-CN"/>
        </w:rPr>
        <w:t>和敏感点</w:t>
      </w:r>
      <w:r>
        <w:rPr>
          <w:rFonts w:hint="default" w:ascii="Times New Roman" w:hAnsi="Times New Roman" w:eastAsia="宋体" w:cs="Times New Roman"/>
          <w:color w:val="auto"/>
          <w:sz w:val="24"/>
          <w:szCs w:val="24"/>
          <w:highlight w:val="none"/>
        </w:rPr>
        <w:t>影响</w:t>
      </w:r>
      <w:r>
        <w:rPr>
          <w:rFonts w:hint="default" w:ascii="Times New Roman" w:hAnsi="Times New Roman" w:eastAsia="宋体" w:cs="Times New Roman"/>
          <w:color w:val="auto"/>
          <w:sz w:val="24"/>
          <w:szCs w:val="24"/>
          <w:highlight w:val="none"/>
          <w:lang w:val="en-US" w:eastAsia="zh-CN"/>
        </w:rPr>
        <w:t>较小</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按照项目区域情况、结合《环境影响评价技术导则大气环境》（HJ2.2-2018）中规定的分级判据，确定本项目大气环境评价等级为二级，根据导则要求，</w:t>
      </w:r>
      <w:r>
        <w:rPr>
          <w:rFonts w:hint="default" w:ascii="Times New Roman" w:hAnsi="Times New Roman" w:eastAsia="宋体" w:cs="Times New Roman"/>
          <w:color w:val="auto"/>
          <w:sz w:val="24"/>
          <w:highlight w:val="none"/>
          <w:lang w:val="zh-CN"/>
        </w:rPr>
        <w:t>二级评价项目不进行进一步预测与评价，只需对污染物排放量进行核算。</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rPr>
      </w:pPr>
      <w:bookmarkStart w:id="259" w:name="_Toc220293220"/>
      <w:r>
        <w:rPr>
          <w:rFonts w:hint="default" w:ascii="Times New Roman" w:hAnsi="Times New Roman" w:eastAsia="宋体" w:cs="Times New Roman"/>
          <w:b/>
          <w:bCs w:val="0"/>
          <w:color w:val="auto"/>
          <w:sz w:val="24"/>
          <w:szCs w:val="24"/>
          <w:highlight w:val="none"/>
        </w:rPr>
        <w:t>（5）大气环境防护距离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根据本项目无组织排放源，按照《环境影响评价技术导则</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大气环境》（HJ2.2-2018）中大气环境防护距离计算模式，计算本项目大气环境防护距离。根据计算结果，各污染源一次贡献浓度无超标点，因此本项目无需设大气环境防护距离。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bCs/>
          <w:color w:val="auto"/>
          <w:sz w:val="24"/>
          <w:szCs w:val="32"/>
          <w:lang w:val="en-US" w:eastAsia="zh-CN"/>
        </w:rPr>
        <w:t>6</w:t>
      </w: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bCs/>
          <w:color w:val="auto"/>
          <w:sz w:val="24"/>
          <w:szCs w:val="32"/>
          <w:lang w:val="en-US" w:eastAsia="zh-CN"/>
        </w:rPr>
        <w:t>《挥发性有机物无组织排放控制标准》符合性分析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根据</w:t>
      </w:r>
      <w:r>
        <w:rPr>
          <w:rFonts w:hint="default" w:ascii="Times New Roman" w:hAnsi="Times New Roman" w:eastAsia="宋体" w:cs="Times New Roman"/>
          <w:b w:val="0"/>
          <w:bCs w:val="0"/>
          <w:color w:val="auto"/>
          <w:sz w:val="24"/>
          <w:szCs w:val="24"/>
        </w:rPr>
        <w:t>《挥发性有机物无组织排放控制标准》（GB37822-2019）</w:t>
      </w:r>
      <w:r>
        <w:rPr>
          <w:rFonts w:hint="default" w:ascii="Times New Roman" w:hAnsi="Times New Roman" w:eastAsia="宋体" w:cs="Times New Roman"/>
          <w:b w:val="0"/>
          <w:bCs w:val="0"/>
          <w:color w:val="auto"/>
          <w:sz w:val="24"/>
          <w:szCs w:val="24"/>
          <w:lang w:eastAsia="zh-CN"/>
        </w:rPr>
        <w:t>中无组织排放控制要求，本项目符合性分析见下表。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5.2-6  </w:t>
      </w:r>
      <w:r>
        <w:rPr>
          <w:rFonts w:hint="default" w:ascii="Times New Roman" w:hAnsi="Times New Roman" w:eastAsia="宋体" w:cs="Times New Roman"/>
          <w:b/>
          <w:color w:val="auto"/>
          <w:sz w:val="24"/>
          <w:szCs w:val="24"/>
          <w:lang w:eastAsia="zh-CN"/>
        </w:rPr>
        <w:t>本项目与</w:t>
      </w:r>
      <w:r>
        <w:rPr>
          <w:rFonts w:hint="default" w:ascii="Times New Roman" w:hAnsi="Times New Roman" w:eastAsia="宋体" w:cs="Times New Roman"/>
          <w:b/>
          <w:bCs/>
          <w:color w:val="auto"/>
          <w:sz w:val="24"/>
          <w:szCs w:val="24"/>
          <w:lang w:val="en-US" w:eastAsia="zh-CN"/>
        </w:rPr>
        <w:t>《挥发性有机物无组织排放控制标准》符合性分析</w:t>
      </w:r>
    </w:p>
    <w:tbl>
      <w:tblPr>
        <w:tblStyle w:val="9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3060"/>
        <w:gridCol w:w="276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1"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vertAlign w:val="baseline"/>
                <w:lang w:val="en-US"/>
              </w:rPr>
            </w:pPr>
            <w:r>
              <w:rPr>
                <w:rFonts w:hint="default" w:ascii="Times New Roman" w:hAnsi="Times New Roman" w:eastAsia="宋体" w:cs="Times New Roman"/>
                <w:b/>
                <w:bCs/>
                <w:color w:val="auto"/>
                <w:sz w:val="21"/>
                <w:szCs w:val="21"/>
                <w:vertAlign w:val="baseline"/>
                <w:lang w:val="en-US"/>
              </w:rPr>
              <w:t>《挥发性有机物无组织排放控制标准》中相关要求</w:t>
            </w:r>
          </w:p>
        </w:tc>
        <w:tc>
          <w:tcPr>
            <w:tcW w:w="276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vertAlign w:val="baseline"/>
                <w:lang w:val="en-US"/>
              </w:rPr>
            </w:pPr>
            <w:r>
              <w:rPr>
                <w:rFonts w:hint="default" w:ascii="Times New Roman" w:hAnsi="Times New Roman" w:eastAsia="宋体" w:cs="Times New Roman"/>
                <w:b/>
                <w:bCs/>
                <w:color w:val="auto"/>
                <w:sz w:val="21"/>
                <w:szCs w:val="21"/>
                <w:vertAlign w:val="baseline"/>
                <w:lang w:val="en-US"/>
              </w:rPr>
              <w:t>本项目实际建设内容</w:t>
            </w:r>
          </w:p>
        </w:tc>
        <w:tc>
          <w:tcPr>
            <w:tcW w:w="107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vertAlign w:val="baseline"/>
                <w:lang w:val="en-US"/>
              </w:rPr>
            </w:pPr>
            <w:r>
              <w:rPr>
                <w:rFonts w:hint="default" w:ascii="Times New Roman" w:hAnsi="Times New Roman" w:eastAsia="宋体" w:cs="Times New Roman"/>
                <w:b/>
                <w:bCs/>
                <w:color w:val="auto"/>
                <w:sz w:val="21"/>
                <w:szCs w:val="21"/>
                <w:vertAlign w:val="baseline"/>
                <w:lang w:val="en-US"/>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 VOCs物料储存无组织排放控制要求</w:t>
            </w:r>
          </w:p>
        </w:tc>
        <w:tc>
          <w:tcPr>
            <w:tcW w:w="306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rPr>
              <w:t>VOCs物料应储存与密闭的容器、包装袋、储罐、储库、料仓中</w:t>
            </w:r>
          </w:p>
        </w:tc>
        <w:tc>
          <w:tcPr>
            <w:tcW w:w="276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本项目原料废滴灌带、水带、地膜及棚膜</w:t>
            </w:r>
            <w:r>
              <w:rPr>
                <w:rFonts w:hint="default" w:ascii="Times New Roman" w:hAnsi="Times New Roman" w:eastAsia="宋体" w:cs="Times New Roman"/>
                <w:color w:val="auto"/>
                <w:kern w:val="2"/>
                <w:sz w:val="21"/>
                <w:szCs w:val="21"/>
                <w:lang w:val="en-US" w:eastAsia="zh-CN" w:bidi="ar-SA"/>
              </w:rPr>
              <w:t>储存于全封闭的原材料库内。</w:t>
            </w:r>
          </w:p>
        </w:tc>
        <w:tc>
          <w:tcPr>
            <w:tcW w:w="107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 VOCs物料转移和输送无组织排放控制要求</w:t>
            </w:r>
          </w:p>
        </w:tc>
        <w:tc>
          <w:tcPr>
            <w:tcW w:w="306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粉状、粒状VOCs物料应采用气力输送设备、管状带式输送机、螺旋输送机等密闭输送方式，或者采用密闭的包装袋、容器或罐车进行物料转移。</w:t>
            </w:r>
          </w:p>
        </w:tc>
        <w:tc>
          <w:tcPr>
            <w:tcW w:w="276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kern w:val="0"/>
                <w:sz w:val="21"/>
                <w:szCs w:val="21"/>
                <w:highlight w:val="none"/>
                <w:lang w:eastAsia="zh-CN"/>
              </w:rPr>
              <w:t>料仓、混料机、上料机以及挤出机等均为密闭设备。</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kern w:val="0"/>
                <w:sz w:val="21"/>
                <w:szCs w:val="21"/>
                <w:highlight w:val="none"/>
                <w:lang w:eastAsia="zh-CN"/>
              </w:rPr>
              <w:t>上料过程采用密闭的气力上料机输送。</w:t>
            </w:r>
          </w:p>
        </w:tc>
        <w:tc>
          <w:tcPr>
            <w:tcW w:w="107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 工艺过程VOCs无组织排放控制要求</w:t>
            </w:r>
          </w:p>
        </w:tc>
        <w:tc>
          <w:tcPr>
            <w:tcW w:w="306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VOCs质量占比大于等于10%的含VOCs产品，其使用过程应采用密闭设备或在密闭空间内操作，废气应排至VOCs废气收集处理系统。</w:t>
            </w:r>
          </w:p>
        </w:tc>
        <w:tc>
          <w:tcPr>
            <w:tcW w:w="276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中有机废气</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lang w:val="en-US" w:eastAsia="zh-CN"/>
              </w:rPr>
              <w:t>1套耐高温过滤棉（1#）</w:t>
            </w:r>
            <w:r>
              <w:rPr>
                <w:rFonts w:hint="default" w:ascii="Times New Roman" w:hAnsi="Times New Roman" w:eastAsia="宋体" w:cs="Times New Roman"/>
                <w:color w:val="auto"/>
                <w:sz w:val="21"/>
                <w:szCs w:val="21"/>
                <w:highlight w:val="none"/>
                <w:lang w:val="en-US" w:eastAsia="zh-CN"/>
              </w:rPr>
              <w:t>+UV光氧催化（1#）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rPr>
              <w:t>活性炭吸附装置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处理后</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通过</w:t>
            </w:r>
            <w:r>
              <w:rPr>
                <w:rFonts w:hint="default" w:ascii="Times New Roman" w:hAnsi="Times New Roman" w:eastAsia="宋体" w:cs="Times New Roman"/>
                <w:color w:val="auto"/>
                <w:kern w:val="0"/>
                <w:sz w:val="21"/>
                <w:szCs w:val="21"/>
                <w:highlight w:val="none"/>
                <w:lang w:val="en-US" w:eastAsia="zh-CN"/>
              </w:rPr>
              <w:t>1根</w:t>
            </w:r>
            <w:r>
              <w:rPr>
                <w:rFonts w:hint="default" w:ascii="Times New Roman" w:hAnsi="Times New Roman" w:eastAsia="宋体" w:cs="Times New Roman"/>
                <w:color w:val="auto"/>
                <w:kern w:val="0"/>
                <w:sz w:val="21"/>
                <w:szCs w:val="21"/>
                <w:highlight w:val="none"/>
              </w:rPr>
              <w:t>15m高排气筒</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P1</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排放</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kern w:val="0"/>
                <w:sz w:val="21"/>
                <w:szCs w:val="21"/>
                <w:highlight w:val="none"/>
                <w:lang w:eastAsia="zh-CN"/>
              </w:rPr>
              <w:t>塑料制品生产车间中有机废气</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lang w:val="en-US" w:eastAsia="zh-CN"/>
              </w:rPr>
              <w:t>1套耐高温过滤棉（2#）</w:t>
            </w:r>
            <w:r>
              <w:rPr>
                <w:rFonts w:hint="default" w:ascii="Times New Roman" w:hAnsi="Times New Roman" w:eastAsia="宋体" w:cs="Times New Roman"/>
                <w:color w:val="auto"/>
                <w:sz w:val="21"/>
                <w:szCs w:val="21"/>
                <w:highlight w:val="none"/>
                <w:lang w:val="en-US" w:eastAsia="zh-CN"/>
              </w:rPr>
              <w:t>+UV光氧催化（</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rPr>
              <w:t>活性炭吸附装置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处理后</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通过</w:t>
            </w:r>
            <w:r>
              <w:rPr>
                <w:rFonts w:hint="default" w:ascii="Times New Roman" w:hAnsi="Times New Roman" w:eastAsia="宋体" w:cs="Times New Roman"/>
                <w:color w:val="auto"/>
                <w:kern w:val="0"/>
                <w:sz w:val="21"/>
                <w:szCs w:val="21"/>
                <w:highlight w:val="none"/>
                <w:lang w:val="en-US" w:eastAsia="zh-CN"/>
              </w:rPr>
              <w:t>1根</w:t>
            </w:r>
            <w:r>
              <w:rPr>
                <w:rFonts w:hint="default" w:ascii="Times New Roman" w:hAnsi="Times New Roman" w:eastAsia="宋体" w:cs="Times New Roman"/>
                <w:color w:val="auto"/>
                <w:kern w:val="0"/>
                <w:sz w:val="21"/>
                <w:szCs w:val="21"/>
                <w:highlight w:val="none"/>
              </w:rPr>
              <w:t>15m高排气筒</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P2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排放</w:t>
            </w:r>
            <w:r>
              <w:rPr>
                <w:rFonts w:hint="default" w:ascii="Times New Roman" w:hAnsi="Times New Roman" w:eastAsia="宋体" w:cs="Times New Roman"/>
                <w:color w:val="auto"/>
                <w:kern w:val="0"/>
                <w:sz w:val="21"/>
                <w:szCs w:val="21"/>
                <w:highlight w:val="none"/>
                <w:lang w:eastAsia="zh-CN"/>
              </w:rPr>
              <w:t>。</w:t>
            </w:r>
          </w:p>
        </w:tc>
        <w:tc>
          <w:tcPr>
            <w:tcW w:w="107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rPr>
            </w:pPr>
            <w:r>
              <w:rPr>
                <w:rFonts w:hint="default" w:ascii="Times New Roman" w:hAnsi="Times New Roman" w:eastAsia="宋体" w:cs="Times New Roman"/>
                <w:b w:val="0"/>
                <w:bCs w:val="0"/>
                <w:color w:val="auto"/>
                <w:sz w:val="21"/>
                <w:szCs w:val="21"/>
                <w:vertAlign w:val="baseline"/>
                <w:lang w:val="en-US" w:eastAsia="zh-CN"/>
              </w:rPr>
              <w:t>符合</w:t>
            </w:r>
          </w:p>
        </w:tc>
      </w:tr>
    </w:tbl>
    <w:p>
      <w:pPr>
        <w:shd w:val="clear"/>
        <w:tabs>
          <w:tab w:val="left" w:pos="225"/>
        </w:tabs>
        <w:spacing w:line="360" w:lineRule="auto"/>
        <w:ind w:firstLine="480" w:firstLineChars="200"/>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val="0"/>
          <w:bCs w:val="0"/>
          <w:color w:val="auto"/>
          <w:sz w:val="24"/>
          <w:szCs w:val="24"/>
          <w:lang w:eastAsia="zh-CN"/>
        </w:rPr>
        <w:t>因此，本项目符合</w:t>
      </w:r>
      <w:r>
        <w:rPr>
          <w:rFonts w:hint="default" w:ascii="Times New Roman" w:hAnsi="Times New Roman" w:eastAsia="宋体" w:cs="Times New Roman"/>
          <w:b w:val="0"/>
          <w:bCs w:val="0"/>
          <w:color w:val="auto"/>
          <w:sz w:val="24"/>
          <w:szCs w:val="24"/>
        </w:rPr>
        <w:t>《挥发性有机物无组织排放控制标准》（GB37822-2019）</w:t>
      </w:r>
      <w:r>
        <w:rPr>
          <w:rFonts w:hint="default" w:ascii="Times New Roman" w:hAnsi="Times New Roman" w:eastAsia="宋体" w:cs="Times New Roman"/>
          <w:b w:val="0"/>
          <w:bCs w:val="0"/>
          <w:color w:val="auto"/>
          <w:sz w:val="24"/>
          <w:szCs w:val="24"/>
          <w:lang w:eastAsia="zh-CN"/>
        </w:rPr>
        <w:t>中无组织排放控制要求。</w:t>
      </w:r>
    </w:p>
    <w:p>
      <w:pPr>
        <w:shd w:val="clear"/>
        <w:tabs>
          <w:tab w:val="left" w:pos="225"/>
        </w:tabs>
        <w:spacing w:line="360" w:lineRule="auto"/>
        <w:ind w:firstLine="482" w:firstLineChars="200"/>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rPr>
        <w:t>（</w:t>
      </w:r>
      <w:r>
        <w:rPr>
          <w:rFonts w:hint="default" w:ascii="Times New Roman" w:hAnsi="Times New Roman" w:eastAsia="宋体" w:cs="Times New Roman"/>
          <w:b/>
          <w:bCs w:val="0"/>
          <w:color w:val="auto"/>
          <w:sz w:val="24"/>
          <w:szCs w:val="24"/>
          <w:highlight w:val="none"/>
          <w:lang w:val="en-US" w:eastAsia="zh-CN"/>
        </w:rPr>
        <w:t>7</w:t>
      </w:r>
      <w:r>
        <w:rPr>
          <w:rFonts w:hint="default" w:ascii="Times New Roman" w:hAnsi="Times New Roman" w:eastAsia="宋体" w:cs="Times New Roman"/>
          <w:b/>
          <w:bCs w:val="0"/>
          <w:color w:val="auto"/>
          <w:sz w:val="24"/>
          <w:szCs w:val="24"/>
          <w:highlight w:val="none"/>
        </w:rPr>
        <w:t>）</w:t>
      </w:r>
      <w:r>
        <w:rPr>
          <w:rFonts w:hint="default" w:ascii="Times New Roman" w:hAnsi="Times New Roman" w:eastAsia="宋体" w:cs="Times New Roman"/>
          <w:b/>
          <w:bCs w:val="0"/>
          <w:color w:val="auto"/>
          <w:sz w:val="24"/>
          <w:szCs w:val="24"/>
          <w:highlight w:val="none"/>
          <w:lang w:eastAsia="zh-CN"/>
        </w:rPr>
        <w:t>污染物排放核算</w:t>
      </w:r>
    </w:p>
    <w:p>
      <w:pPr>
        <w:shd w:val="clea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）有组织排放量核算</w:t>
      </w:r>
    </w:p>
    <w:p>
      <w:pPr>
        <w:shd w:val="clear"/>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本项目大气污染物有组织排放量核算见表5.2-</w:t>
      </w:r>
      <w:r>
        <w:rPr>
          <w:rFonts w:hint="default" w:ascii="Times New Roman" w:hAnsi="Times New Roman" w:eastAsia="宋体"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rPr>
        <w:t>。</w:t>
      </w:r>
    </w:p>
    <w:p>
      <w:pPr>
        <w:pStyle w:val="28"/>
        <w:shd w:val="clear"/>
        <w:spacing w:beforeLines="0" w:line="440" w:lineRule="exact"/>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表5.2-</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 xml:space="preserve">  大气污染物有组织排放量核算表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716"/>
        <w:gridCol w:w="1288"/>
        <w:gridCol w:w="1502"/>
        <w:gridCol w:w="1503"/>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tcBorders>
              <w:tl2br w:val="nil"/>
              <w:tr2bl w:val="nil"/>
            </w:tcBorders>
            <w:noWrap/>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716" w:type="dxa"/>
            <w:tcBorders>
              <w:tl2br w:val="nil"/>
              <w:tr2bl w:val="nil"/>
            </w:tcBorders>
            <w:noWrap/>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排放口编号</w:t>
            </w:r>
          </w:p>
        </w:tc>
        <w:tc>
          <w:tcPr>
            <w:tcW w:w="1288" w:type="dxa"/>
            <w:tcBorders>
              <w:tl2br w:val="nil"/>
              <w:tr2bl w:val="nil"/>
            </w:tcBorders>
            <w:noWrap/>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1502" w:type="dxa"/>
            <w:tcBorders>
              <w:tl2br w:val="nil"/>
              <w:tr2bl w:val="nil"/>
            </w:tcBorders>
            <w:noWrap/>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核算排放浓度/（mg/m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c>
          <w:tcPr>
            <w:tcW w:w="1503" w:type="dxa"/>
            <w:tcBorders>
              <w:tl2br w:val="nil"/>
              <w:tr2bl w:val="nil"/>
            </w:tcBorders>
            <w:noWrap/>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核算排放速率/（kg/h）</w:t>
            </w:r>
          </w:p>
        </w:tc>
        <w:tc>
          <w:tcPr>
            <w:tcW w:w="1502" w:type="dxa"/>
            <w:tcBorders>
              <w:tl2br w:val="nil"/>
              <w:tr2bl w:val="nil"/>
            </w:tcBorders>
            <w:noWrap/>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6"/>
            <w:tcBorders>
              <w:tl2br w:val="nil"/>
              <w:tr2bl w:val="nil"/>
            </w:tcBorders>
            <w:noWrap/>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lang w:eastAsia="zh-CN"/>
              </w:rPr>
              <w:t>一般</w:t>
            </w:r>
            <w:r>
              <w:rPr>
                <w:rFonts w:hint="default" w:ascii="Times New Roman" w:hAnsi="Times New Roman" w:eastAsia="宋体" w:cs="Times New Roman"/>
                <w:b/>
                <w:bCs/>
                <w:color w:val="auto"/>
                <w:szCs w:val="21"/>
                <w:highlight w:val="none"/>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tcBorders>
              <w:tl2br w:val="nil"/>
              <w:tr2bl w:val="nil"/>
            </w:tcBorders>
            <w:noWrap/>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716" w:type="dxa"/>
            <w:vMerge w:val="restart"/>
            <w:tcBorders>
              <w:tl2br w:val="nil"/>
              <w:tr2bl w:val="nil"/>
            </w:tcBorders>
            <w:noWrap/>
            <w:vAlign w:val="center"/>
          </w:tcPr>
          <w:p>
            <w:pPr>
              <w:shd w:val="clear"/>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288" w:type="dxa"/>
            <w:tcBorders>
              <w:tl2br w:val="nil"/>
              <w:tr2bl w:val="nil"/>
            </w:tcBorders>
            <w:noWrap/>
            <w:vAlign w:val="center"/>
          </w:tcPr>
          <w:p>
            <w:pPr>
              <w:shd w:val="clea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非甲烷总烃</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w:t>
            </w:r>
            <w:r>
              <w:rPr>
                <w:rFonts w:hint="default" w:ascii="Times New Roman" w:hAnsi="Times New Roman" w:eastAsia="宋体" w:cs="Times New Roman"/>
                <w:color w:val="auto"/>
                <w:kern w:val="0"/>
                <w:sz w:val="21"/>
                <w:szCs w:val="21"/>
                <w:highlight w:val="none"/>
                <w:lang w:val="en-US" w:eastAsia="zh-CN"/>
              </w:rPr>
              <w:t xml:space="preserve">.0 </w:t>
            </w:r>
          </w:p>
        </w:tc>
        <w:tc>
          <w:tcPr>
            <w:tcW w:w="1503"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12</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tcBorders>
              <w:tl2br w:val="nil"/>
              <w:tr2bl w:val="nil"/>
            </w:tcBorders>
            <w:noWrap/>
            <w:vAlign w:val="center"/>
          </w:tcPr>
          <w:p>
            <w:pPr>
              <w:shd w:val="clear"/>
              <w:jc w:val="center"/>
              <w:rPr>
                <w:rFonts w:hint="default" w:ascii="Times New Roman" w:hAnsi="Times New Roman" w:eastAsia="宋体" w:cs="Times New Roman"/>
                <w:color w:val="auto"/>
                <w:szCs w:val="21"/>
                <w:highlight w:val="none"/>
              </w:rPr>
            </w:pPr>
          </w:p>
        </w:tc>
        <w:tc>
          <w:tcPr>
            <w:tcW w:w="1716" w:type="dxa"/>
            <w:vMerge w:val="continue"/>
            <w:tcBorders>
              <w:tl2br w:val="nil"/>
              <w:tr2bl w:val="nil"/>
            </w:tcBorders>
            <w:noWrap/>
            <w:vAlign w:val="center"/>
          </w:tcPr>
          <w:p>
            <w:pPr>
              <w:shd w:val="clear"/>
              <w:ind w:firstLine="0" w:firstLineChars="0"/>
              <w:jc w:val="center"/>
              <w:rPr>
                <w:rFonts w:hint="default" w:ascii="Times New Roman" w:hAnsi="Times New Roman" w:eastAsia="宋体" w:cs="Times New Roman"/>
                <w:b w:val="0"/>
                <w:bCs w:val="0"/>
                <w:color w:val="auto"/>
                <w:sz w:val="21"/>
                <w:szCs w:val="21"/>
                <w:highlight w:val="none"/>
                <w:lang w:eastAsia="zh-CN"/>
              </w:rPr>
            </w:pPr>
          </w:p>
        </w:tc>
        <w:tc>
          <w:tcPr>
            <w:tcW w:w="1288" w:type="dxa"/>
            <w:tcBorders>
              <w:tl2br w:val="nil"/>
              <w:tr2bl w:val="nil"/>
            </w:tcBorders>
            <w:noWrap/>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28.0 </w:t>
            </w:r>
          </w:p>
        </w:tc>
        <w:tc>
          <w:tcPr>
            <w:tcW w:w="1503"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0.28</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tcBorders>
              <w:tl2br w:val="nil"/>
              <w:tr2bl w:val="nil"/>
            </w:tcBorders>
            <w:noWrap/>
            <w:vAlign w:val="center"/>
          </w:tcPr>
          <w:p>
            <w:pPr>
              <w:shd w:val="clea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1716" w:type="dxa"/>
            <w:vMerge w:val="restart"/>
            <w:tcBorders>
              <w:tl2br w:val="nil"/>
              <w:tr2bl w:val="nil"/>
            </w:tcBorders>
            <w:noWrap/>
            <w:vAlign w:val="center"/>
          </w:tcPr>
          <w:p>
            <w:pPr>
              <w:shd w:val="clear"/>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288" w:type="dxa"/>
            <w:tcBorders>
              <w:tl2br w:val="nil"/>
              <w:tr2bl w:val="nil"/>
            </w:tcBorders>
            <w:noWrap/>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eastAsia="zh-CN"/>
              </w:rPr>
              <w:t>非甲烷总烃</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95.3</w:t>
            </w:r>
          </w:p>
        </w:tc>
        <w:tc>
          <w:tcPr>
            <w:tcW w:w="1503"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1.43</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tcBorders>
              <w:tl2br w:val="nil"/>
              <w:tr2bl w:val="nil"/>
            </w:tcBorders>
            <w:noWrap/>
            <w:vAlign w:val="center"/>
          </w:tcPr>
          <w:p>
            <w:pPr>
              <w:shd w:val="clear"/>
              <w:jc w:val="center"/>
              <w:rPr>
                <w:rFonts w:hint="default" w:ascii="Times New Roman" w:hAnsi="Times New Roman" w:eastAsia="宋体" w:cs="Times New Roman"/>
                <w:color w:val="auto"/>
                <w:szCs w:val="21"/>
                <w:highlight w:val="none"/>
              </w:rPr>
            </w:pPr>
          </w:p>
        </w:tc>
        <w:tc>
          <w:tcPr>
            <w:tcW w:w="1716" w:type="dxa"/>
            <w:vMerge w:val="continue"/>
            <w:tcBorders>
              <w:tl2br w:val="nil"/>
              <w:tr2bl w:val="nil"/>
            </w:tcBorders>
            <w:noWrap/>
            <w:vAlign w:val="center"/>
          </w:tcPr>
          <w:p>
            <w:pPr>
              <w:shd w:val="clear"/>
              <w:ind w:firstLine="0" w:firstLineChars="0"/>
              <w:jc w:val="center"/>
              <w:rPr>
                <w:rFonts w:hint="default" w:ascii="Times New Roman" w:hAnsi="Times New Roman" w:eastAsia="宋体" w:cs="Times New Roman"/>
                <w:b w:val="0"/>
                <w:bCs w:val="0"/>
                <w:color w:val="auto"/>
                <w:sz w:val="21"/>
                <w:szCs w:val="21"/>
                <w:highlight w:val="none"/>
                <w:lang w:eastAsia="zh-CN"/>
              </w:rPr>
            </w:pPr>
          </w:p>
        </w:tc>
        <w:tc>
          <w:tcPr>
            <w:tcW w:w="1288" w:type="dxa"/>
            <w:tcBorders>
              <w:tl2br w:val="nil"/>
              <w:tr2bl w:val="nil"/>
            </w:tcBorders>
            <w:noWrap/>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颗粒物</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11.0</w:t>
            </w:r>
          </w:p>
        </w:tc>
        <w:tc>
          <w:tcPr>
            <w:tcW w:w="1503"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0.11</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6"/>
            <w:tcBorders>
              <w:tl2br w:val="nil"/>
              <w:tr2bl w:val="nil"/>
            </w:tcBorders>
            <w:noWrap/>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restart"/>
            <w:tcBorders>
              <w:tl2br w:val="nil"/>
              <w:tr2bl w:val="nil"/>
            </w:tcBorders>
            <w:noWrap/>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有组织排放合计</w:t>
            </w:r>
          </w:p>
        </w:tc>
        <w:tc>
          <w:tcPr>
            <w:tcW w:w="4293" w:type="dxa"/>
            <w:gridSpan w:val="3"/>
            <w:tcBorders>
              <w:tl2br w:val="nil"/>
              <w:tr2bl w:val="nil"/>
            </w:tcBorders>
            <w:noWrap/>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非甲烷总烃</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9" w:type="dxa"/>
            <w:gridSpan w:val="2"/>
            <w:vMerge w:val="continue"/>
            <w:tcBorders>
              <w:tl2br w:val="nil"/>
              <w:tr2bl w:val="nil"/>
            </w:tcBorders>
            <w:noWrap/>
            <w:vAlign w:val="center"/>
          </w:tcPr>
          <w:p>
            <w:pPr>
              <w:shd w:val="clear"/>
              <w:jc w:val="center"/>
              <w:rPr>
                <w:rFonts w:hint="default" w:ascii="Times New Roman" w:hAnsi="Times New Roman" w:eastAsia="宋体" w:cs="Times New Roman"/>
                <w:color w:val="auto"/>
                <w:szCs w:val="21"/>
                <w:highlight w:val="none"/>
              </w:rPr>
            </w:pPr>
          </w:p>
        </w:tc>
        <w:tc>
          <w:tcPr>
            <w:tcW w:w="4293" w:type="dxa"/>
            <w:gridSpan w:val="3"/>
            <w:tcBorders>
              <w:tl2br w:val="nil"/>
              <w:tr2bl w:val="nil"/>
            </w:tcBorders>
            <w:noWrap/>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颗粒物</w:t>
            </w:r>
          </w:p>
        </w:tc>
        <w:tc>
          <w:tcPr>
            <w:tcW w:w="1502" w:type="dxa"/>
            <w:tcBorders>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2.2</w:t>
            </w:r>
          </w:p>
        </w:tc>
      </w:tr>
    </w:tbl>
    <w:p>
      <w:pPr>
        <w:shd w:val="clea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2）无组织排放量核算</w:t>
      </w:r>
    </w:p>
    <w:p>
      <w:pPr>
        <w:shd w:val="clear"/>
        <w:spacing w:line="360" w:lineRule="auto"/>
        <w:ind w:firstLine="480"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Cs/>
          <w:color w:val="auto"/>
          <w:sz w:val="24"/>
          <w:highlight w:val="none"/>
        </w:rPr>
        <w:t>本项目大气污染物无组织排放量核算见表5.2-</w:t>
      </w:r>
      <w:r>
        <w:rPr>
          <w:rFonts w:hint="default" w:ascii="Times New Roman" w:hAnsi="Times New Roman" w:eastAsia="宋体" w:cs="Times New Roman"/>
          <w:bCs/>
          <w:color w:val="auto"/>
          <w:sz w:val="24"/>
          <w:highlight w:val="none"/>
          <w:lang w:val="en-US" w:eastAsia="zh-CN"/>
        </w:rPr>
        <w:t>8</w:t>
      </w:r>
      <w:r>
        <w:rPr>
          <w:rFonts w:hint="default" w:ascii="Times New Roman" w:hAnsi="Times New Roman" w:eastAsia="宋体" w:cs="Times New Roman"/>
          <w:bCs/>
          <w:color w:val="auto"/>
          <w:sz w:val="24"/>
          <w:highlight w:val="none"/>
        </w:rPr>
        <w:t>。</w:t>
      </w:r>
    </w:p>
    <w:p>
      <w:pPr>
        <w:pStyle w:val="28"/>
        <w:shd w:val="clear"/>
        <w:spacing w:beforeLines="0" w:line="440" w:lineRule="exact"/>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表5.2-</w:t>
      </w: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 xml:space="preserve">     大气污染物无组织排放量核算表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690"/>
        <w:gridCol w:w="1770"/>
        <w:gridCol w:w="1273"/>
        <w:gridCol w:w="1063"/>
        <w:gridCol w:w="1164"/>
        <w:gridCol w:w="1160"/>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690"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w:t>
            </w:r>
          </w:p>
        </w:tc>
        <w:tc>
          <w:tcPr>
            <w:tcW w:w="1770"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w:t>
            </w:r>
          </w:p>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环节</w:t>
            </w:r>
          </w:p>
        </w:tc>
        <w:tc>
          <w:tcPr>
            <w:tcW w:w="127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063"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主要污染防治措施</w:t>
            </w:r>
          </w:p>
        </w:tc>
        <w:tc>
          <w:tcPr>
            <w:tcW w:w="2324"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国家或地方污染物排放标准</w:t>
            </w:r>
          </w:p>
        </w:tc>
        <w:tc>
          <w:tcPr>
            <w:tcW w:w="865"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b/>
                <w:bCs/>
                <w:color w:val="auto"/>
                <w:sz w:val="21"/>
                <w:szCs w:val="21"/>
                <w:highlight w:val="none"/>
              </w:rPr>
            </w:pPr>
          </w:p>
        </w:tc>
        <w:tc>
          <w:tcPr>
            <w:tcW w:w="690"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b/>
                <w:bCs/>
                <w:color w:val="auto"/>
                <w:sz w:val="21"/>
                <w:szCs w:val="21"/>
                <w:highlight w:val="none"/>
              </w:rPr>
            </w:pPr>
          </w:p>
        </w:tc>
        <w:tc>
          <w:tcPr>
            <w:tcW w:w="1770"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b/>
                <w:bCs/>
                <w:color w:val="auto"/>
                <w:sz w:val="21"/>
                <w:szCs w:val="21"/>
                <w:highlight w:val="none"/>
              </w:rPr>
            </w:pPr>
          </w:p>
        </w:tc>
        <w:tc>
          <w:tcPr>
            <w:tcW w:w="127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b/>
                <w:bCs/>
                <w:color w:val="auto"/>
                <w:sz w:val="21"/>
                <w:szCs w:val="21"/>
                <w:highlight w:val="none"/>
              </w:rPr>
            </w:pPr>
          </w:p>
        </w:tc>
        <w:tc>
          <w:tcPr>
            <w:tcW w:w="1063"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b/>
                <w:bCs/>
                <w:color w:val="auto"/>
                <w:sz w:val="21"/>
                <w:szCs w:val="21"/>
                <w:highlight w:val="none"/>
              </w:rPr>
            </w:pPr>
          </w:p>
        </w:tc>
        <w:tc>
          <w:tcPr>
            <w:tcW w:w="1164"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标准名称</w:t>
            </w:r>
          </w:p>
        </w:tc>
        <w:tc>
          <w:tcPr>
            <w:tcW w:w="1160"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浓度限值（mg/m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dxa"/>
            <w:vMerge w:val="restart"/>
            <w:tcBorders>
              <w:top w:val="single" w:color="auto" w:sz="4" w:space="0"/>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90" w:type="dxa"/>
            <w:vMerge w:val="restart"/>
            <w:tcBorders>
              <w:top w:val="single" w:color="auto" w:sz="4" w:space="0"/>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70" w:type="dxa"/>
            <w:vMerge w:val="restart"/>
            <w:tcBorders>
              <w:top w:val="single" w:color="auto" w:sz="4" w:space="0"/>
              <w:left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rPr>
              <w:t>挤塑、切粒废气</w:t>
            </w:r>
          </w:p>
        </w:tc>
        <w:tc>
          <w:tcPr>
            <w:tcW w:w="1273"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tabs>
                <w:tab w:val="center" w:pos="4153"/>
                <w:tab w:val="right" w:pos="8306"/>
              </w:tabs>
              <w:snapToGrid/>
              <w:spacing w:line="240" w:lineRule="auto"/>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063" w:type="dxa"/>
            <w:vMerge w:val="restart"/>
            <w:tcBorders>
              <w:top w:val="single" w:color="auto" w:sz="4" w:space="0"/>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封闭车间</w:t>
            </w:r>
          </w:p>
        </w:tc>
        <w:tc>
          <w:tcPr>
            <w:tcW w:w="1164" w:type="dxa"/>
            <w:vMerge w:val="restart"/>
            <w:tcBorders>
              <w:top w:val="single" w:color="auto" w:sz="4" w:space="0"/>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《合成树脂工业污染物排放标准》（GB31572-2015）</w:t>
            </w:r>
            <w:r>
              <w:rPr>
                <w:rFonts w:hint="default" w:ascii="Times New Roman" w:hAnsi="Times New Roman" w:eastAsia="宋体" w:cs="Times New Roman"/>
                <w:color w:val="auto"/>
                <w:sz w:val="21"/>
                <w:szCs w:val="21"/>
                <w:lang w:val="en-US" w:eastAsia="zh-CN"/>
              </w:rPr>
              <w:t>表9企业边界大气污染物浓度限值</w:t>
            </w:r>
          </w:p>
        </w:tc>
        <w:tc>
          <w:tcPr>
            <w:tcW w:w="1160" w:type="dxa"/>
            <w:tcBorders>
              <w:top w:val="single" w:color="auto" w:sz="4" w:space="0"/>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w:t>
            </w:r>
          </w:p>
        </w:tc>
        <w:tc>
          <w:tcPr>
            <w:tcW w:w="86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dxa"/>
            <w:vMerge w:val="continue"/>
            <w:tcBorders>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p>
        </w:tc>
        <w:tc>
          <w:tcPr>
            <w:tcW w:w="690" w:type="dxa"/>
            <w:vMerge w:val="continue"/>
            <w:tcBorders>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p>
        </w:tc>
        <w:tc>
          <w:tcPr>
            <w:tcW w:w="1770" w:type="dxa"/>
            <w:vMerge w:val="continue"/>
            <w:tcBorders>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73"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tabs>
                <w:tab w:val="center" w:pos="4153"/>
                <w:tab w:val="right" w:pos="8306"/>
              </w:tabs>
              <w:snapToGrid/>
              <w:spacing w:line="240" w:lineRule="auto"/>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1063" w:type="dxa"/>
            <w:vMerge w:val="continue"/>
            <w:tcBorders>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p>
        </w:tc>
        <w:tc>
          <w:tcPr>
            <w:tcW w:w="1164" w:type="dxa"/>
            <w:vMerge w:val="continue"/>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rPr>
            </w:pPr>
          </w:p>
        </w:tc>
        <w:tc>
          <w:tcPr>
            <w:tcW w:w="1160" w:type="dxa"/>
            <w:tcBorders>
              <w:top w:val="single" w:color="auto" w:sz="4" w:space="0"/>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86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dxa"/>
            <w:vMerge w:val="restart"/>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90" w:type="dxa"/>
            <w:vMerge w:val="restart"/>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770" w:type="dxa"/>
            <w:vMerge w:val="restart"/>
            <w:tcBorders>
              <w:left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color w:val="auto"/>
                <w:kern w:val="0"/>
                <w:sz w:val="21"/>
                <w:szCs w:val="21"/>
                <w:highlight w:val="none"/>
                <w:lang w:eastAsia="zh-TW"/>
              </w:rPr>
              <w:t>吹塑</w:t>
            </w:r>
            <w:r>
              <w:rPr>
                <w:rFonts w:hint="default" w:ascii="Times New Roman" w:hAnsi="Times New Roman" w:eastAsia="宋体" w:cs="Times New Roman"/>
                <w:color w:val="auto"/>
                <w:kern w:val="0"/>
                <w:sz w:val="21"/>
                <w:szCs w:val="21"/>
                <w:highlight w:val="none"/>
              </w:rPr>
              <w:t>废气</w:t>
            </w:r>
          </w:p>
        </w:tc>
        <w:tc>
          <w:tcPr>
            <w:tcW w:w="1273"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tabs>
                <w:tab w:val="center" w:pos="4153"/>
                <w:tab w:val="right" w:pos="8306"/>
              </w:tabs>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1063" w:type="dxa"/>
            <w:vMerge w:val="restart"/>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封闭车间</w:t>
            </w:r>
          </w:p>
        </w:tc>
        <w:tc>
          <w:tcPr>
            <w:tcW w:w="1164" w:type="dxa"/>
            <w:vMerge w:val="continue"/>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rPr>
            </w:pPr>
          </w:p>
        </w:tc>
        <w:tc>
          <w:tcPr>
            <w:tcW w:w="1160" w:type="dxa"/>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w:t>
            </w:r>
          </w:p>
        </w:tc>
        <w:tc>
          <w:tcPr>
            <w:tcW w:w="86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dxa"/>
            <w:vMerge w:val="continue"/>
            <w:tcBorders>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p>
        </w:tc>
        <w:tc>
          <w:tcPr>
            <w:tcW w:w="690" w:type="dxa"/>
            <w:vMerge w:val="continue"/>
            <w:tcBorders>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p>
        </w:tc>
        <w:tc>
          <w:tcPr>
            <w:tcW w:w="1770" w:type="dxa"/>
            <w:vMerge w:val="continue"/>
            <w:tcBorders>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1273"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tabs>
                <w:tab w:val="center" w:pos="4153"/>
                <w:tab w:val="right" w:pos="8306"/>
              </w:tabs>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1063" w:type="dxa"/>
            <w:vMerge w:val="continue"/>
            <w:tcBorders>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p>
        </w:tc>
        <w:tc>
          <w:tcPr>
            <w:tcW w:w="1164" w:type="dxa"/>
            <w:vMerge w:val="continue"/>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rPr>
            </w:pPr>
          </w:p>
        </w:tc>
        <w:tc>
          <w:tcPr>
            <w:tcW w:w="1160" w:type="dxa"/>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65"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dxa"/>
            <w:tcBorders>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90" w:type="dxa"/>
            <w:tcBorders>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770" w:type="dxa"/>
            <w:tcBorders>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混料废气</w:t>
            </w:r>
          </w:p>
        </w:tc>
        <w:tc>
          <w:tcPr>
            <w:tcW w:w="1273"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tabs>
                <w:tab w:val="center" w:pos="4153"/>
                <w:tab w:val="right" w:pos="8306"/>
              </w:tabs>
              <w:snapToGrid/>
              <w:spacing w:line="240" w:lineRule="auto"/>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063" w:type="dxa"/>
            <w:tcBorders>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除尘滤芯</w:t>
            </w:r>
          </w:p>
        </w:tc>
        <w:tc>
          <w:tcPr>
            <w:tcW w:w="1164" w:type="dxa"/>
            <w:vMerge w:val="continue"/>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rPr>
            </w:pPr>
          </w:p>
        </w:tc>
        <w:tc>
          <w:tcPr>
            <w:tcW w:w="1160" w:type="dxa"/>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865"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8"/>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9" w:type="dxa"/>
            <w:gridSpan w:val="3"/>
            <w:vMerge w:val="restart"/>
            <w:tcBorders>
              <w:top w:val="single" w:color="auto" w:sz="4" w:space="0"/>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无组织排放总计</w:t>
            </w:r>
          </w:p>
        </w:tc>
        <w:tc>
          <w:tcPr>
            <w:tcW w:w="4660" w:type="dxa"/>
            <w:gridSpan w:val="4"/>
            <w:tcBorders>
              <w:top w:val="single" w:color="auto" w:sz="4" w:space="0"/>
              <w:left w:val="single" w:color="auto" w:sz="4" w:space="0"/>
              <w:bottom w:val="single" w:color="auto" w:sz="4" w:space="0"/>
              <w:right w:val="single" w:color="auto" w:sz="4" w:space="0"/>
              <w:tl2br w:val="nil"/>
              <w:tr2bl w:val="nil"/>
            </w:tcBorders>
            <w:noWrap/>
            <w:vAlign w:val="center"/>
          </w:tcPr>
          <w:p>
            <w:pPr>
              <w:shd w:val="clear"/>
              <w:tabs>
                <w:tab w:val="center" w:pos="4153"/>
                <w:tab w:val="right" w:pos="8306"/>
              </w:tabs>
              <w:snapToGrid/>
              <w:spacing w:line="240" w:lineRule="auto"/>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865"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9" w:type="dxa"/>
            <w:gridSpan w:val="3"/>
            <w:vMerge w:val="continue"/>
            <w:tcBorders>
              <w:left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p>
        </w:tc>
        <w:tc>
          <w:tcPr>
            <w:tcW w:w="4660" w:type="dxa"/>
            <w:gridSpan w:val="4"/>
            <w:tcBorders>
              <w:top w:val="single" w:color="auto" w:sz="4" w:space="0"/>
              <w:left w:val="single" w:color="auto" w:sz="4" w:space="0"/>
              <w:bottom w:val="single" w:color="auto" w:sz="4" w:space="0"/>
              <w:right w:val="single" w:color="auto" w:sz="4" w:space="0"/>
              <w:tl2br w:val="nil"/>
              <w:tr2bl w:val="nil"/>
            </w:tcBorders>
            <w:noWrap/>
            <w:vAlign w:val="center"/>
          </w:tcPr>
          <w:p>
            <w:pPr>
              <w:shd w:val="clear"/>
              <w:tabs>
                <w:tab w:val="center" w:pos="4153"/>
                <w:tab w:val="right" w:pos="8306"/>
              </w:tabs>
              <w:snapToGrid/>
              <w:spacing w:line="240" w:lineRule="auto"/>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865"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1.64</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3）项目大气污染物年排放量核算</w:t>
      </w:r>
    </w:p>
    <w:p>
      <w:pPr>
        <w:shd w:val="clea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本项目大气污染物年排放量核算见表5.2-</w:t>
      </w:r>
      <w:r>
        <w:rPr>
          <w:rFonts w:hint="default" w:ascii="Times New Roman" w:hAnsi="Times New Roman" w:eastAsia="宋体" w:cs="Times New Roman"/>
          <w:bCs/>
          <w:color w:val="auto"/>
          <w:sz w:val="24"/>
          <w:highlight w:val="none"/>
          <w:lang w:val="en-US" w:eastAsia="zh-CN"/>
        </w:rPr>
        <w:t>9</w:t>
      </w:r>
      <w:r>
        <w:rPr>
          <w:rFonts w:hint="default" w:ascii="Times New Roman" w:hAnsi="Times New Roman" w:eastAsia="宋体" w:cs="Times New Roman"/>
          <w:bCs/>
          <w:color w:val="auto"/>
          <w:sz w:val="24"/>
          <w:highlight w:val="none"/>
        </w:rPr>
        <w:t>。</w:t>
      </w:r>
    </w:p>
    <w:p>
      <w:pPr>
        <w:shd w:val="clear"/>
        <w:spacing w:line="440" w:lineRule="exact"/>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表5.2-</w:t>
      </w:r>
      <w:r>
        <w:rPr>
          <w:rFonts w:hint="default" w:ascii="Times New Roman" w:hAnsi="Times New Roman" w:eastAsia="宋体"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rPr>
        <w:t xml:space="preserve">  大气污染物年排放量核算表</w:t>
      </w:r>
    </w:p>
    <w:tbl>
      <w:tblPr>
        <w:tblStyle w:val="90"/>
        <w:tblW w:w="8277"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2834"/>
        <w:gridCol w:w="2834"/>
        <w:gridCol w:w="2836"/>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2834"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834"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36"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年排放量/（t/a）</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2834"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834"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2836"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12.22</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2834"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834" w:type="dxa"/>
            <w:tcBorders>
              <w:top w:val="single" w:color="auto" w:sz="4" w:space="0"/>
              <w:left w:val="single" w:color="auto" w:sz="4" w:space="0"/>
              <w:bottom w:val="single" w:color="auto" w:sz="4" w:space="0"/>
              <w:right w:val="single" w:color="auto" w:sz="4" w:space="0"/>
              <w:tl2br w:val="nil"/>
              <w:tr2bl w:val="nil"/>
            </w:tcBorders>
            <w:noWrap/>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2836"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3.84</w:t>
            </w:r>
          </w:p>
        </w:tc>
      </w:tr>
    </w:tbl>
    <w:p>
      <w:pPr>
        <w:bidi w:val="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表5.2</w:t>
      </w:r>
      <w:r>
        <w:rPr>
          <w:rFonts w:hint="default" w:ascii="Times New Roman" w:hAnsi="Times New Roman" w:eastAsia="宋体" w:cs="Times New Roman"/>
          <w:b/>
          <w:bCs/>
          <w:color w:val="auto"/>
          <w:sz w:val="24"/>
          <w:szCs w:val="32"/>
          <w:lang w:val="en-US" w:eastAsia="zh-CN"/>
        </w:rPr>
        <w:t>-10</w:t>
      </w:r>
      <w:r>
        <w:rPr>
          <w:rFonts w:hint="default" w:ascii="Times New Roman" w:hAnsi="Times New Roman" w:eastAsia="宋体" w:cs="Times New Roman"/>
          <w:b/>
          <w:bCs/>
          <w:color w:val="auto"/>
          <w:sz w:val="24"/>
          <w:szCs w:val="32"/>
        </w:rPr>
        <w:t xml:space="preserve">  大气污染物年排放量核算表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091"/>
        <w:gridCol w:w="1123"/>
        <w:gridCol w:w="582"/>
        <w:gridCol w:w="248"/>
        <w:gridCol w:w="277"/>
        <w:gridCol w:w="972"/>
        <w:gridCol w:w="408"/>
        <w:gridCol w:w="607"/>
        <w:gridCol w:w="169"/>
        <w:gridCol w:w="40"/>
        <w:gridCol w:w="470"/>
        <w:gridCol w:w="559"/>
        <w:gridCol w:w="42"/>
        <w:gridCol w:w="255"/>
        <w:gridCol w:w="316"/>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dxa"/>
            <w:gridSpan w:val="2"/>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工作内容</w:t>
            </w:r>
          </w:p>
        </w:tc>
        <w:tc>
          <w:tcPr>
            <w:tcW w:w="6642" w:type="dxa"/>
            <w:gridSpan w:val="1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评价等级与范围</w:t>
            </w: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评价等级</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一级</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r>
              <w:rPr>
                <w:rFonts w:hint="default" w:ascii="Times New Roman" w:hAnsi="Times New Roman" w:eastAsia="宋体" w:cs="Times New Roman"/>
                <w:color w:val="auto"/>
                <w:sz w:val="21"/>
                <w:szCs w:val="21"/>
                <w:highlight w:val="none"/>
              </w:rPr>
              <w:t xml:space="preserve"> </w:t>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二级</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r>
              <w:rPr>
                <w:rFonts w:hint="default" w:ascii="Times New Roman" w:hAnsi="Times New Roman" w:eastAsia="宋体" w:cs="Times New Roman"/>
                <w:color w:val="auto"/>
                <w:sz w:val="21"/>
                <w:szCs w:val="21"/>
                <w:highlight w:val="none"/>
              </w:rPr>
              <w:t xml:space="preserve"> </w:t>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三级</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r>
              <w:rPr>
                <w:rFonts w:hint="default" w:ascii="Times New Roman" w:hAnsi="Times New Roman" w:eastAsia="宋体" w:cs="Times New Roman"/>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评价范围</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边长=50km</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边长5～50km</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边长=5km</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评价因子</w:t>
            </w: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SO</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lang w:val="en-US"/>
              </w:rPr>
              <w:t>+NOx排放量</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≥2000t/a</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500～2000t/a</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＜500t/a</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评价因子</w:t>
            </w:r>
          </w:p>
        </w:tc>
        <w:tc>
          <w:tcPr>
            <w:tcW w:w="4217" w:type="dxa"/>
            <w:gridSpan w:val="7"/>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基本污染物（SO</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rPr>
              <w:t>NO</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rPr>
              <w:t>PM</w:t>
            </w:r>
            <w:r>
              <w:rPr>
                <w:rFonts w:hint="default" w:ascii="Times New Roman" w:hAnsi="Times New Roman" w:eastAsia="宋体" w:cs="Times New Roman"/>
                <w:color w:val="auto"/>
                <w:sz w:val="21"/>
                <w:szCs w:val="21"/>
                <w:highlight w:val="none"/>
                <w:vertAlign w:val="subscript"/>
                <w:lang w:val="en-US"/>
              </w:rPr>
              <w:t>10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rPr>
              <w:t>PM</w:t>
            </w:r>
            <w:r>
              <w:rPr>
                <w:rFonts w:hint="default" w:ascii="Times New Roman" w:hAnsi="Times New Roman" w:eastAsia="宋体" w:cs="Times New Roman"/>
                <w:color w:val="auto"/>
                <w:sz w:val="21"/>
                <w:szCs w:val="21"/>
                <w:highlight w:val="none"/>
                <w:vertAlign w:val="subscript"/>
                <w:lang w:val="en-US"/>
              </w:rPr>
              <w:t>2.5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rPr>
              <w:t>CO</w:t>
            </w:r>
            <w:r>
              <w:rPr>
                <w:rFonts w:hint="default" w:ascii="Times New Roman" w:hAnsi="Times New Roman" w:eastAsia="宋体" w:cs="Times New Roman"/>
                <w:color w:val="auto"/>
                <w:sz w:val="21"/>
                <w:szCs w:val="21"/>
                <w:highlight w:val="none"/>
              </w:rPr>
              <w:t>和</w:t>
            </w:r>
            <w:r>
              <w:rPr>
                <w:rFonts w:hint="default" w:ascii="Times New Roman" w:hAnsi="Times New Roman" w:eastAsia="宋体" w:cs="Times New Roman"/>
                <w:color w:val="auto"/>
                <w:sz w:val="21"/>
                <w:szCs w:val="21"/>
                <w:highlight w:val="none"/>
                <w:lang w:val="en-US"/>
              </w:rPr>
              <w:t>O</w:t>
            </w:r>
            <w:r>
              <w:rPr>
                <w:rFonts w:hint="default" w:ascii="Times New Roman" w:hAnsi="Times New Roman" w:eastAsia="宋体" w:cs="Times New Roman"/>
                <w:color w:val="auto"/>
                <w:sz w:val="21"/>
                <w:szCs w:val="21"/>
                <w:highlight w:val="none"/>
                <w:vertAlign w:val="subscript"/>
                <w:lang w:val="en-US"/>
              </w:rPr>
              <w:t>3</w:t>
            </w:r>
            <w:r>
              <w:rPr>
                <w:rFonts w:hint="default" w:ascii="Times New Roman" w:hAnsi="Times New Roman" w:eastAsia="宋体" w:cs="Times New Roman"/>
                <w:color w:val="auto"/>
                <w:sz w:val="21"/>
                <w:szCs w:val="21"/>
                <w:highlight w:val="none"/>
                <w:lang w:val="en-US"/>
              </w:rPr>
              <w:t>）</w:t>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其他污染物（</w:t>
            </w:r>
            <w:r>
              <w:rPr>
                <w:rFonts w:hint="default" w:ascii="Times New Roman" w:hAnsi="Times New Roman" w:eastAsia="宋体" w:cs="Times New Roman"/>
                <w:color w:val="auto"/>
                <w:sz w:val="21"/>
                <w:szCs w:val="21"/>
                <w:highlight w:val="none"/>
                <w:lang w:val="en-US" w:eastAsia="zh-CN"/>
              </w:rPr>
              <w:t>TSP、</w:t>
            </w:r>
            <w:r>
              <w:rPr>
                <w:rFonts w:hint="default" w:ascii="Times New Roman" w:hAnsi="Times New Roman" w:eastAsia="宋体" w:cs="Times New Roman"/>
                <w:color w:val="auto"/>
                <w:sz w:val="21"/>
                <w:szCs w:val="21"/>
                <w:highlight w:val="none"/>
              </w:rPr>
              <w:t>非甲烷总烃</w:t>
            </w:r>
            <w:r>
              <w:rPr>
                <w:rFonts w:hint="default" w:ascii="Times New Roman" w:hAnsi="Times New Roman" w:eastAsia="宋体" w:cs="Times New Roman"/>
                <w:color w:val="auto"/>
                <w:sz w:val="21"/>
                <w:szCs w:val="21"/>
                <w:highlight w:val="none"/>
                <w:lang w:val="en-US"/>
              </w:rPr>
              <w:t>）</w:t>
            </w:r>
          </w:p>
        </w:tc>
        <w:tc>
          <w:tcPr>
            <w:tcW w:w="2425" w:type="dxa"/>
            <w:gridSpan w:val="8"/>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lang w:val="en-US"/>
              </w:rPr>
              <w:t>包括二次PM</w:t>
            </w:r>
            <w:r>
              <w:rPr>
                <w:rFonts w:hint="default" w:ascii="Times New Roman" w:hAnsi="Times New Roman" w:eastAsia="宋体" w:cs="Times New Roman"/>
                <w:color w:val="auto"/>
                <w:sz w:val="21"/>
                <w:szCs w:val="21"/>
                <w:highlight w:val="none"/>
                <w:vertAlign w:val="subscript"/>
                <w:lang w:val="en-US"/>
              </w:rPr>
              <w:t>2.5</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lang w:val="en-US"/>
              </w:rPr>
              <w:instrText xml:space="preserve"> eq \o\ac(</w:instrText>
            </w:r>
            <w:r>
              <w:rPr>
                <w:rFonts w:hint="default" w:ascii="Times New Roman" w:hAnsi="Times New Roman" w:eastAsia="宋体" w:cs="Times New Roman"/>
                <w:b/>
                <w:color w:val="auto"/>
                <w:position w:val="-4"/>
                <w:sz w:val="31"/>
                <w:szCs w:val="21"/>
                <w:highlight w:val="none"/>
                <w:lang w:val="en-US"/>
              </w:rPr>
              <w:instrText xml:space="preserve">□</w:instrText>
            </w:r>
            <w:r>
              <w:rPr>
                <w:rFonts w:hint="default" w:ascii="Times New Roman" w:hAnsi="Times New Roman" w:eastAsia="宋体" w:cs="Times New Roman"/>
                <w:b/>
                <w:color w:val="auto"/>
                <w:position w:val="0"/>
                <w:sz w:val="21"/>
                <w:szCs w:val="21"/>
                <w:highlight w:val="none"/>
                <w:lang w:val="en-US"/>
              </w:rPr>
              <w:instrText xml:space="preserve">)</w:instrText>
            </w:r>
            <w:r>
              <w:rPr>
                <w:rFonts w:hint="default" w:ascii="Times New Roman" w:hAnsi="Times New Roman" w:eastAsia="宋体" w:cs="Times New Roman"/>
                <w:b/>
                <w:color w:val="auto"/>
                <w:sz w:val="21"/>
                <w:szCs w:val="21"/>
                <w:highlight w:val="none"/>
              </w:rPr>
              <w:fldChar w:fldCharType="end"/>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不包括二次PM</w:t>
            </w:r>
            <w:r>
              <w:rPr>
                <w:rFonts w:hint="default" w:ascii="Times New Roman" w:hAnsi="Times New Roman" w:eastAsia="宋体" w:cs="Times New Roman"/>
                <w:color w:val="auto"/>
                <w:sz w:val="21"/>
                <w:szCs w:val="21"/>
                <w:highlight w:val="none"/>
                <w:vertAlign w:val="subscript"/>
                <w:lang w:val="en-US"/>
              </w:rPr>
              <w:t>2.5</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lang w:val="en-US"/>
              </w:rPr>
              <w:instrText xml:space="preserve"> eq \o\ac(</w:instrText>
            </w:r>
            <w:r>
              <w:rPr>
                <w:rFonts w:hint="default" w:ascii="Times New Roman" w:hAnsi="Times New Roman" w:eastAsia="宋体" w:cs="Times New Roman"/>
                <w:b/>
                <w:color w:val="auto"/>
                <w:position w:val="-4"/>
                <w:sz w:val="31"/>
                <w:szCs w:val="21"/>
                <w:highlight w:val="none"/>
                <w:lang w:val="en-US"/>
              </w:rPr>
              <w:instrText xml:space="preserve">□</w:instrText>
            </w:r>
            <w:r>
              <w:rPr>
                <w:rFonts w:hint="default" w:ascii="Times New Roman" w:hAnsi="Times New Roman" w:eastAsia="宋体" w:cs="Times New Roman"/>
                <w:b/>
                <w:color w:val="auto"/>
                <w:position w:val="0"/>
                <w:sz w:val="21"/>
                <w:szCs w:val="21"/>
                <w:highlight w:val="none"/>
                <w:lang w:val="en-US"/>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评价标准</w:t>
            </w: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评价标准</w:t>
            </w:r>
          </w:p>
        </w:tc>
        <w:tc>
          <w:tcPr>
            <w:tcW w:w="1953" w:type="dxa"/>
            <w:gridSpan w:val="3"/>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国家标准</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264"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地方标准</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280"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附录D</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145" w:type="dxa"/>
            <w:gridSpan w:val="3"/>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其他标准</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现状评价</w:t>
            </w: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环境功能区</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一类区</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二类区</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一类区和二类区</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评价基准年</w:t>
            </w:r>
          </w:p>
        </w:tc>
        <w:tc>
          <w:tcPr>
            <w:tcW w:w="6642" w:type="dxa"/>
            <w:gridSpan w:val="1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环境空气质量现状调查数据来源</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长期例行监测数据</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主管部门发布的数据</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现状补充监测</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现状评价</w:t>
            </w:r>
          </w:p>
        </w:tc>
        <w:tc>
          <w:tcPr>
            <w:tcW w:w="4426" w:type="dxa"/>
            <w:gridSpan w:val="9"/>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达标区</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21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不达标区</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污染源调查</w:t>
            </w: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调查内容</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本项目正常排放源</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本项目非正常排放源</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现有排放源</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19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拟替代的污染源</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326"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其他在建、拟建项目污染源</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890" w:type="dxa"/>
            <w:gridSpan w:val="2"/>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区域污染源</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大气环境影响预测与评价</w:t>
            </w: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预测模型</w:t>
            </w:r>
          </w:p>
        </w:tc>
        <w:tc>
          <w:tcPr>
            <w:tcW w:w="1123"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AERMOD</w:t>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830" w:type="dxa"/>
            <w:gridSpan w:val="2"/>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ADMS</w:t>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249" w:type="dxa"/>
            <w:gridSpan w:val="2"/>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AUSTAL2000</w:t>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224"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EDMS/AEDT</w:t>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071" w:type="dxa"/>
            <w:gridSpan w:val="3"/>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CALPUFF</w:t>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571" w:type="dxa"/>
            <w:gridSpan w:val="2"/>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网络模型</w:t>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574"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其他</w:t>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预测范围</w:t>
            </w:r>
          </w:p>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边长≥50km</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边长5～50km</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边长=5km</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预测因子</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预测因子（</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lang w:val="en-US"/>
              </w:rPr>
              <w:t>非甲烷总烃）</w:t>
            </w:r>
          </w:p>
        </w:tc>
        <w:tc>
          <w:tcPr>
            <w:tcW w:w="4412" w:type="dxa"/>
            <w:gridSpan w:val="11"/>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lang w:val="en-US"/>
              </w:rPr>
              <w:t>包括二次PM</w:t>
            </w:r>
            <w:r>
              <w:rPr>
                <w:rFonts w:hint="default" w:ascii="Times New Roman" w:hAnsi="Times New Roman" w:eastAsia="宋体" w:cs="Times New Roman"/>
                <w:color w:val="auto"/>
                <w:sz w:val="21"/>
                <w:szCs w:val="21"/>
                <w:highlight w:val="none"/>
                <w:vertAlign w:val="subscript"/>
                <w:lang w:val="en-US"/>
              </w:rPr>
              <w:t>2.5</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lang w:val="en-US"/>
              </w:rPr>
              <w:instrText xml:space="preserve"> eq \o\ac(</w:instrText>
            </w:r>
            <w:r>
              <w:rPr>
                <w:rFonts w:hint="default" w:ascii="Times New Roman" w:hAnsi="Times New Roman" w:eastAsia="宋体" w:cs="Times New Roman"/>
                <w:b/>
                <w:color w:val="auto"/>
                <w:position w:val="-4"/>
                <w:sz w:val="31"/>
                <w:szCs w:val="21"/>
                <w:highlight w:val="none"/>
                <w:lang w:val="en-US"/>
              </w:rPr>
              <w:instrText xml:space="preserve">□</w:instrText>
            </w:r>
            <w:r>
              <w:rPr>
                <w:rFonts w:hint="default" w:ascii="Times New Roman" w:hAnsi="Times New Roman" w:eastAsia="宋体" w:cs="Times New Roman"/>
                <w:b/>
                <w:color w:val="auto"/>
                <w:position w:val="0"/>
                <w:sz w:val="21"/>
                <w:szCs w:val="21"/>
                <w:highlight w:val="none"/>
                <w:lang w:val="en-US"/>
              </w:rPr>
              <w:instrText xml:space="preserve">)</w:instrText>
            </w:r>
            <w:r>
              <w:rPr>
                <w:rFonts w:hint="default" w:ascii="Times New Roman" w:hAnsi="Times New Roman" w:eastAsia="宋体" w:cs="Times New Roman"/>
                <w:b/>
                <w:color w:val="auto"/>
                <w:sz w:val="21"/>
                <w:szCs w:val="21"/>
                <w:highlight w:val="none"/>
              </w:rPr>
              <w:fldChar w:fldCharType="end"/>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不包括二次PM</w:t>
            </w:r>
            <w:r>
              <w:rPr>
                <w:rFonts w:hint="default" w:ascii="Times New Roman" w:hAnsi="Times New Roman" w:eastAsia="宋体" w:cs="Times New Roman"/>
                <w:color w:val="auto"/>
                <w:sz w:val="21"/>
                <w:szCs w:val="21"/>
                <w:highlight w:val="none"/>
                <w:vertAlign w:val="subscript"/>
                <w:lang w:val="en-US"/>
              </w:rPr>
              <w:t>2.5</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lang w:val="en-US"/>
              </w:rPr>
              <w:instrText xml:space="preserve"> eq \o\ac(</w:instrText>
            </w:r>
            <w:r>
              <w:rPr>
                <w:rFonts w:hint="default" w:ascii="Times New Roman" w:hAnsi="Times New Roman" w:eastAsia="宋体" w:cs="Times New Roman"/>
                <w:b/>
                <w:color w:val="auto"/>
                <w:position w:val="-4"/>
                <w:sz w:val="31"/>
                <w:szCs w:val="21"/>
                <w:highlight w:val="none"/>
                <w:lang w:val="en-US"/>
              </w:rPr>
              <w:instrText xml:space="preserve">□</w:instrText>
            </w:r>
            <w:r>
              <w:rPr>
                <w:rFonts w:hint="default" w:ascii="Times New Roman" w:hAnsi="Times New Roman" w:eastAsia="宋体" w:cs="Times New Roman"/>
                <w:b/>
                <w:color w:val="auto"/>
                <w:position w:val="0"/>
                <w:sz w:val="21"/>
                <w:szCs w:val="21"/>
                <w:highlight w:val="none"/>
                <w:lang w:val="en-US" w:eastAsia="zh-CN"/>
              </w:rPr>
              <w:instrText xml:space="preserve">,√</w:instrText>
            </w:r>
            <w:r>
              <w:rPr>
                <w:rFonts w:hint="default" w:ascii="Times New Roman" w:hAnsi="Times New Roman" w:eastAsia="宋体" w:cs="Times New Roman"/>
                <w:b/>
                <w:color w:val="auto"/>
                <w:position w:val="0"/>
                <w:sz w:val="21"/>
                <w:szCs w:val="21"/>
                <w:highlight w:val="none"/>
                <w:lang w:val="en-US"/>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正常排放短期浓度贡献值</w:t>
            </w:r>
          </w:p>
        </w:tc>
        <w:tc>
          <w:tcPr>
            <w:tcW w:w="4896" w:type="dxa"/>
            <w:gridSpan w:val="10"/>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本项目</w:t>
            </w:r>
            <w:r>
              <w:rPr>
                <w:rFonts w:hint="default" w:ascii="Times New Roman" w:hAnsi="Times New Roman" w:eastAsia="宋体" w:cs="Times New Roman"/>
                <w:color w:val="auto"/>
                <w:sz w:val="21"/>
                <w:szCs w:val="21"/>
                <w:highlight w:val="none"/>
                <w:lang w:val="en-US"/>
              </w:rPr>
              <w:t>最大占标率≤100%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本项目</w:t>
            </w:r>
            <w:r>
              <w:rPr>
                <w:rFonts w:hint="default" w:ascii="Times New Roman" w:hAnsi="Times New Roman" w:eastAsia="宋体" w:cs="Times New Roman"/>
                <w:color w:val="auto"/>
                <w:sz w:val="21"/>
                <w:szCs w:val="21"/>
                <w:highlight w:val="none"/>
                <w:lang w:val="en-US"/>
              </w:rPr>
              <w:t>最大占标率＞100%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vMerge w:val="restart"/>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正常排放年均浓度贡献值</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一类区</w:t>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本项目</w:t>
            </w:r>
            <w:r>
              <w:rPr>
                <w:rFonts w:hint="default" w:ascii="Times New Roman" w:hAnsi="Times New Roman" w:eastAsia="宋体" w:cs="Times New Roman"/>
                <w:color w:val="auto"/>
                <w:sz w:val="21"/>
                <w:szCs w:val="21"/>
                <w:highlight w:val="none"/>
                <w:lang w:val="en-US"/>
              </w:rPr>
              <w:t>最大占标率≤10%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本项目</w:t>
            </w:r>
            <w:r>
              <w:rPr>
                <w:rFonts w:hint="default" w:ascii="Times New Roman" w:hAnsi="Times New Roman" w:eastAsia="宋体" w:cs="Times New Roman"/>
                <w:color w:val="auto"/>
                <w:sz w:val="21"/>
                <w:szCs w:val="21"/>
                <w:highlight w:val="none"/>
                <w:lang w:val="en-US"/>
              </w:rPr>
              <w:t>最大占标率＞10%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二类区</w:t>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本项目</w:t>
            </w:r>
            <w:r>
              <w:rPr>
                <w:rFonts w:hint="default" w:ascii="Times New Roman" w:hAnsi="Times New Roman" w:eastAsia="宋体" w:cs="Times New Roman"/>
                <w:color w:val="auto"/>
                <w:sz w:val="21"/>
                <w:szCs w:val="21"/>
                <w:highlight w:val="none"/>
                <w:lang w:val="en-US"/>
              </w:rPr>
              <w:t>最大占标率≤30%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本项目</w:t>
            </w:r>
            <w:r>
              <w:rPr>
                <w:rFonts w:hint="default" w:ascii="Times New Roman" w:hAnsi="Times New Roman" w:eastAsia="宋体" w:cs="Times New Roman"/>
                <w:color w:val="auto"/>
                <w:sz w:val="21"/>
                <w:szCs w:val="21"/>
                <w:highlight w:val="none"/>
                <w:lang w:val="en-US"/>
              </w:rPr>
              <w:t>最大占标率＞30%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非正常排放1h浓度贡献值</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非正常持续时长（）h</w:t>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非正常</w:t>
            </w:r>
            <w:r>
              <w:rPr>
                <w:rFonts w:hint="default" w:ascii="Times New Roman" w:hAnsi="Times New Roman" w:eastAsia="宋体" w:cs="Times New Roman"/>
                <w:color w:val="auto"/>
                <w:sz w:val="21"/>
                <w:szCs w:val="21"/>
                <w:highlight w:val="none"/>
                <w:lang w:val="en-US"/>
              </w:rPr>
              <w:t>占标率≤100%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非正常</w:t>
            </w:r>
            <w:r>
              <w:rPr>
                <w:rFonts w:hint="default" w:ascii="Times New Roman" w:hAnsi="Times New Roman" w:eastAsia="宋体" w:cs="Times New Roman"/>
                <w:color w:val="auto"/>
                <w:sz w:val="21"/>
                <w:szCs w:val="21"/>
                <w:highlight w:val="none"/>
                <w:lang w:val="en-US"/>
              </w:rPr>
              <w:t>占标率＞100%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保证率日平均浓度和年平均浓度叠加值</w:t>
            </w:r>
          </w:p>
        </w:tc>
        <w:tc>
          <w:tcPr>
            <w:tcW w:w="4386" w:type="dxa"/>
            <w:gridSpan w:val="8"/>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叠加</w:t>
            </w:r>
            <w:r>
              <w:rPr>
                <w:rFonts w:hint="default" w:ascii="Times New Roman" w:hAnsi="Times New Roman" w:eastAsia="宋体" w:cs="Times New Roman"/>
                <w:color w:val="auto"/>
                <w:sz w:val="21"/>
                <w:szCs w:val="21"/>
                <w:highlight w:val="none"/>
                <w:lang w:val="en-US"/>
              </w:rPr>
              <w:t>达标</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256" w:type="dxa"/>
            <w:gridSpan w:val="7"/>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C</w:t>
            </w:r>
            <w:r>
              <w:rPr>
                <w:rFonts w:hint="default" w:ascii="Times New Roman" w:hAnsi="Times New Roman" w:eastAsia="宋体" w:cs="Times New Roman"/>
                <w:color w:val="auto"/>
                <w:sz w:val="21"/>
                <w:szCs w:val="21"/>
                <w:highlight w:val="none"/>
                <w:vertAlign w:val="subscript"/>
                <w:lang w:val="en-US"/>
              </w:rPr>
              <w:t>叠加</w:t>
            </w:r>
            <w:r>
              <w:rPr>
                <w:rFonts w:hint="default" w:ascii="Times New Roman" w:hAnsi="Times New Roman" w:eastAsia="宋体" w:cs="Times New Roman"/>
                <w:color w:val="auto"/>
                <w:sz w:val="21"/>
                <w:szCs w:val="21"/>
                <w:highlight w:val="none"/>
                <w:lang w:val="en-US"/>
              </w:rPr>
              <w:t>不达标</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区域环境质量的整体变化情况</w:t>
            </w:r>
          </w:p>
        </w:tc>
        <w:tc>
          <w:tcPr>
            <w:tcW w:w="4386" w:type="dxa"/>
            <w:gridSpan w:val="8"/>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k≤-20%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2256" w:type="dxa"/>
            <w:gridSpan w:val="7"/>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k＞-20%</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环境监测计划</w:t>
            </w: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污染源监测</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监测因子：（</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lang w:val="en-US"/>
              </w:rPr>
              <w:t>非甲烷总烃）</w:t>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有组织废气监测</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无组织废气监测</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无监测</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环境质量监测</w:t>
            </w:r>
          </w:p>
        </w:tc>
        <w:tc>
          <w:tcPr>
            <w:tcW w:w="2230"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监测因子：（）</w:t>
            </w:r>
          </w:p>
        </w:tc>
        <w:tc>
          <w:tcPr>
            <w:tcW w:w="2666" w:type="dxa"/>
            <w:gridSpan w:val="6"/>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监测点位数（）</w:t>
            </w:r>
          </w:p>
        </w:tc>
        <w:tc>
          <w:tcPr>
            <w:tcW w:w="1746"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无监测</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评价结论</w:t>
            </w: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环境影响</w:t>
            </w:r>
          </w:p>
        </w:tc>
        <w:tc>
          <w:tcPr>
            <w:tcW w:w="6642" w:type="dxa"/>
            <w:gridSpan w:val="1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可以接受</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lang w:eastAsia="zh-CN"/>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r>
              <w:rPr>
                <w:rFonts w:hint="default" w:ascii="Times New Roman" w:hAnsi="Times New Roman" w:eastAsia="宋体" w:cs="Times New Roman"/>
                <w:color w:val="auto"/>
                <w:sz w:val="21"/>
                <w:szCs w:val="21"/>
                <w:highlight w:val="none"/>
                <w:lang w:val="en-US"/>
              </w:rPr>
              <w:t xml:space="preserve">        不可以接受</w:t>
            </w:r>
            <w:r>
              <w:rPr>
                <w:rFonts w:hint="default" w:ascii="Times New Roman" w:hAnsi="Times New Roman" w:eastAsia="宋体" w:cs="Times New Roman"/>
                <w:b/>
                <w:color w:val="auto"/>
                <w:sz w:val="21"/>
                <w:szCs w:val="21"/>
                <w:highlight w:val="none"/>
              </w:rPr>
              <w:fldChar w:fldCharType="begin"/>
            </w:r>
            <w:r>
              <w:rPr>
                <w:rFonts w:hint="default" w:ascii="Times New Roman" w:hAnsi="Times New Roman" w:eastAsia="宋体" w:cs="Times New Roman"/>
                <w:b/>
                <w:color w:val="auto"/>
                <w:sz w:val="21"/>
                <w:szCs w:val="21"/>
                <w:highlight w:val="none"/>
              </w:rPr>
              <w:instrText xml:space="preserve"> eq \o\ac(</w:instrText>
            </w:r>
            <w:r>
              <w:rPr>
                <w:rFonts w:hint="default" w:ascii="Times New Roman" w:hAnsi="Times New Roman" w:eastAsia="宋体" w:cs="Times New Roman"/>
                <w:b/>
                <w:color w:val="auto"/>
                <w:position w:val="-4"/>
                <w:sz w:val="31"/>
                <w:szCs w:val="21"/>
                <w:highlight w:val="none"/>
              </w:rPr>
              <w:instrText xml:space="preserve">□</w:instrText>
            </w:r>
            <w:r>
              <w:rPr>
                <w:rFonts w:hint="default" w:ascii="Times New Roman" w:hAnsi="Times New Roman" w:eastAsia="宋体" w:cs="Times New Roman"/>
                <w:b/>
                <w:color w:val="auto"/>
                <w:position w:val="0"/>
                <w:sz w:val="21"/>
                <w:szCs w:val="21"/>
                <w:highlight w:val="none"/>
              </w:rPr>
              <w:instrText xml:space="preserve">)</w:instrText>
            </w:r>
            <w:r>
              <w:rPr>
                <w:rFonts w:hint="default" w:ascii="Times New Roman" w:hAnsi="Times New Roman" w:eastAsia="宋体" w:cs="Times New Roman"/>
                <w:b/>
                <w:color w:val="auto"/>
                <w:sz w:val="2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大气环境防护距离</w:t>
            </w:r>
          </w:p>
        </w:tc>
        <w:tc>
          <w:tcPr>
            <w:tcW w:w="6642" w:type="dxa"/>
            <w:gridSpan w:val="1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p>
        </w:tc>
        <w:tc>
          <w:tcPr>
            <w:tcW w:w="1091" w:type="dxa"/>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污染源年排放量</w:t>
            </w:r>
          </w:p>
        </w:tc>
        <w:tc>
          <w:tcPr>
            <w:tcW w:w="1705" w:type="dxa"/>
            <w:gridSpan w:val="2"/>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SO</w:t>
            </w:r>
            <w:r>
              <w:rPr>
                <w:rFonts w:hint="default" w:ascii="Times New Roman" w:hAnsi="Times New Roman" w:eastAsia="宋体" w:cs="Times New Roman"/>
                <w:color w:val="auto"/>
                <w:sz w:val="21"/>
                <w:szCs w:val="21"/>
                <w:highlight w:val="none"/>
                <w:vertAlign w:val="subscript"/>
                <w:lang w:val="en-US"/>
              </w:rPr>
              <w:t>2</w:t>
            </w:r>
            <w:r>
              <w:rPr>
                <w:rFonts w:hint="default" w:ascii="Times New Roman" w:hAnsi="Times New Roman" w:eastAsia="宋体" w:cs="Times New Roman"/>
                <w:color w:val="auto"/>
                <w:sz w:val="21"/>
                <w:szCs w:val="21"/>
                <w:highlight w:val="none"/>
                <w:lang w:val="en-US"/>
              </w:rPr>
              <w:t>：（）t/a</w:t>
            </w:r>
          </w:p>
        </w:tc>
        <w:tc>
          <w:tcPr>
            <w:tcW w:w="1905"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NOx：（）t/a</w:t>
            </w:r>
          </w:p>
        </w:tc>
        <w:tc>
          <w:tcPr>
            <w:tcW w:w="1845" w:type="dxa"/>
            <w:gridSpan w:val="5"/>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颗粒物：（</w:t>
            </w:r>
            <w:r>
              <w:rPr>
                <w:rFonts w:hint="default" w:ascii="Times New Roman" w:hAnsi="Times New Roman" w:eastAsia="宋体" w:cs="Times New Roman"/>
                <w:color w:val="auto"/>
                <w:sz w:val="21"/>
                <w:szCs w:val="21"/>
                <w:highlight w:val="none"/>
                <w:lang w:val="en-US" w:eastAsia="zh-CN"/>
              </w:rPr>
              <w:t>3.84</w:t>
            </w:r>
            <w:r>
              <w:rPr>
                <w:rFonts w:hint="default" w:ascii="Times New Roman" w:hAnsi="Times New Roman" w:eastAsia="宋体" w:cs="Times New Roman"/>
                <w:color w:val="auto"/>
                <w:sz w:val="21"/>
                <w:szCs w:val="21"/>
                <w:highlight w:val="none"/>
                <w:lang w:val="en-US"/>
              </w:rPr>
              <w:t>）t/a</w:t>
            </w:r>
          </w:p>
        </w:tc>
        <w:tc>
          <w:tcPr>
            <w:tcW w:w="1187" w:type="dxa"/>
            <w:gridSpan w:val="4"/>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VOCs：（12.22）t/a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7" w:type="dxa"/>
            <w:gridSpan w:val="17"/>
            <w:tcBorders>
              <w:tl2br w:val="nil"/>
              <w:tr2bl w:val="nil"/>
            </w:tcBorders>
            <w:vAlign w:val="center"/>
          </w:tcPr>
          <w:p>
            <w:pPr>
              <w:shd w:val="clear"/>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407035</wp:posOffset>
                      </wp:positionH>
                      <wp:positionV relativeFrom="paragraph">
                        <wp:posOffset>48895</wp:posOffset>
                      </wp:positionV>
                      <wp:extent cx="115570" cy="93980"/>
                      <wp:effectExtent l="6350" t="6350" r="11430" b="13970"/>
                      <wp:wrapNone/>
                      <wp:docPr id="139" name="矩形 139"/>
                      <wp:cNvGraphicFramePr/>
                      <a:graphic xmlns:a="http://schemas.openxmlformats.org/drawingml/2006/main">
                        <a:graphicData uri="http://schemas.microsoft.com/office/word/2010/wordprocessingShape">
                          <wps:wsp>
                            <wps:cNvSpPr/>
                            <wps:spPr>
                              <a:xfrm>
                                <a:off x="0" y="0"/>
                                <a:ext cx="115570" cy="93980"/>
                              </a:xfrm>
                              <a:prstGeom prst="rect">
                                <a:avLst/>
                              </a:prstGeom>
                              <a:noFill/>
                              <a:ln w="12700" cap="flat" cmpd="sng" algn="ctr">
                                <a:solidFill>
                                  <a:srgbClr val="000000"/>
                                </a:solidFill>
                                <a:prstDash val="solid"/>
                              </a:ln>
                              <a:effectLst/>
                            </wps:spPr>
                            <wps:txb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05pt;margin-top:3.85pt;height:7.4pt;width:9.1pt;z-index:251665408;v-text-anchor:middle;mso-width-relative:page;mso-height-relative:page;" filled="f" stroked="t" coordsize="21600,21600" o:gfxdata="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gqju9YAAAAGAQAADwAAAAAAAAABACAAAAAiAAAAZHJzL2Rvd25yZXYueG1sUEsB&#10;AhQAFAAAAAgAh07iQG3Lb5BpAgAAzwQAAA4AAAAAAAAAAQAgAAAAJQEAAGRycy9lMm9Eb2MueG1s&#10;UEsFBgAAAAAGAAYAWQEAAAAGAAAAAA==&#10;">
                      <v:fill on="f" focussize="0,0"/>
                      <v:stroke weight="1pt" color="#000000" joinstyle="round"/>
                      <v:imagedata o:title=""/>
                      <o:lock v:ext="edit" aspectratio="f"/>
                      <v:textbox>
                        <w:txbxContent>
                          <w:p>
                            <w:pPr>
                              <w:jc w:val="cente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rect>
                  </w:pict>
                </mc:Fallback>
              </mc:AlternateContent>
            </w:r>
            <w:r>
              <w:rPr>
                <w:rFonts w:hint="default" w:ascii="Times New Roman" w:hAnsi="Times New Roman" w:eastAsia="宋体" w:cs="Times New Roman"/>
                <w:color w:val="auto"/>
                <w:sz w:val="21"/>
                <w:szCs w:val="21"/>
                <w:highlight w:val="none"/>
                <w:lang w:val="en-US"/>
              </w:rPr>
              <w:t>注：“”为勾选项，填“√”；“（）”为内容填写项。</w:t>
            </w:r>
          </w:p>
        </w:tc>
      </w:tr>
      <w:bookmarkEnd w:id="259"/>
    </w:tbl>
    <w:p>
      <w:pPr>
        <w:pStyle w:val="5"/>
        <w:bidi w:val="0"/>
        <w:rPr>
          <w:rFonts w:hint="default" w:ascii="Times New Roman" w:hAnsi="Times New Roman" w:eastAsia="宋体" w:cs="Times New Roman"/>
          <w:color w:val="auto"/>
        </w:rPr>
      </w:pPr>
      <w:bookmarkStart w:id="260" w:name="_Toc158007205"/>
      <w:bookmarkStart w:id="261" w:name="_Toc330920010"/>
      <w:bookmarkStart w:id="262" w:name="_Toc464475423"/>
      <w:bookmarkStart w:id="263" w:name="_Toc5316"/>
      <w:bookmarkStart w:id="264" w:name="_Toc214963810"/>
      <w:bookmarkStart w:id="265" w:name="_Toc158007206"/>
      <w:bookmarkStart w:id="266" w:name="_Toc327383136"/>
      <w:bookmarkStart w:id="267" w:name="_Toc150742735"/>
      <w:r>
        <w:rPr>
          <w:rFonts w:hint="default" w:ascii="Times New Roman" w:hAnsi="Times New Roman" w:eastAsia="宋体" w:cs="Times New Roman"/>
          <w:color w:val="auto"/>
        </w:rPr>
        <w:t>5.</w:t>
      </w:r>
      <w:bookmarkEnd w:id="260"/>
      <w:r>
        <w:rPr>
          <w:rFonts w:hint="default" w:ascii="Times New Roman" w:hAnsi="Times New Roman" w:eastAsia="宋体" w:cs="Times New Roman"/>
          <w:color w:val="auto"/>
        </w:rPr>
        <w:t>3水环境影响分析</w:t>
      </w:r>
      <w:bookmarkEnd w:id="261"/>
      <w:bookmarkEnd w:id="262"/>
      <w:bookmarkEnd w:id="263"/>
      <w:bookmarkEnd w:id="264"/>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5.3.1地表水环境影响分析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TW"/>
        </w:rPr>
        <w:t>造粒生产车间：湿法破碎废水、清洗废水</w:t>
      </w:r>
      <w:r>
        <w:rPr>
          <w:rFonts w:hint="default" w:ascii="Times New Roman" w:hAnsi="Times New Roman" w:eastAsia="宋体" w:cs="Times New Roman"/>
          <w:color w:val="auto"/>
          <w:sz w:val="24"/>
          <w:szCs w:val="24"/>
          <w:highlight w:val="none"/>
          <w:lang w:eastAsia="zh-CN"/>
        </w:rPr>
        <w:t>、甩干废水和</w:t>
      </w:r>
      <w:r>
        <w:rPr>
          <w:rFonts w:hint="default" w:ascii="Times New Roman" w:hAnsi="Times New Roman" w:eastAsia="宋体" w:cs="Times New Roman"/>
          <w:color w:val="auto"/>
          <w:sz w:val="24"/>
          <w:szCs w:val="24"/>
          <w:highlight w:val="none"/>
          <w:lang w:val="en-US" w:eastAsia="zh-CN"/>
        </w:rPr>
        <w:t>造粒冷却水</w:t>
      </w:r>
      <w:r>
        <w:rPr>
          <w:rFonts w:hint="default" w:ascii="Times New Roman" w:hAnsi="Times New Roman" w:eastAsia="宋体" w:cs="Times New Roman"/>
          <w:color w:val="auto"/>
          <w:sz w:val="24"/>
          <w:szCs w:val="24"/>
          <w:highlight w:val="none"/>
          <w:lang w:eastAsia="zh-TW"/>
        </w:rPr>
        <w:t>经</w:t>
      </w:r>
      <w:r>
        <w:rPr>
          <w:rFonts w:hint="default" w:ascii="Times New Roman" w:hAnsi="Times New Roman" w:eastAsia="宋体" w:cs="Times New Roman"/>
          <w:color w:val="auto"/>
          <w:sz w:val="24"/>
          <w:szCs w:val="24"/>
          <w:highlight w:val="none"/>
          <w:lang w:val="en-US" w:eastAsia="zh-CN"/>
        </w:rPr>
        <w:t>三级沉淀池</w:t>
      </w:r>
      <w:r>
        <w:rPr>
          <w:rFonts w:hint="default" w:ascii="Times New Roman" w:hAnsi="Times New Roman" w:eastAsia="宋体" w:cs="Times New Roman"/>
          <w:color w:val="auto"/>
          <w:sz w:val="24"/>
          <w:szCs w:val="24"/>
          <w:highlight w:val="none"/>
          <w:lang w:eastAsia="zh-TW"/>
        </w:rPr>
        <w:t>沉淀后</w:t>
      </w:r>
      <w:r>
        <w:rPr>
          <w:rFonts w:hint="default" w:ascii="Times New Roman" w:hAnsi="Times New Roman" w:eastAsia="宋体" w:cs="Times New Roman"/>
          <w:color w:val="auto"/>
          <w:sz w:val="24"/>
          <w:szCs w:val="24"/>
          <w:highlight w:val="none"/>
          <w:lang w:eastAsia="zh-CN"/>
        </w:rPr>
        <w:t>，上清液回用于湿法破碎用水和清洗用水、</w:t>
      </w:r>
      <w:r>
        <w:rPr>
          <w:rFonts w:hint="default" w:ascii="Times New Roman" w:hAnsi="Times New Roman" w:eastAsia="宋体" w:cs="Times New Roman"/>
          <w:color w:val="auto"/>
          <w:sz w:val="24"/>
          <w:szCs w:val="24"/>
          <w:highlight w:val="none"/>
          <w:lang w:val="en-US" w:eastAsia="zh-CN"/>
        </w:rPr>
        <w:t>造粒冷却水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TW"/>
        </w:rPr>
        <w:t>循环使用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TW"/>
        </w:rPr>
        <w:t>不外排</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）塑料制品生产车间：6条滴灌带生产线，4条PE管材管件生产线冷却水槽内废水收集于冷却水池，经风冷却塔冷却后，回用于冷却水槽内，</w:t>
      </w:r>
      <w:r>
        <w:rPr>
          <w:rFonts w:hint="default" w:ascii="Times New Roman" w:hAnsi="Times New Roman" w:eastAsia="宋体" w:cs="Times New Roman"/>
          <w:color w:val="auto"/>
          <w:sz w:val="24"/>
          <w:szCs w:val="24"/>
          <w:highlight w:val="none"/>
          <w:lang w:eastAsia="zh-TW"/>
        </w:rPr>
        <w:t>循环使用，不外排</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）生活污水排入防渗化粪池内，定期清掏。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厂区对</w:t>
      </w:r>
      <w:r>
        <w:rPr>
          <w:rFonts w:hint="default" w:ascii="Times New Roman" w:hAnsi="Times New Roman" w:eastAsia="宋体" w:cs="Times New Roman"/>
          <w:color w:val="auto"/>
          <w:sz w:val="24"/>
          <w:szCs w:val="24"/>
          <w:highlight w:val="none"/>
          <w:lang w:eastAsia="zh-CN"/>
        </w:rPr>
        <w:t>防渗化粪池</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三级沉淀池、冷却水池</w:t>
      </w:r>
      <w:r>
        <w:rPr>
          <w:rFonts w:hint="default" w:ascii="Times New Roman" w:hAnsi="Times New Roman" w:eastAsia="宋体" w:cs="Times New Roman"/>
          <w:color w:val="auto"/>
          <w:sz w:val="24"/>
          <w:szCs w:val="24"/>
          <w:highlight w:val="none"/>
        </w:rPr>
        <w:t>等均采取了严格的防渗措施，防渗层渗透系数小于1×10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m/s。经采取上述措施后，可以有效减缓和避免废水的下渗。</w:t>
      </w:r>
    </w:p>
    <w:bookmarkEnd w:id="265"/>
    <w:bookmarkEnd w:id="266"/>
    <w:bookmarkEnd w:id="267"/>
    <w:p>
      <w:pPr>
        <w:pStyle w:val="6"/>
        <w:bidi w:val="0"/>
        <w:rPr>
          <w:rFonts w:hint="default" w:ascii="Times New Roman" w:hAnsi="Times New Roman" w:eastAsia="宋体" w:cs="Times New Roman"/>
          <w:color w:val="auto"/>
        </w:rPr>
      </w:pPr>
      <w:bookmarkStart w:id="268" w:name="_Toc272842875"/>
      <w:bookmarkStart w:id="269" w:name="_Toc327383137"/>
      <w:bookmarkStart w:id="270" w:name="_Toc464475425"/>
      <w:r>
        <w:rPr>
          <w:rFonts w:hint="default" w:ascii="Times New Roman" w:hAnsi="Times New Roman" w:eastAsia="宋体" w:cs="Times New Roman"/>
          <w:color w:val="auto"/>
        </w:rPr>
        <w:t>5.3.2</w:t>
      </w:r>
      <w:bookmarkEnd w:id="268"/>
      <w:bookmarkEnd w:id="269"/>
      <w:bookmarkEnd w:id="270"/>
      <w:bookmarkStart w:id="271" w:name="_Toc85010021"/>
      <w:bookmarkStart w:id="272" w:name="_Toc243119372"/>
      <w:r>
        <w:rPr>
          <w:rFonts w:hint="default" w:ascii="Times New Roman" w:hAnsi="Times New Roman" w:eastAsia="宋体" w:cs="Times New Roman"/>
          <w:color w:val="auto"/>
        </w:rPr>
        <w:t>地下水环境影响预测与评价</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项目区水文地质条件</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整个乌拉山冲积洪积裙，根据形成时期不同可分为老冲积洪积裙及新冲积洪积裙。老冲积洪积裙北界略比新冲积洪积裙小，大致在庙壕——小庙子——西公忽洞以南一带。南界主要以第二断裂带为界，但主要含水层分布在第三断裂带以北。东界尚不清楚，可能以乌兰忽洞—台梁断裂为界，西界以第四断裂为界。使整个老冲积洪积裙为一宽仅5-6公里，长可达40-50公里的呈东西向分布的条形地。在第三断裂以北的冲积洪积裙宽度还要狭窄，仅3-4公里。主要由砂砾石及粘性土组成，并由南向北倾斜，其厚层砂砾石埋藏深度由南部200米左右向北增至220米以下，根据ZK23、试Ⅰ-1、试Ⅱ-4、试Ⅱ-5孔资料，在孔深200-300米以内，揭露的老冲积洪积裙厚度仅70-80米，其中砂砾石厚层厚37-50米，分布尚稳定。</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新冲积洪积裙，由许多大小不等的冲积洪积扇相互迭置而成。岩性变化剧烈，尤其沿冲积洪积裙轴部变化更大，加上断裂的影响，使水文地质条件复杂化。但是整个冲积洪积裙无论在岩性、水量、水位埋藏均有由裙的顶部向边部变细，变小，变浅的水平分带（详见本项目水系图）。在垂直方向上，在达里干沟以西，除在冲积洪积裙顶部由砂砾石层组成一个统一含水体外，稍离裙的顶部可分为三个含水组。</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乌拉山冲击洪积裙与色尔腾山冲积洪积裙之间，为冲积湖积平原，其以断陷（或拗陷）与冲积洪积群相接。其西界为乌梁素海，根据乌梁素海东西两侧水文地质条件不同推测，沿乌梁素海轴部可能有一断裂。在断裂以西为河套平原主要有湖积淤泥层夹薄层粉细砂组成，透水性弱。单位涌水量小于0.18升/秒·米。近冲积洪积裙边部稍大些，约1.0升/秒·米。矿化度大于1.0克/升，高者达44克/升。断裂以东即所述的冲积湖积平原，主要由粉细砂、淤泥质粉砂，粉砂质淤泥与淤泥等物质组成，近冲积洪积裙地带夹有一些砂砾石层。整个冲积湖积平原，除十九分子以东外，以淤泥层为界均可以分为两层水。上部为潜水，水量微弱，没工业供水价值，在近北部冲积洪积裙一带水量尚大，可斟酌利用。水质有由近冲积洪积裙向乌梁素海逐渐变坏的水平分带，在大兴公矿化度高达14.44克/升。在潜水含水层下部，为一由南向北，由东向西倾斜的湖积淤泥层，淤泥层下部为承压含水层，由粉细砂、粘土质或淤泥质粉细砂组成。偶夹薄层砂砾石层，其埋藏在30–90米以下，并由东向西，由近冲积洪积裙边部向口口脑包、大兴公一带埋藏变深的规律。含水层厚度、水量、水位埋藏亦沿此方向递变。在200米以内含水层厚度沿上述方向由110-120米递减为60-70米，单位涌水量由5.0-10.0升/秒·米递减为0.5-1.0升/秒·米，水位埋藏由30-60米至地面。水质优良，矿化度小于0.5克/升。</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冲积湖积平原承压含水组，虽然含水层厚，水质优良。离隔水边界远，水位埋藏浅而且喷出地面等优点，可作为供水水源地，但与冲积洪积裙相比，水量较小。</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冲积湖积平原承压含水组各含水层之间，尚有厚度不等的淤泥、粉砂质淤泥及砂质粘土作为隔水层，这些隔水层至冲积洪积裙则变薄或歼灭，使其与冲积洪积砂砾石含水层成为互有水利联系的统一含水体。因此冲积湖积平原承压含水组透水性强弱与水量为贫富直接影响供水水源地的开采。根据现有资料，我们认为湖相含水组透水性虽然较差，但厚度大，对以后供水地段地下水水源补给为其有利的一面，另一方面，由于其透水性远较北部色尔腾山冲积洪积砂砾石含水层弱，影响北部色尔腾山冲积洪积裙地下水对开采地段的补给。因此我们认为：以后开采时冲积湖积平原承压含水组影响色尔腾山冲积洪积裙地下水对水源地地下水的补给。</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断陷冲积湖积平原。位于第四断裂与断陷（拗陷）带之间。根据勘探资料，主要含水组在淤泥层下部。淤泥层上部有厚度小于10米的粉砂含水层，水量微弱，矿化度常大于1.0克/升，没工业供水价值。淤泥层下部含水组，顶板埋藏约20-50米，底板埋藏90-140米，含水组中含水层厚30-70米，并由南向北变薄。单位涌水量0.57-3.55升/秒·米，水位埋藏在庙壕一带近地地面，往北与西喷出地面，喷出高度8-13米。矿化度小于0.5克/升。在含水组下部为厚达60-80米以上的粘砂土，中夹薄层（小于2.5米）粉砂及砂砾石层，由于含水层较薄，没开采价值。</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厂址工程地质条件简单，从地质环境及区域构造分析，场地无坍塌、滑坡、泥石流等不良工程地质作用。从地貌上看该场地属乌拉山山前冲洪积地层。按岩土工程性质分为两个单元层，分述如下：</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按岩土工程性质可分为二个单元层，分述如下：</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第①层风积沙土层：黄褐色，稍湿，稍密状态，层厚约7-8米不等，在6米以下局部夹卵石或透镜体。</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第②层卵石层：黄褐色，稍湿、密实状态，该层在勘探深度范围内未揭穿。</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本项目区域地下水流向为东北向西南。</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废水影响分析</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生产废水含有主要污染物为SS，经</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沉淀后全部回用，不外排；沉积的</w:t>
      </w:r>
      <w:r>
        <w:rPr>
          <w:rFonts w:hint="default" w:ascii="Times New Roman" w:hAnsi="Times New Roman" w:eastAsia="宋体" w:cs="Times New Roman"/>
          <w:color w:val="auto"/>
          <w:sz w:val="24"/>
          <w:highlight w:val="none"/>
          <w:lang w:eastAsia="zh-CN"/>
        </w:rPr>
        <w:t>沉渣</w:t>
      </w:r>
      <w:r>
        <w:rPr>
          <w:rFonts w:hint="default" w:ascii="Times New Roman" w:hAnsi="Times New Roman" w:eastAsia="宋体" w:cs="Times New Roman"/>
          <w:color w:val="auto"/>
          <w:sz w:val="24"/>
          <w:highlight w:val="none"/>
        </w:rPr>
        <w:t>定期进行清掏处理；</w:t>
      </w:r>
      <w:r>
        <w:rPr>
          <w:rFonts w:hint="default" w:ascii="Times New Roman" w:hAnsi="Times New Roman" w:eastAsia="宋体" w:cs="Times New Roman"/>
          <w:color w:val="auto"/>
          <w:sz w:val="24"/>
          <w:highlight w:val="none"/>
          <w:lang w:eastAsia="zh-CN"/>
        </w:rPr>
        <w:t>生活污水排入防渗化粪池，定期清掏</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厂区对</w:t>
      </w:r>
      <w:r>
        <w:rPr>
          <w:rFonts w:hint="default" w:ascii="Times New Roman" w:hAnsi="Times New Roman" w:eastAsia="宋体" w:cs="Times New Roman"/>
          <w:color w:val="auto"/>
          <w:sz w:val="24"/>
          <w:highlight w:val="none"/>
          <w:lang w:eastAsia="zh-CN"/>
        </w:rPr>
        <w:t>防渗化粪池</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等均采取了严格的防渗措施，防渗层渗透系数小于1×10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m/s。经采取上述措施后，可以有效减缓和避免废水的下渗。</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32"/>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 w:val="0"/>
          <w:bCs w:val="0"/>
          <w:color w:val="auto"/>
          <w:sz w:val="24"/>
          <w:szCs w:val="32"/>
          <w:highlight w:val="none"/>
        </w:rPr>
        <w:t>地下水污染预测评价</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1）正常状态下废水影响分析</w:t>
      </w:r>
    </w:p>
    <w:p>
      <w:pPr>
        <w:pStyle w:val="411"/>
        <w:shd w:val="clea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在正常状态下，本项目湿法破碎废水、清洗废水、甩干废水及冷却水，生产废水全部循环使用，不外排。</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生活污水</w:t>
      </w:r>
      <w:r>
        <w:rPr>
          <w:rFonts w:hint="default" w:ascii="Times New Roman" w:hAnsi="Times New Roman" w:eastAsia="宋体" w:cs="Times New Roman"/>
          <w:color w:val="auto"/>
          <w:sz w:val="24"/>
          <w:highlight w:val="none"/>
          <w:lang w:eastAsia="zh-CN"/>
        </w:rPr>
        <w:t>排入防渗化粪池内</w:t>
      </w:r>
      <w:r>
        <w:rPr>
          <w:rFonts w:hint="default" w:ascii="Times New Roman" w:hAnsi="Times New Roman" w:eastAsia="宋体" w:cs="Times New Roman"/>
          <w:color w:val="auto"/>
          <w:sz w:val="24"/>
          <w:highlight w:val="none"/>
          <w:lang w:val="en-US" w:eastAsia="zh-CN"/>
        </w:rPr>
        <w:t>，定期清掏</w:t>
      </w:r>
      <w:r>
        <w:rPr>
          <w:rFonts w:hint="default" w:ascii="Times New Roman" w:hAnsi="Times New Roman" w:eastAsia="宋体" w:cs="Times New Roman"/>
          <w:color w:val="auto"/>
          <w:sz w:val="24"/>
          <w:highlight w:val="none"/>
        </w:rPr>
        <w:t>，正常状态下本项目废水对地下水环境没有影响。</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2）事故状态下废水影响分析</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①预测方法与参照标准</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根据《环评影响评价技术导则 地下水环境》（HJ610-2016），地下水环境影响评价三级评价中，采用解析法或类比法对地下水环境影响进行预测，由于项目区所在地含水层结构比较简单，结合项目实际情况，本次地下水环境影响预测采用解析法预测。</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②预测情景设置</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根据项目实际生产特点，结合工程分析相关内容，选取具有代表性的场景进</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行预测评价，选取生产废水循环沉淀池作为预测对象，循环沉淀池因材料老化等等原因损坏，</w:t>
      </w:r>
      <w:r>
        <w:rPr>
          <w:rFonts w:hint="default" w:ascii="Times New Roman" w:hAnsi="Times New Roman" w:eastAsia="宋体" w:cs="Times New Roman"/>
          <w:color w:val="auto"/>
          <w:sz w:val="24"/>
          <w:highlight w:val="none"/>
          <w:lang w:val="en-US" w:eastAsia="zh-CN"/>
        </w:rPr>
        <w:t>生产废水主要污染物为SS、耗氧量</w:t>
      </w:r>
      <w:r>
        <w:rPr>
          <w:rFonts w:hint="default" w:ascii="Times New Roman" w:hAnsi="Times New Roman" w:eastAsia="宋体" w:cs="Times New Roman"/>
          <w:color w:val="auto"/>
          <w:sz w:val="24"/>
          <w:highlight w:val="none"/>
          <w:lang w:val="en-US" w:eastAsia="zh-CN"/>
        </w:rPr>
        <w:t>，发生泄露7d后被巡检人员发现并采取措施，切断泄露源头。</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③模型概化与参数选择</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本项目建设场地的土壤类型以沙土为主，渗透系数较大，当项目出现上述非正常工况时，含有污染物的生产废水将以入渗的方式进入含水层。</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对于事故工况下，假设污水以面源连续注入包气带直至潜水面，使得自地表至潜水面形成了连通的饱水通道。根据达西定律，估算污水到达含水层的时间。本项目场区潜水水位较浅，包气带厚度平均约为6m，垂直入渗系数大于1×10</w:t>
      </w:r>
      <w:r>
        <w:rPr>
          <w:rFonts w:hint="default" w:ascii="Times New Roman" w:hAnsi="Times New Roman" w:eastAsia="宋体" w:cs="Times New Roman"/>
          <w:color w:val="auto"/>
          <w:sz w:val="24"/>
          <w:highlight w:val="none"/>
          <w:vertAlign w:val="superscript"/>
          <w:lang w:val="en-US" w:eastAsia="zh-CN"/>
        </w:rPr>
        <w:t>-4</w:t>
      </w:r>
      <w:r>
        <w:rPr>
          <w:rFonts w:hint="default" w:ascii="Times New Roman" w:hAnsi="Times New Roman" w:eastAsia="宋体" w:cs="Times New Roman"/>
          <w:color w:val="auto"/>
          <w:sz w:val="24"/>
          <w:highlight w:val="none"/>
          <w:lang w:val="en-US" w:eastAsia="zh-CN"/>
        </w:rPr>
        <w:t>cm/s（0.8～1.76m/d），渗透性能极强，地表污染物较易下渗，所以包气带的防护条件较弱。</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根据达西公式：</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V=KI </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式中：V 中：达西流速，即相对速度；</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K 西流包气带的平均渗透系数；</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I 气带水力坡度。</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随着时间的增大，水力梯度趋于1，即入渗速率趋于定值，数值上等于渗透 系数K。</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水流实际流速为V′=V/n</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进而得到污水入渗到达地下10m的时间为</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T=M·n/V=1.39d </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式中：M——包气带厚度（米）；</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n——孔隙度；</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V——包气带平均速度（1.08m/d）。</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若沉淀池废水发生渗漏，</w:t>
      </w:r>
      <w:r>
        <w:rPr>
          <w:rFonts w:hint="default" w:ascii="Times New Roman" w:hAnsi="Times New Roman" w:eastAsia="宋体" w:cs="Times New Roman"/>
          <w:color w:val="auto"/>
          <w:sz w:val="24"/>
          <w:highlight w:val="none"/>
          <w:lang w:val="en-US" w:eastAsia="zh-CN"/>
        </w:rPr>
        <w:t>生产废水中耗氧量</w:t>
      </w:r>
      <w:r>
        <w:rPr>
          <w:rFonts w:hint="default" w:ascii="Times New Roman" w:hAnsi="Times New Roman" w:eastAsia="宋体" w:cs="Times New Roman"/>
          <w:color w:val="auto"/>
          <w:sz w:val="24"/>
          <w:highlight w:val="none"/>
          <w:lang w:val="en-US" w:eastAsia="zh-CN"/>
        </w:rPr>
        <w:t>33hr内穿过浅表包气带（6m以上地层）， 进入含水层，发生向下游方向的水平迁移。</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在非正常工况情景下污水发生渗漏，并且持续下渗1.39d污水能够穿透包气 带，渗入到含水层，对地下水环境造成影响。 </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地下水污染防治</w:t>
      </w:r>
      <w:r>
        <w:rPr>
          <w:rFonts w:hint="default" w:ascii="Times New Roman" w:hAnsi="Times New Roman" w:eastAsia="宋体" w:cs="Times New Roman"/>
          <w:b w:val="0"/>
          <w:bCs w:val="0"/>
          <w:color w:val="auto"/>
          <w:sz w:val="24"/>
          <w:szCs w:val="24"/>
          <w:highlight w:val="none"/>
        </w:rPr>
        <w:t>措施</w:t>
      </w:r>
    </w:p>
    <w:p>
      <w:pPr>
        <w:shd w:val="clear"/>
        <w:autoSpaceDE w:val="0"/>
        <w:autoSpaceDN w:val="0"/>
        <w:adjustRightIn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本项目在正常状况下</w:t>
      </w:r>
      <w:r>
        <w:rPr>
          <w:rFonts w:hint="default" w:ascii="Times New Roman" w:hAnsi="Times New Roman" w:eastAsia="宋体" w:cs="Times New Roman"/>
          <w:b w:val="0"/>
          <w:bCs w:val="0"/>
          <w:color w:val="auto"/>
          <w:sz w:val="24"/>
          <w:szCs w:val="24"/>
          <w:highlight w:val="none"/>
          <w:lang w:eastAsia="zh-CN"/>
        </w:rPr>
        <w:t>不会</w:t>
      </w:r>
      <w:r>
        <w:rPr>
          <w:rFonts w:hint="default" w:ascii="Times New Roman" w:hAnsi="Times New Roman" w:eastAsia="宋体" w:cs="Times New Roman"/>
          <w:b w:val="0"/>
          <w:bCs w:val="0"/>
          <w:color w:val="auto"/>
          <w:sz w:val="24"/>
          <w:szCs w:val="24"/>
          <w:highlight w:val="none"/>
        </w:rPr>
        <w:t>对地下水造成影响</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kern w:val="0"/>
          <w:sz w:val="24"/>
          <w:szCs w:val="24"/>
          <w:highlight w:val="none"/>
        </w:rPr>
        <w:t>但是在非正常状况下</w:t>
      </w:r>
      <w:r>
        <w:rPr>
          <w:rFonts w:hint="default" w:ascii="Times New Roman" w:hAnsi="Times New Roman" w:eastAsia="宋体" w:cs="Times New Roman"/>
          <w:b w:val="0"/>
          <w:bCs w:val="0"/>
          <w:color w:val="auto"/>
          <w:kern w:val="0"/>
          <w:sz w:val="24"/>
          <w:szCs w:val="24"/>
          <w:highlight w:val="none"/>
          <w:lang w:eastAsia="zh-CN"/>
        </w:rPr>
        <w:t>，防渗化粪池发生</w:t>
      </w:r>
      <w:r>
        <w:rPr>
          <w:rFonts w:hint="default" w:ascii="Times New Roman" w:hAnsi="Times New Roman" w:eastAsia="宋体" w:cs="Times New Roman"/>
          <w:b w:val="0"/>
          <w:bCs w:val="0"/>
          <w:color w:val="auto"/>
          <w:kern w:val="0"/>
          <w:sz w:val="24"/>
          <w:szCs w:val="24"/>
          <w:highlight w:val="none"/>
          <w:lang w:val="en-US" w:eastAsia="zh-CN"/>
        </w:rPr>
        <w:t>泄漏，生活污水中</w:t>
      </w:r>
      <w:r>
        <w:rPr>
          <w:rFonts w:hint="default" w:ascii="Times New Roman" w:hAnsi="Times New Roman" w:eastAsia="宋体" w:cs="Times New Roman"/>
          <w:color w:val="auto"/>
          <w:sz w:val="24"/>
          <w:highlight w:val="none"/>
          <w:lang w:val="en-US" w:eastAsia="zh-CN"/>
        </w:rPr>
        <w:t>耗氧量</w:t>
      </w:r>
      <w:r>
        <w:rPr>
          <w:rFonts w:hint="default" w:ascii="Times New Roman" w:hAnsi="Times New Roman" w:eastAsia="宋体" w:cs="Times New Roman"/>
          <w:b w:val="0"/>
          <w:bCs w:val="0"/>
          <w:color w:val="auto"/>
          <w:kern w:val="0"/>
          <w:sz w:val="24"/>
          <w:szCs w:val="24"/>
          <w:highlight w:val="none"/>
        </w:rPr>
        <w:t>会不可避免的对地下水环境产生污染，如采取合理的主动防控与被动防渗等地下水防治措施，使得地下水污染风险降到最低。本项目地下水污染防治措施按照“源头控制、分区防治、污染监控、应急响应”相结合的原则，从污染物的产生、入渗、扩散、应急响应全方位进行控制。</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①源头控制措施</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本项目使用良好合格的防渗材料，尽可能从源头上减少污染物产生。严格按照国家相关规范要求，对厂区采取相应的防渗措施，以防止和降低污染物的跑、冒、滴、漏，将环境风险事故降低到最低。</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拟建项目产生的废水主要包括生活污水</w:t>
      </w:r>
      <w:r>
        <w:rPr>
          <w:rFonts w:hint="default" w:ascii="Times New Roman" w:hAnsi="Times New Roman" w:eastAsia="宋体" w:cs="Times New Roman"/>
          <w:b w:val="0"/>
          <w:bCs w:val="0"/>
          <w:color w:val="auto"/>
          <w:sz w:val="24"/>
          <w:szCs w:val="24"/>
          <w:highlight w:val="none"/>
          <w:lang w:eastAsia="zh-CN"/>
        </w:rPr>
        <w:t>、湿法破碎废水、废塑料清洗水、甩干废水以及冷却水。</w:t>
      </w:r>
      <w:r>
        <w:rPr>
          <w:rFonts w:hint="default" w:ascii="Times New Roman" w:hAnsi="Times New Roman" w:eastAsia="宋体" w:cs="Times New Roman"/>
          <w:b w:val="0"/>
          <w:bCs w:val="0"/>
          <w:color w:val="auto"/>
          <w:sz w:val="24"/>
          <w:highlight w:val="none"/>
        </w:rPr>
        <w:t>湿法破碎废水、废塑料清洗水</w:t>
      </w:r>
      <w:r>
        <w:rPr>
          <w:rFonts w:hint="default" w:ascii="Times New Roman" w:hAnsi="Times New Roman" w:eastAsia="宋体" w:cs="Times New Roman"/>
          <w:b w:val="0"/>
          <w:bCs w:val="0"/>
          <w:color w:val="auto"/>
          <w:sz w:val="24"/>
          <w:highlight w:val="none"/>
          <w:lang w:eastAsia="zh-CN"/>
        </w:rPr>
        <w:t>和甩干废水</w:t>
      </w:r>
      <w:r>
        <w:rPr>
          <w:rFonts w:hint="default" w:ascii="Times New Roman" w:hAnsi="Times New Roman" w:eastAsia="宋体" w:cs="Times New Roman"/>
          <w:b w:val="0"/>
          <w:bCs w:val="0"/>
          <w:color w:val="auto"/>
          <w:sz w:val="24"/>
          <w:highlight w:val="none"/>
        </w:rPr>
        <w:t>经</w:t>
      </w:r>
      <w:r>
        <w:rPr>
          <w:rFonts w:hint="default" w:ascii="Times New Roman" w:hAnsi="Times New Roman" w:eastAsia="宋体" w:cs="Times New Roman"/>
          <w:b w:val="0"/>
          <w:bCs w:val="0"/>
          <w:color w:val="auto"/>
          <w:sz w:val="24"/>
          <w:highlight w:val="none"/>
          <w:lang w:eastAsia="zh-CN"/>
        </w:rPr>
        <w:t>三级沉淀池</w:t>
      </w:r>
      <w:r>
        <w:rPr>
          <w:rFonts w:hint="default" w:ascii="Times New Roman" w:hAnsi="Times New Roman" w:eastAsia="宋体" w:cs="Times New Roman"/>
          <w:b w:val="0"/>
          <w:bCs w:val="0"/>
          <w:color w:val="auto"/>
          <w:sz w:val="24"/>
          <w:highlight w:val="none"/>
        </w:rPr>
        <w:t>沉淀后循环使用，冷却水进入冷却水池循环使用，</w:t>
      </w:r>
      <w:r>
        <w:rPr>
          <w:rFonts w:hint="default" w:ascii="Times New Roman" w:hAnsi="Times New Roman" w:eastAsia="宋体" w:cs="Times New Roman"/>
          <w:b w:val="0"/>
          <w:bCs w:val="0"/>
          <w:color w:val="auto"/>
          <w:sz w:val="24"/>
          <w:highlight w:val="none"/>
          <w:lang w:eastAsia="zh-CN"/>
        </w:rPr>
        <w:t>生活污水排入防渗化粪池，定期清掏</w:t>
      </w:r>
      <w:r>
        <w:rPr>
          <w:rFonts w:hint="default" w:ascii="Times New Roman" w:hAnsi="Times New Roman" w:eastAsia="宋体" w:cs="Times New Roman"/>
          <w:b w:val="0"/>
          <w:bCs w:val="0"/>
          <w:color w:val="auto"/>
          <w:sz w:val="24"/>
          <w:highlight w:val="none"/>
          <w:lang w:val="en-US" w:eastAsia="zh-CN"/>
        </w:rPr>
        <w:t>。</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厂区对产生废水的</w:t>
      </w:r>
      <w:r>
        <w:rPr>
          <w:rFonts w:hint="default" w:ascii="Times New Roman" w:hAnsi="Times New Roman" w:eastAsia="宋体" w:cs="Times New Roman"/>
          <w:b w:val="0"/>
          <w:bCs w:val="0"/>
          <w:color w:val="auto"/>
          <w:sz w:val="24"/>
          <w:szCs w:val="24"/>
          <w:highlight w:val="none"/>
          <w:lang w:eastAsia="zh-CN"/>
        </w:rPr>
        <w:t>储存设施</w:t>
      </w:r>
      <w:r>
        <w:rPr>
          <w:rFonts w:hint="default" w:ascii="Times New Roman" w:hAnsi="Times New Roman" w:eastAsia="宋体" w:cs="Times New Roman"/>
          <w:b w:val="0"/>
          <w:bCs w:val="0"/>
          <w:color w:val="auto"/>
          <w:sz w:val="24"/>
          <w:szCs w:val="24"/>
          <w:highlight w:val="none"/>
        </w:rPr>
        <w:t>及其所经过的管道要经常巡查，杜绝“跑、冒、滴、漏”等事故的发生，尤其是生产废水收集装置、废水</w:t>
      </w:r>
      <w:r>
        <w:rPr>
          <w:rFonts w:hint="default" w:ascii="Times New Roman" w:hAnsi="Times New Roman" w:eastAsia="宋体" w:cs="Times New Roman"/>
          <w:b w:val="0"/>
          <w:bCs w:val="0"/>
          <w:color w:val="auto"/>
          <w:sz w:val="24"/>
          <w:szCs w:val="24"/>
          <w:highlight w:val="none"/>
          <w:lang w:eastAsia="zh-CN"/>
        </w:rPr>
        <w:t>储存</w:t>
      </w:r>
      <w:r>
        <w:rPr>
          <w:rFonts w:hint="default" w:ascii="Times New Roman" w:hAnsi="Times New Roman" w:eastAsia="宋体" w:cs="Times New Roman"/>
          <w:b w:val="0"/>
          <w:bCs w:val="0"/>
          <w:color w:val="auto"/>
          <w:sz w:val="24"/>
          <w:szCs w:val="24"/>
          <w:highlight w:val="none"/>
        </w:rPr>
        <w:t>设施和污水输送管道等周边要进行严格的防渗处理，从源头上防止污水进行地下水含水层中。</w:t>
      </w:r>
    </w:p>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a）主动控制措施</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rPr>
        <w:t>从生产过程入手，在工艺、管道、设备、给排水等方面尽可能地采取泄漏控制措施，从源头最大限度降低污染物质泄</w:t>
      </w:r>
      <w:r>
        <w:rPr>
          <w:rFonts w:hint="default" w:ascii="Times New Roman" w:hAnsi="Times New Roman" w:eastAsia="宋体" w:cs="Times New Roman"/>
          <w:color w:val="auto"/>
          <w:sz w:val="24"/>
          <w:szCs w:val="24"/>
          <w:highlight w:val="none"/>
        </w:rPr>
        <w:t>漏的可能性和泄漏量，使项目区污染物对地下水的影响降至最低，一旦出现泄漏等即可由区域内的各种配套措施进行收集、处置，同时经过硬化处理的地面有效阻止污染物的下渗。</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b）被动防渗漏措施</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被动防渗措施，即末端控制措施，在污染区地面进行防渗处理，防止洒落地面的污染物渗入地下，并把滞留在地面的污染物收集起来，集中送至污水处理站处理。</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c）应急响应措施</w:t>
      </w:r>
    </w:p>
    <w:p>
      <w:pPr>
        <w:widowControl/>
        <w:shd w:val="clear"/>
        <w:snapToGrid w:val="0"/>
        <w:spacing w:line="360" w:lineRule="auto"/>
        <w:ind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包括一旦发现地下水污染事故，立即启动应急预案、采取应急措施控制地下水污染，并使污染得到治理。</w:t>
      </w:r>
    </w:p>
    <w:p>
      <w:pPr>
        <w:widowControl/>
        <w:shd w:val="clear"/>
        <w:snapToGrid w:val="0"/>
        <w:spacing w:line="360" w:lineRule="auto"/>
        <w:ind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②分区防治措施</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地下水主动防</w:t>
      </w:r>
      <w:r>
        <w:rPr>
          <w:rFonts w:hint="default" w:ascii="Times New Roman" w:hAnsi="Times New Roman" w:eastAsia="宋体" w:cs="Times New Roman"/>
          <w:color w:val="auto"/>
          <w:kern w:val="0"/>
          <w:sz w:val="24"/>
          <w:szCs w:val="24"/>
          <w:highlight w:val="none"/>
        </w:rPr>
        <w:t>控措施主要从工艺节水、工艺设备、建筑结构、总图布置、给排水防控等方面考虑。</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从原则上讲，对任何一种工业行业，其一般生产过程都有可能采用工艺节水技术来减少生产用水，而且节水潜力较大。采用工艺节水技术往往比单纯进行水的循环利用和污水回用更为方便与合理。工艺节水不仅可以从根本上减少生产用水，而且通常具有减少用水设备、减少废水或污染物排放量、减轻环境污染，以及节省工程投资和运行费用、节省能源等一系列优点。选用节能、节水、环保的工艺设备。在考虑工艺合理的条件下，采用抗震、坚固的建筑结构，防止污水渗出。</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由于拟建项目在正常状况下对地下水造成的影响很小。但是在非正常状况下对厂区内局部含水层地下水环境产生一定污染。产生地下水污染的主要因素是各废水储存</w:t>
      </w:r>
      <w:r>
        <w:rPr>
          <w:rFonts w:hint="default" w:ascii="Times New Roman" w:hAnsi="Times New Roman" w:eastAsia="宋体" w:cs="Times New Roman"/>
          <w:color w:val="auto"/>
          <w:kern w:val="0"/>
          <w:sz w:val="24"/>
          <w:szCs w:val="24"/>
          <w:highlight w:val="none"/>
          <w:lang w:eastAsia="zh-CN"/>
        </w:rPr>
        <w:t>设施</w:t>
      </w:r>
      <w:r>
        <w:rPr>
          <w:rFonts w:hint="default" w:ascii="Times New Roman" w:hAnsi="Times New Roman" w:eastAsia="宋体" w:cs="Times New Roman"/>
          <w:color w:val="auto"/>
          <w:kern w:val="0"/>
          <w:sz w:val="24"/>
          <w:szCs w:val="24"/>
          <w:highlight w:val="none"/>
        </w:rPr>
        <w:t>发生泄漏，即产生裂缝。因此需要从以下四个方面考虑防治裂缝的产生：</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a）简化结构体系：在</w:t>
      </w:r>
      <w:r>
        <w:rPr>
          <w:rFonts w:hint="default" w:ascii="Times New Roman" w:hAnsi="Times New Roman" w:eastAsia="宋体" w:cs="Times New Roman"/>
          <w:color w:val="auto"/>
          <w:kern w:val="0"/>
          <w:sz w:val="24"/>
          <w:szCs w:val="24"/>
          <w:highlight w:val="none"/>
          <w:lang w:eastAsia="zh-CN"/>
        </w:rPr>
        <w:t>厂房</w:t>
      </w:r>
      <w:r>
        <w:rPr>
          <w:rFonts w:hint="default" w:ascii="Times New Roman" w:hAnsi="Times New Roman" w:eastAsia="宋体" w:cs="Times New Roman"/>
          <w:color w:val="auto"/>
          <w:kern w:val="0"/>
          <w:sz w:val="24"/>
          <w:szCs w:val="24"/>
          <w:highlight w:val="none"/>
        </w:rPr>
        <w:t>设计中，要根据工程要求和实际情况，加强对结构设计的简化处理，采用现代概念设计理念，加强对复杂体系的分析，通过合理、</w:t>
      </w:r>
      <w:r>
        <w:rPr>
          <w:rFonts w:hint="default" w:ascii="Times New Roman" w:hAnsi="Times New Roman" w:eastAsia="宋体" w:cs="Times New Roman"/>
          <w:color w:val="auto"/>
          <w:sz w:val="24"/>
          <w:szCs w:val="24"/>
          <w:highlight w:val="none"/>
          <w:u w:val="none"/>
        </w:rPr>
        <w:fldChar w:fldCharType="begin"/>
      </w:r>
      <w:r>
        <w:rPr>
          <w:rFonts w:hint="default" w:ascii="Times New Roman" w:hAnsi="Times New Roman" w:eastAsia="宋体" w:cs="Times New Roman"/>
          <w:color w:val="auto"/>
          <w:sz w:val="24"/>
          <w:szCs w:val="24"/>
          <w:highlight w:val="none"/>
          <w:u w:val="none"/>
        </w:rPr>
        <w:instrText xml:space="preserve"> HYPERLINK "http://www.udooo.com/kxlw/" \t "_blank" </w:instrText>
      </w:r>
      <w:r>
        <w:rPr>
          <w:rFonts w:hint="default" w:ascii="Times New Roman" w:hAnsi="Times New Roman" w:eastAsia="宋体" w:cs="Times New Roman"/>
          <w:color w:val="auto"/>
          <w:sz w:val="24"/>
          <w:szCs w:val="24"/>
          <w:highlight w:val="none"/>
          <w:u w:val="none"/>
        </w:rPr>
        <w:fldChar w:fldCharType="separate"/>
      </w:r>
      <w:r>
        <w:rPr>
          <w:rStyle w:val="98"/>
          <w:rFonts w:hint="default" w:ascii="Times New Roman" w:hAnsi="Times New Roman" w:eastAsia="宋体" w:cs="Times New Roman"/>
          <w:color w:val="auto"/>
          <w:kern w:val="0"/>
          <w:sz w:val="24"/>
          <w:szCs w:val="24"/>
          <w:highlight w:val="none"/>
          <w:u w:val="none"/>
        </w:rPr>
        <w:t>科学</w:t>
      </w:r>
      <w:r>
        <w:rPr>
          <w:rStyle w:val="98"/>
          <w:rFonts w:hint="default" w:ascii="Times New Roman" w:hAnsi="Times New Roman" w:eastAsia="宋体" w:cs="Times New Roman"/>
          <w:color w:val="auto"/>
          <w:kern w:val="0"/>
          <w:sz w:val="24"/>
          <w:szCs w:val="24"/>
          <w:highlight w:val="none"/>
          <w:u w:val="none"/>
        </w:rPr>
        <w:fldChar w:fldCharType="end"/>
      </w:r>
      <w:r>
        <w:rPr>
          <w:rFonts w:hint="default" w:ascii="Times New Roman" w:hAnsi="Times New Roman" w:eastAsia="宋体" w:cs="Times New Roman"/>
          <w:color w:val="auto"/>
          <w:kern w:val="0"/>
          <w:sz w:val="24"/>
          <w:szCs w:val="24"/>
          <w:highlight w:val="none"/>
          <w:u w:val="none"/>
        </w:rPr>
        <w:t>的</w:t>
      </w:r>
      <w:r>
        <w:rPr>
          <w:rFonts w:hint="default" w:ascii="Times New Roman" w:hAnsi="Times New Roman" w:eastAsia="宋体" w:cs="Times New Roman"/>
          <w:color w:val="auto"/>
          <w:kern w:val="0"/>
          <w:sz w:val="24"/>
          <w:szCs w:val="24"/>
          <w:highlight w:val="none"/>
        </w:rPr>
        <w:t>现代设计方法，避免裂缝的产生。与此同时，还要综合考虑到受力和变形作用，合理计算配筋，尤其是对于裂缝控制的薄弱环节，一定要做好防范处理，进而控制好结构体系对裂缝的有效预防。</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b）结构形状要规则：在布置结构的形状时，要尽量做到规则，确保整个结构应有的刚度，如果在设计中，结构布置不规则，那么其上下结构所承受的刚度不会统一，从而造成不同程度的变形，尤其是是刚度控制薄弱的环节，极易发生开裂的现象，为此，要进行结构设计时，结构的形状一定要保证其规则性，从而避免裂缝的产生。</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c）尺寸设计要合理：在进行结构设计时，尺寸设计也预防裂缝产生的主要环节。一旦结构的尺寸过长，那么其所产生的温差应力也会增大，最终出现裂缝。因此，需要设计人员在设计，结合工程实际要求，合理控制结构的尺寸，全面考虑结构应力与长度的关系，既要满足设计的规范和要求，也要避免裂缝现象的产生。</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d）材料运用要规范：首先，工程结构设计中，所选用的混凝土，既要满足防水要求，也要满足工程的承载力要求，其强度不可以过高。其次，在结构设计中，需要混凝土的和易性得到改善。第三，对于水泥品种的选择，最好采用收缩性小的水泥材料，并且可以适当地掺加一些外加剂，使得水灰比降低，严格控制内外温度，加强对整个结构的保温和保水养护。</w:t>
      </w:r>
    </w:p>
    <w:p>
      <w:pPr>
        <w:shd w:val="clea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color w:val="auto"/>
          <w:kern w:val="0"/>
          <w:sz w:val="24"/>
          <w:szCs w:val="24"/>
          <w:highlight w:val="none"/>
        </w:rPr>
        <w:t>要求厂区内项目使用先进、成熟、可靠的工艺技术工艺，良好的管道、设备和污水储存设施采用较清洁的原辅材料，对产生的废水进行合理的治理和综合利用，尽可能从源头上减少污染物产生。严格按照国家相关规范要求，对工艺、管道、设备、污水储存采取相应的措施，以防止和降低污染物的跑、冒、滴、漏，将环境风险事故降低到最低。管线铺设尽量采用“可视化”原则，即管道尽可能地上铺</w:t>
      </w:r>
      <w:r>
        <w:rPr>
          <w:rFonts w:hint="default" w:ascii="Times New Roman" w:hAnsi="Times New Roman" w:eastAsia="宋体" w:cs="Times New Roman"/>
          <w:b w:val="0"/>
          <w:bCs w:val="0"/>
          <w:color w:val="auto"/>
          <w:kern w:val="0"/>
          <w:sz w:val="24"/>
          <w:szCs w:val="24"/>
          <w:highlight w:val="none"/>
        </w:rPr>
        <w:t>设，做到污染物“早发现、早处理”，以减少由于埋地管道泄漏而可能造成的地下水污染。</w:t>
      </w:r>
    </w:p>
    <w:p>
      <w:pPr>
        <w:widowControl/>
        <w:shd w:val="clear"/>
        <w:snapToGrid w:val="0"/>
        <w:spacing w:line="360" w:lineRule="auto"/>
        <w:ind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③地下水被动防治措施</w:t>
      </w:r>
    </w:p>
    <w:p>
      <w:pPr>
        <w:shd w:val="clear"/>
        <w:autoSpaceDE w:val="0"/>
        <w:autoSpaceDN w:val="0"/>
        <w:adjustRightIn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根据《环境影响评价技术导则 地下水环境》（HJ610-2016）给出不同分区的具体防渗技术要求一般情况下，应以水平防渗为主，防控措施应满足以下要求：</w:t>
      </w:r>
    </w:p>
    <w:p>
      <w:pPr>
        <w:shd w:val="clea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a）已颁布污</w:t>
      </w:r>
      <w:r>
        <w:rPr>
          <w:rFonts w:hint="default" w:ascii="Times New Roman" w:hAnsi="Times New Roman" w:eastAsia="宋体" w:cs="Times New Roman"/>
          <w:color w:val="auto"/>
          <w:kern w:val="0"/>
          <w:sz w:val="24"/>
          <w:szCs w:val="24"/>
          <w:highlight w:val="none"/>
        </w:rPr>
        <w:t>染控制国家标准或防渗技术规范的行业，水平防渗技术要求按照相应标准或规范执行，如GB 16889、GB 18597、GB 18598、GB 18599、GB/T 50934 等；</w:t>
      </w:r>
    </w:p>
    <w:p>
      <w:pPr>
        <w:shd w:val="clea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b）未颁布相关标准的行业，参考《石油化工工程防渗技术规范》（GBT50934-2013）对地下水污染防渗要求，根据预测结果和场地包气带特征及其防污性能，提出防渗技术要求；或根据建设项目场地天然包气带防污性能、污染控制难易程度和污染物特性。</w:t>
      </w:r>
    </w:p>
    <w:p>
      <w:pPr>
        <w:shd w:val="clear"/>
        <w:autoSpaceDE w:val="0"/>
        <w:autoSpaceDN w:val="0"/>
        <w:adjustRightInd w:val="0"/>
        <w:spacing w:line="360" w:lineRule="auto"/>
        <w:ind w:firstLine="480" w:firstLineChars="200"/>
        <w:rPr>
          <w:rFonts w:hint="default" w:ascii="Times New Roman" w:hAnsi="Times New Roman" w:eastAsia="宋体" w:cs="Times New Roman"/>
          <w:bCs/>
          <w:snapToGrid w:val="0"/>
          <w:color w:val="auto"/>
          <w:kern w:val="0"/>
          <w:sz w:val="24"/>
          <w:szCs w:val="24"/>
          <w:highlight w:val="none"/>
        </w:rPr>
      </w:pPr>
      <w:r>
        <w:rPr>
          <w:rFonts w:hint="default" w:ascii="Times New Roman" w:hAnsi="Times New Roman" w:eastAsia="宋体" w:cs="Times New Roman"/>
          <w:color w:val="auto"/>
          <w:kern w:val="0"/>
          <w:sz w:val="24"/>
          <w:szCs w:val="24"/>
          <w:highlight w:val="none"/>
        </w:rPr>
        <w:t>地下水被动防治措施主要为拟建项目进行分区防渗处理，有效的防止污染物渗入地下。</w:t>
      </w:r>
    </w:p>
    <w:p>
      <w:pPr>
        <w:pStyle w:val="28"/>
        <w:shd w:val="clear"/>
        <w:spacing w:beforeLine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5.3-1</w:t>
      </w:r>
      <w:r>
        <w:rPr>
          <w:rFonts w:hint="default" w:ascii="Times New Roman" w:hAnsi="Times New Roman" w:eastAsia="宋体" w:cs="Times New Roman"/>
          <w:b/>
          <w:bCs/>
          <w:color w:val="auto"/>
          <w:sz w:val="24"/>
          <w:szCs w:val="24"/>
          <w:highlight w:val="none"/>
        </w:rPr>
        <w:t xml:space="preserve">   污染控制难易程度分级参照表</w:t>
      </w:r>
    </w:p>
    <w:tbl>
      <w:tblPr>
        <w:tblStyle w:val="90"/>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0"/>
        <w:gridCol w:w="6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30" w:type="dxa"/>
            <w:noWrap/>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污染控制难易程度</w:t>
            </w:r>
          </w:p>
        </w:tc>
        <w:tc>
          <w:tcPr>
            <w:tcW w:w="6274" w:type="dxa"/>
            <w:noWrap/>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主要特征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30" w:type="dxa"/>
            <w:noWrap/>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难</w:t>
            </w:r>
          </w:p>
        </w:tc>
        <w:tc>
          <w:tcPr>
            <w:tcW w:w="6274" w:type="dxa"/>
            <w:noWrap/>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对地下水环境有污染的物料或污染物泄漏后，不能及时发现和处理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30" w:type="dxa"/>
            <w:noWrap/>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易</w:t>
            </w:r>
          </w:p>
        </w:tc>
        <w:tc>
          <w:tcPr>
            <w:tcW w:w="6274" w:type="dxa"/>
            <w:noWrap/>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对地下水环境有污染的物料或污染物泄漏后，可及时发现和处理</w:t>
            </w:r>
          </w:p>
        </w:tc>
      </w:tr>
    </w:tbl>
    <w:p>
      <w:pPr>
        <w:pStyle w:val="28"/>
        <w:shd w:val="clear"/>
        <w:spacing w:beforeLines="0"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w:t>
      </w:r>
      <w:r>
        <w:rPr>
          <w:rFonts w:hint="default" w:ascii="Times New Roman" w:hAnsi="Times New Roman" w:eastAsia="宋体" w:cs="Times New Roman"/>
          <w:b/>
          <w:bCs/>
          <w:color w:val="auto"/>
          <w:sz w:val="24"/>
          <w:szCs w:val="24"/>
          <w:highlight w:val="none"/>
          <w:lang w:val="en-US" w:eastAsia="zh-CN"/>
        </w:rPr>
        <w:t>.3-2</w:t>
      </w:r>
      <w:r>
        <w:rPr>
          <w:rFonts w:hint="default" w:ascii="Times New Roman" w:hAnsi="Times New Roman" w:eastAsia="宋体" w:cs="Times New Roman"/>
          <w:b/>
          <w:bCs/>
          <w:color w:val="auto"/>
          <w:sz w:val="24"/>
          <w:szCs w:val="24"/>
          <w:highlight w:val="none"/>
        </w:rPr>
        <w:t xml:space="preserve">  天然包气带防污性能分级参照表</w:t>
      </w:r>
    </w:p>
    <w:tbl>
      <w:tblPr>
        <w:tblStyle w:val="9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dxa"/>
            <w:noWrap/>
            <w:vAlign w:val="center"/>
          </w:tcPr>
          <w:p>
            <w:pPr>
              <w:shd w:val="clea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分级</w:t>
            </w:r>
          </w:p>
        </w:tc>
        <w:tc>
          <w:tcPr>
            <w:tcW w:w="7774" w:type="dxa"/>
            <w:noWrap/>
            <w:vAlign w:val="center"/>
          </w:tcPr>
          <w:p>
            <w:pPr>
              <w:shd w:val="clea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dxa"/>
            <w:noWrap/>
            <w:vAlign w:val="center"/>
          </w:tcPr>
          <w:p>
            <w:pPr>
              <w:shd w:val="clea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强</w:t>
            </w:r>
          </w:p>
        </w:tc>
        <w:tc>
          <w:tcPr>
            <w:tcW w:w="7774" w:type="dxa"/>
            <w:noWrap/>
            <w:vAlign w:val="center"/>
          </w:tcPr>
          <w:p>
            <w:pPr>
              <w:shd w:val="clea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岩（土）层单层厚度Mb≥1.0m，渗透系数K≤10</w:t>
            </w:r>
            <w:r>
              <w:rPr>
                <w:rFonts w:hint="default" w:ascii="Times New Roman" w:hAnsi="Times New Roman" w:eastAsia="宋体" w:cs="Times New Roman"/>
                <w:bCs/>
                <w:color w:val="auto"/>
                <w:kern w:val="0"/>
                <w:sz w:val="21"/>
                <w:szCs w:val="21"/>
                <w:highlight w:val="none"/>
                <w:vertAlign w:val="superscript"/>
              </w:rPr>
              <w:t>-7</w:t>
            </w:r>
            <w:r>
              <w:rPr>
                <w:rFonts w:hint="default" w:ascii="Times New Roman" w:hAnsi="Times New Roman" w:eastAsia="宋体" w:cs="Times New Roman"/>
                <w:bCs/>
                <w:color w:val="auto"/>
                <w:kern w:val="0"/>
                <w:sz w:val="21"/>
                <w:szCs w:val="21"/>
                <w:highlight w:val="none"/>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dxa"/>
            <w:noWrap/>
            <w:vAlign w:val="center"/>
          </w:tcPr>
          <w:p>
            <w:pPr>
              <w:shd w:val="clea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中</w:t>
            </w:r>
          </w:p>
        </w:tc>
        <w:tc>
          <w:tcPr>
            <w:tcW w:w="7774" w:type="dxa"/>
            <w:noWrap/>
            <w:vAlign w:val="center"/>
          </w:tcPr>
          <w:p>
            <w:pPr>
              <w:shd w:val="clea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岩（土）层单层厚度0.5m≤Mb&lt;1.0m，渗透系数K≤10</w:t>
            </w:r>
            <w:r>
              <w:rPr>
                <w:rFonts w:hint="default" w:ascii="Times New Roman" w:hAnsi="Times New Roman" w:eastAsia="宋体" w:cs="Times New Roman"/>
                <w:bCs/>
                <w:color w:val="auto"/>
                <w:kern w:val="0"/>
                <w:sz w:val="21"/>
                <w:szCs w:val="21"/>
                <w:highlight w:val="none"/>
                <w:vertAlign w:val="superscript"/>
              </w:rPr>
              <w:t>-7</w:t>
            </w:r>
            <w:r>
              <w:rPr>
                <w:rFonts w:hint="default" w:ascii="Times New Roman" w:hAnsi="Times New Roman" w:eastAsia="宋体" w:cs="Times New Roman"/>
                <w:bCs/>
                <w:color w:val="auto"/>
                <w:kern w:val="0"/>
                <w:sz w:val="21"/>
                <w:szCs w:val="21"/>
                <w:highlight w:val="none"/>
              </w:rPr>
              <w:t>cm/s，且分布连续、稳定；岩（土）层单层厚度Mb≥1.0m，渗透系数10</w:t>
            </w:r>
            <w:r>
              <w:rPr>
                <w:rFonts w:hint="default" w:ascii="Times New Roman" w:hAnsi="Times New Roman" w:eastAsia="宋体" w:cs="Times New Roman"/>
                <w:bCs/>
                <w:color w:val="auto"/>
                <w:kern w:val="0"/>
                <w:sz w:val="21"/>
                <w:szCs w:val="21"/>
                <w:highlight w:val="none"/>
                <w:vertAlign w:val="superscript"/>
              </w:rPr>
              <w:t>-7</w:t>
            </w:r>
            <w:r>
              <w:rPr>
                <w:rFonts w:hint="default" w:ascii="Times New Roman" w:hAnsi="Times New Roman" w:eastAsia="宋体" w:cs="Times New Roman"/>
                <w:bCs/>
                <w:color w:val="auto"/>
                <w:kern w:val="0"/>
                <w:sz w:val="21"/>
                <w:szCs w:val="21"/>
                <w:highlight w:val="none"/>
              </w:rPr>
              <w:t>cm/s&lt;K≤l0</w:t>
            </w:r>
            <w:r>
              <w:rPr>
                <w:rFonts w:hint="default" w:ascii="Times New Roman" w:hAnsi="Times New Roman" w:eastAsia="宋体" w:cs="Times New Roman"/>
                <w:bCs/>
                <w:color w:val="auto"/>
                <w:kern w:val="0"/>
                <w:sz w:val="21"/>
                <w:szCs w:val="21"/>
                <w:highlight w:val="none"/>
                <w:vertAlign w:val="superscript"/>
              </w:rPr>
              <w:t>-4</w:t>
            </w:r>
            <w:r>
              <w:rPr>
                <w:rFonts w:hint="default" w:ascii="Times New Roman" w:hAnsi="Times New Roman" w:eastAsia="宋体" w:cs="Times New Roman"/>
                <w:bCs/>
                <w:color w:val="auto"/>
                <w:kern w:val="0"/>
                <w:sz w:val="21"/>
                <w:szCs w:val="21"/>
                <w:highlight w:val="none"/>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dxa"/>
            <w:noWrap/>
            <w:vAlign w:val="center"/>
          </w:tcPr>
          <w:p>
            <w:pPr>
              <w:shd w:val="clea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弱</w:t>
            </w:r>
          </w:p>
        </w:tc>
        <w:tc>
          <w:tcPr>
            <w:tcW w:w="7774" w:type="dxa"/>
            <w:noWrap/>
            <w:vAlign w:val="center"/>
          </w:tcPr>
          <w:p>
            <w:pPr>
              <w:shd w:val="clea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岩（土）层不满足上述“强”和“中”条件</w:t>
            </w:r>
          </w:p>
        </w:tc>
      </w:tr>
    </w:tbl>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Cs/>
          <w:color w:val="auto"/>
          <w:kern w:val="0"/>
          <w:sz w:val="24"/>
          <w:szCs w:val="24"/>
          <w:highlight w:val="none"/>
        </w:rPr>
        <w:t>厂区包气带防污性能为“弱”，根据表5.</w:t>
      </w:r>
      <w:r>
        <w:rPr>
          <w:rFonts w:hint="default" w:ascii="Times New Roman" w:hAnsi="Times New Roman" w:eastAsia="宋体" w:cs="Times New Roman"/>
          <w:bCs/>
          <w:color w:val="auto"/>
          <w:kern w:val="0"/>
          <w:sz w:val="24"/>
          <w:szCs w:val="24"/>
          <w:highlight w:val="none"/>
          <w:lang w:val="en-US" w:eastAsia="zh-CN"/>
        </w:rPr>
        <w:t>3-3</w:t>
      </w:r>
      <w:r>
        <w:rPr>
          <w:rFonts w:hint="default" w:ascii="Times New Roman" w:hAnsi="Times New Roman" w:eastAsia="宋体" w:cs="Times New Roman"/>
          <w:bCs/>
          <w:color w:val="auto"/>
          <w:kern w:val="0"/>
          <w:sz w:val="24"/>
          <w:szCs w:val="24"/>
          <w:highlight w:val="none"/>
        </w:rPr>
        <w:t>进行防渗分区划分。</w:t>
      </w:r>
    </w:p>
    <w:p>
      <w:pPr>
        <w:pStyle w:val="28"/>
        <w:shd w:val="clear"/>
        <w:spacing w:beforeLines="0" w:line="440" w:lineRule="exact"/>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w:t>
      </w:r>
      <w:r>
        <w:rPr>
          <w:rFonts w:hint="default" w:ascii="Times New Roman" w:hAnsi="Times New Roman" w:eastAsia="宋体" w:cs="Times New Roman"/>
          <w:b/>
          <w:bCs/>
          <w:color w:val="auto"/>
          <w:sz w:val="24"/>
          <w:szCs w:val="24"/>
          <w:highlight w:val="none"/>
          <w:lang w:val="en-US" w:eastAsia="zh-CN"/>
        </w:rPr>
        <w:t>3-3</w:t>
      </w:r>
      <w:r>
        <w:rPr>
          <w:rFonts w:hint="default" w:ascii="Times New Roman" w:hAnsi="Times New Roman" w:eastAsia="宋体" w:cs="Times New Roman"/>
          <w:b/>
          <w:bCs/>
          <w:color w:val="auto"/>
          <w:sz w:val="24"/>
          <w:szCs w:val="24"/>
          <w:highlight w:val="none"/>
        </w:rPr>
        <w:t xml:space="preserve">  地下水污染防渗分区参照表</w:t>
      </w:r>
    </w:p>
    <w:tbl>
      <w:tblPr>
        <w:tblStyle w:val="90"/>
        <w:tblW w:w="8504" w:type="dxa"/>
        <w:jc w:val="center"/>
        <w:tblLayout w:type="fixed"/>
        <w:tblCellMar>
          <w:top w:w="0" w:type="dxa"/>
          <w:left w:w="108" w:type="dxa"/>
          <w:bottom w:w="0" w:type="dxa"/>
          <w:right w:w="108" w:type="dxa"/>
        </w:tblCellMar>
      </w:tblPr>
      <w:tblGrid>
        <w:gridCol w:w="1151"/>
        <w:gridCol w:w="3373"/>
        <w:gridCol w:w="3980"/>
      </w:tblGrid>
      <w:tr>
        <w:tblPrEx>
          <w:tblCellMar>
            <w:top w:w="0" w:type="dxa"/>
            <w:left w:w="108" w:type="dxa"/>
            <w:bottom w:w="0" w:type="dxa"/>
            <w:right w:w="108" w:type="dxa"/>
          </w:tblCellMar>
        </w:tblPrEx>
        <w:trPr>
          <w:trHeight w:val="340" w:hRule="atLeast"/>
          <w:tblHeader/>
          <w:jc w:val="center"/>
        </w:trPr>
        <w:tc>
          <w:tcPr>
            <w:tcW w:w="115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防渗分区</w:t>
            </w:r>
          </w:p>
        </w:tc>
        <w:tc>
          <w:tcPr>
            <w:tcW w:w="337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本项目污染单元</w:t>
            </w:r>
          </w:p>
        </w:tc>
        <w:tc>
          <w:tcPr>
            <w:tcW w:w="39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防渗技术要求</w:t>
            </w:r>
          </w:p>
        </w:tc>
      </w:tr>
      <w:tr>
        <w:tblPrEx>
          <w:tblCellMar>
            <w:top w:w="0" w:type="dxa"/>
            <w:left w:w="108" w:type="dxa"/>
            <w:bottom w:w="0" w:type="dxa"/>
            <w:right w:w="108" w:type="dxa"/>
          </w:tblCellMar>
        </w:tblPrEx>
        <w:trPr>
          <w:trHeight w:val="340" w:hRule="atLeast"/>
          <w:jc w:val="center"/>
        </w:trPr>
        <w:tc>
          <w:tcPr>
            <w:tcW w:w="115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重点防渗区</w:t>
            </w:r>
          </w:p>
        </w:tc>
        <w:tc>
          <w:tcPr>
            <w:tcW w:w="337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危废暂存间</w:t>
            </w:r>
          </w:p>
        </w:tc>
        <w:tc>
          <w:tcPr>
            <w:tcW w:w="39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rPr>
              <w:t>采用混凝土</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HDPE土工膜，</w:t>
            </w:r>
            <w:r>
              <w:rPr>
                <w:rFonts w:hint="default" w:ascii="Times New Roman" w:hAnsi="Times New Roman" w:eastAsia="宋体" w:cs="Times New Roman"/>
                <w:color w:val="auto"/>
                <w:sz w:val="21"/>
                <w:szCs w:val="21"/>
              </w:rPr>
              <w:t>地面上整体涂刷环氧树脂地坪漆2遍，渗透系数≤1×10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default" w:ascii="Times New Roman" w:hAnsi="Times New Roman" w:eastAsia="宋体" w:cs="Times New Roman"/>
                <w:color w:val="auto"/>
                <w:kern w:val="0"/>
                <w:sz w:val="21"/>
                <w:szCs w:val="21"/>
                <w:highlight w:val="none"/>
              </w:rPr>
              <w:t>；或参照GB18598执行</w:t>
            </w:r>
          </w:p>
        </w:tc>
      </w:tr>
      <w:tr>
        <w:tblPrEx>
          <w:tblCellMar>
            <w:top w:w="0" w:type="dxa"/>
            <w:left w:w="108" w:type="dxa"/>
            <w:bottom w:w="0" w:type="dxa"/>
            <w:right w:w="108" w:type="dxa"/>
          </w:tblCellMar>
        </w:tblPrEx>
        <w:trPr>
          <w:trHeight w:val="340" w:hRule="atLeast"/>
          <w:jc w:val="center"/>
        </w:trPr>
        <w:tc>
          <w:tcPr>
            <w:tcW w:w="115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一般防渗区</w:t>
            </w:r>
          </w:p>
        </w:tc>
        <w:tc>
          <w:tcPr>
            <w:tcW w:w="337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生产车间、防渗化粪池、三级沉淀池、冷却水池、一般固废暂存间</w:t>
            </w:r>
          </w:p>
        </w:tc>
        <w:tc>
          <w:tcPr>
            <w:tcW w:w="39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lang w:val="en-US" w:eastAsia="zh-CN"/>
              </w:rPr>
              <w:t>地面进行防渗，采用混凝土+渗透结晶型防水剂铺设，属于一般防渗区，渗透系数≤10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w:t>
            </w:r>
            <w:r>
              <w:rPr>
                <w:rFonts w:hint="default" w:ascii="Times New Roman" w:hAnsi="Times New Roman" w:eastAsia="宋体" w:cs="Times New Roman"/>
                <w:color w:val="auto"/>
                <w:kern w:val="0"/>
                <w:sz w:val="21"/>
                <w:szCs w:val="21"/>
                <w:highlight w:val="none"/>
              </w:rPr>
              <w:t>；或参照GB16889执行</w:t>
            </w:r>
          </w:p>
        </w:tc>
      </w:tr>
      <w:tr>
        <w:tblPrEx>
          <w:tblCellMar>
            <w:top w:w="0" w:type="dxa"/>
            <w:left w:w="108" w:type="dxa"/>
            <w:bottom w:w="0" w:type="dxa"/>
            <w:right w:w="108" w:type="dxa"/>
          </w:tblCellMar>
        </w:tblPrEx>
        <w:trPr>
          <w:trHeight w:val="340" w:hRule="atLeast"/>
          <w:jc w:val="center"/>
        </w:trPr>
        <w:tc>
          <w:tcPr>
            <w:tcW w:w="115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简单防渗区</w:t>
            </w:r>
          </w:p>
        </w:tc>
        <w:tc>
          <w:tcPr>
            <w:tcW w:w="337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原材料库</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成品库</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办公室</w:t>
            </w:r>
          </w:p>
        </w:tc>
        <w:tc>
          <w:tcPr>
            <w:tcW w:w="398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一般地面硬化</w:t>
            </w:r>
          </w:p>
        </w:tc>
      </w:tr>
    </w:tbl>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工程依据污水处理的过程、环节、结合拟建工程总平面布置情况，将拟建项目场地分别划分为重点防渗区、一般防渗区。</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重点污染防治区：包括</w:t>
      </w:r>
      <w:r>
        <w:rPr>
          <w:rFonts w:hint="default" w:ascii="Times New Roman" w:hAnsi="Times New Roman" w:eastAsia="宋体" w:cs="Times New Roman"/>
          <w:color w:val="auto"/>
          <w:kern w:val="0"/>
          <w:sz w:val="24"/>
          <w:szCs w:val="24"/>
          <w:highlight w:val="none"/>
        </w:rPr>
        <w:t>危废暂存间，其防渗要求等效黏土防渗层Mb≥6.0m，K≤1×10</w:t>
      </w:r>
      <w:r>
        <w:rPr>
          <w:rFonts w:hint="default" w:ascii="Times New Roman" w:hAnsi="Times New Roman" w:eastAsia="宋体" w:cs="Times New Roman"/>
          <w:color w:val="auto"/>
          <w:kern w:val="0"/>
          <w:sz w:val="24"/>
          <w:szCs w:val="24"/>
          <w:highlight w:val="none"/>
          <w:vertAlign w:val="superscript"/>
        </w:rPr>
        <w:t>-10</w:t>
      </w:r>
      <w:r>
        <w:rPr>
          <w:rFonts w:hint="default" w:ascii="Times New Roman" w:hAnsi="Times New Roman" w:eastAsia="宋体" w:cs="Times New Roman"/>
          <w:color w:val="auto"/>
          <w:kern w:val="0"/>
          <w:sz w:val="24"/>
          <w:szCs w:val="24"/>
          <w:highlight w:val="none"/>
        </w:rPr>
        <w:t>cm/s。重点防渗区各单元采用结构厚度不应小于250mm，混凝土抗渗等级不应低于P8，且表面应涂刷水泥基渗透结晶型或喷涂聚脲等防水材料，或在混凝土内掺加水泥基渗透结晶型防水剂等防渗措施，再铺设2mm厚HDPE膜（膜的渗透系数小于1.0×10</w:t>
      </w:r>
      <w:r>
        <w:rPr>
          <w:rFonts w:hint="default" w:ascii="Times New Roman" w:hAnsi="Times New Roman" w:eastAsia="宋体" w:cs="Times New Roman"/>
          <w:color w:val="auto"/>
          <w:kern w:val="0"/>
          <w:sz w:val="24"/>
          <w:szCs w:val="24"/>
          <w:highlight w:val="none"/>
          <w:vertAlign w:val="superscript"/>
        </w:rPr>
        <w:t>-1</w:t>
      </w:r>
      <w:r>
        <w:rPr>
          <w:rFonts w:hint="default" w:ascii="Times New Roman" w:hAnsi="Times New Roman" w:eastAsia="宋体" w:cs="Times New Roman"/>
          <w:color w:val="auto"/>
          <w:kern w:val="0"/>
          <w:sz w:val="24"/>
          <w:szCs w:val="24"/>
          <w:highlight w:val="none"/>
          <w:vertAlign w:val="superscript"/>
          <w:lang w:val="en-US" w:eastAsia="zh-CN"/>
        </w:rPr>
        <w:t>0</w:t>
      </w:r>
      <w:r>
        <w:rPr>
          <w:rFonts w:hint="default" w:ascii="Times New Roman" w:hAnsi="Times New Roman" w:eastAsia="宋体" w:cs="Times New Roman"/>
          <w:color w:val="auto"/>
          <w:kern w:val="0"/>
          <w:sz w:val="24"/>
          <w:szCs w:val="24"/>
          <w:highlight w:val="none"/>
        </w:rPr>
        <w:t>cm/s），整体防渗性能等效黏土防渗层Mb≥6.0m，K≤1×10</w:t>
      </w:r>
      <w:r>
        <w:rPr>
          <w:rFonts w:hint="default" w:ascii="Times New Roman" w:hAnsi="Times New Roman" w:eastAsia="宋体" w:cs="Times New Roman"/>
          <w:color w:val="auto"/>
          <w:kern w:val="0"/>
          <w:sz w:val="24"/>
          <w:szCs w:val="24"/>
          <w:highlight w:val="none"/>
          <w:vertAlign w:val="superscript"/>
        </w:rPr>
        <w:t>-</w:t>
      </w:r>
      <w:r>
        <w:rPr>
          <w:rFonts w:hint="default" w:ascii="Times New Roman" w:hAnsi="Times New Roman" w:eastAsia="宋体" w:cs="Times New Roman"/>
          <w:color w:val="auto"/>
          <w:kern w:val="0"/>
          <w:sz w:val="24"/>
          <w:szCs w:val="24"/>
          <w:highlight w:val="none"/>
          <w:vertAlign w:val="superscript"/>
          <w:lang w:val="en-US" w:eastAsia="zh-CN"/>
        </w:rPr>
        <w:t>10</w:t>
      </w:r>
      <w:r>
        <w:rPr>
          <w:rFonts w:hint="default" w:ascii="Times New Roman" w:hAnsi="Times New Roman" w:eastAsia="宋体" w:cs="Times New Roman"/>
          <w:color w:val="auto"/>
          <w:kern w:val="0"/>
          <w:sz w:val="24"/>
          <w:szCs w:val="24"/>
          <w:highlight w:val="none"/>
        </w:rPr>
        <w:t>cm/s。</w:t>
      </w:r>
    </w:p>
    <w:p>
      <w:pPr>
        <w:keepNext w:val="0"/>
        <w:keepLines w:val="0"/>
        <w:pageBreakBefore w:val="0"/>
        <w:shd w:val="clear"/>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一般防渗区：包括生产车间</w:t>
      </w:r>
      <w:r>
        <w:rPr>
          <w:rFonts w:hint="default" w:ascii="Times New Roman" w:hAnsi="Times New Roman" w:eastAsia="宋体" w:cs="Times New Roman"/>
          <w:color w:val="auto"/>
          <w:kern w:val="0"/>
          <w:sz w:val="24"/>
          <w:szCs w:val="24"/>
          <w:highlight w:val="none"/>
          <w:lang w:val="en-US" w:eastAsia="zh-CN"/>
        </w:rPr>
        <w:t>、防渗化粪池、三级沉淀池、冷却水池、</w:t>
      </w:r>
      <w:r>
        <w:rPr>
          <w:rFonts w:hint="default" w:ascii="Times New Roman" w:hAnsi="Times New Roman" w:eastAsia="宋体" w:cs="Times New Roman"/>
          <w:color w:val="auto"/>
          <w:kern w:val="0"/>
          <w:sz w:val="24"/>
          <w:szCs w:val="24"/>
          <w:highlight w:val="none"/>
        </w:rPr>
        <w:t>一般固废暂存区等，其防渗要求等效黏土防渗层Mb≥1.5m，K≤1×10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rPr>
        <w:t>一般防渗区通过在抗渗混凝土面层（包括钢筋混凝土、钢纤维混凝土）中掺水泥及渗透结晶型防水剂，其下铺砌砂石基层，原土夯实达到防渗的目的。对于混凝土中间的伸缩缝和实体基础的缝隙，通过填充柔性材料达到防渗目的。一般污染防治区混凝土厚度不宜小于100mm。</w:t>
      </w:r>
      <w:r>
        <w:rPr>
          <w:rFonts w:hint="default" w:ascii="Times New Roman" w:hAnsi="Times New Roman" w:eastAsia="宋体" w:cs="Times New Roman"/>
          <w:color w:val="auto"/>
          <w:kern w:val="0"/>
          <w:sz w:val="24"/>
          <w:szCs w:val="24"/>
          <w:highlight w:val="none"/>
        </w:rPr>
        <w:t>整体防渗性能等效黏土防渗层Mb≥1.5m，K≤1×10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简单防渗区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原材料库、成品库、</w:t>
      </w:r>
      <w:r>
        <w:rPr>
          <w:rFonts w:hint="default" w:ascii="Times New Roman" w:hAnsi="Times New Roman" w:eastAsia="宋体" w:cs="Times New Roman"/>
          <w:color w:val="auto"/>
          <w:kern w:val="0"/>
          <w:sz w:val="24"/>
          <w:szCs w:val="24"/>
          <w:highlight w:val="none"/>
          <w:lang w:eastAsia="zh-CN"/>
        </w:rPr>
        <w:t>办公室，</w:t>
      </w:r>
      <w:r>
        <w:rPr>
          <w:rFonts w:hint="default" w:ascii="Times New Roman" w:hAnsi="Times New Roman" w:eastAsia="宋体" w:cs="Times New Roman"/>
          <w:color w:val="auto"/>
          <w:sz w:val="24"/>
          <w:szCs w:val="24"/>
          <w:highlight w:val="none"/>
        </w:rPr>
        <w:t>做一般地面硬化</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shd w:val="clear"/>
        <w:kinsoku/>
        <w:wordWrap/>
        <w:overflowPunct/>
        <w:topLinePunct w:val="0"/>
        <w:bidi w:val="0"/>
        <w:snapToGrid w:val="0"/>
        <w:spacing w:line="360" w:lineRule="auto"/>
        <w:ind w:firstLine="482" w:firstLineChars="200"/>
        <w:jc w:val="left"/>
        <w:rPr>
          <w:rFonts w:hint="default" w:ascii="Times New Roman" w:hAnsi="Times New Roman" w:eastAsia="宋体" w:cs="Times New Roman"/>
          <w:b/>
          <w:bCs/>
          <w:color w:val="auto"/>
          <w:sz w:val="24"/>
          <w:szCs w:val="24"/>
          <w:highlight w:val="none"/>
        </w:rPr>
        <w:sectPr>
          <w:pgSz w:w="11906" w:h="16838"/>
          <w:pgMar w:top="1440" w:right="1797" w:bottom="1440" w:left="1797" w:header="851" w:footer="992" w:gutter="0"/>
          <w:pgNumType w:fmt="decimal"/>
          <w:cols w:space="425" w:num="1"/>
          <w:docGrid w:type="lines" w:linePitch="312" w:charSpace="0"/>
        </w:sectPr>
      </w:pPr>
    </w:p>
    <w:p>
      <w:pPr>
        <w:shd w:val="clear"/>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rPr>
        <mc:AlternateContent>
          <mc:Choice Requires="wps">
            <w:drawing>
              <wp:anchor distT="0" distB="0" distL="114300" distR="114300" simplePos="0" relativeHeight="251766784" behindDoc="0" locked="0" layoutInCell="1" allowOverlap="1">
                <wp:simplePos x="0" y="0"/>
                <wp:positionH relativeFrom="column">
                  <wp:posOffset>3669665</wp:posOffset>
                </wp:positionH>
                <wp:positionV relativeFrom="paragraph">
                  <wp:posOffset>854075</wp:posOffset>
                </wp:positionV>
                <wp:extent cx="1115695" cy="539750"/>
                <wp:effectExtent l="12700" t="12700" r="14605" b="19050"/>
                <wp:wrapNone/>
                <wp:docPr id="208" name="矩形 208"/>
                <wp:cNvGraphicFramePr/>
                <a:graphic xmlns:a="http://schemas.openxmlformats.org/drawingml/2006/main">
                  <a:graphicData uri="http://schemas.microsoft.com/office/word/2010/wordprocessingShape">
                    <wps:wsp>
                      <wps:cNvSpPr/>
                      <wps:spPr>
                        <a:xfrm>
                          <a:off x="0" y="0"/>
                          <a:ext cx="1115695" cy="539750"/>
                        </a:xfrm>
                        <a:prstGeom prst="rect">
                          <a:avLst/>
                        </a:prstGeom>
                        <a:solidFill>
                          <a:srgbClr val="00B050">
                            <a:alpha val="48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95pt;margin-top:67.25pt;height:42.5pt;width:87.85pt;z-index:251766784;v-text-anchor:middle;mso-width-relative:page;mso-height-relative:page;" fillcolor="#00B050" filled="t" stroked="t" coordsize="21600,21600" o:gfxdata="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XsO5+1wAAAAsBAAAPAAAAAAAAAAEAIAAAACIAAABkcnMv&#10;ZG93bnJldi54bWxQSwECFAAUAAAACACHTuJALqfaN3YCAAACBQAADgAAAAAAAAABACAAAAAmAQAA&#10;ZHJzL2Uyb0RvYy54bWxQSwUGAAAAAAYABgBZAQAADgYAAAAA&#10;">
                <v:fill on="t" opacity="31457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63712" behindDoc="0" locked="0" layoutInCell="1" allowOverlap="1">
                <wp:simplePos x="0" y="0"/>
                <wp:positionH relativeFrom="column">
                  <wp:posOffset>3672205</wp:posOffset>
                </wp:positionH>
                <wp:positionV relativeFrom="paragraph">
                  <wp:posOffset>1414780</wp:posOffset>
                </wp:positionV>
                <wp:extent cx="1115695" cy="1764030"/>
                <wp:effectExtent l="12700" t="12700" r="14605" b="13970"/>
                <wp:wrapNone/>
                <wp:docPr id="205" name="矩形 205"/>
                <wp:cNvGraphicFramePr/>
                <a:graphic xmlns:a="http://schemas.openxmlformats.org/drawingml/2006/main">
                  <a:graphicData uri="http://schemas.microsoft.com/office/word/2010/wordprocessingShape">
                    <wps:wsp>
                      <wps:cNvSpPr/>
                      <wps:spPr>
                        <a:xfrm>
                          <a:off x="0" y="0"/>
                          <a:ext cx="1115695" cy="1764030"/>
                        </a:xfrm>
                        <a:prstGeom prst="rect">
                          <a:avLst/>
                        </a:prstGeom>
                        <a:solidFill>
                          <a:schemeClr val="accent6">
                            <a:lumMod val="75000"/>
                            <a:alpha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15pt;margin-top:111.4pt;height:138.9pt;width:87.85pt;z-index:251763712;v-text-anchor:middle;mso-width-relative:page;mso-height-relative:page;" fillcolor="#E46C0A [2409]" filled="t" stroked="t" coordsize="21600,21600" o:gfxdata="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cV7//aAAAACwEAAA8A&#10;AAAAAAAAAQAgAAAAIgAAAGRycy9kb3ducmV2LnhtbFBLAQIUABQAAAAIAIdO4kBNBL1ohwIAABoF&#10;AAAOAAAAAAAAAAEAIAAAACkBAABkcnMvZTJvRG9jLnhtbFBLBQYAAAAABgAGAFkBAAAiBgAAAAA=&#10;">
                <v:fill on="t" opacity="39321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65760" behindDoc="0" locked="0" layoutInCell="1" allowOverlap="1">
                <wp:simplePos x="0" y="0"/>
                <wp:positionH relativeFrom="column">
                  <wp:posOffset>4394200</wp:posOffset>
                </wp:positionH>
                <wp:positionV relativeFrom="paragraph">
                  <wp:posOffset>3182620</wp:posOffset>
                </wp:positionV>
                <wp:extent cx="396240" cy="323850"/>
                <wp:effectExtent l="12700" t="12700" r="29210" b="25400"/>
                <wp:wrapNone/>
                <wp:docPr id="207" name="矩形 207"/>
                <wp:cNvGraphicFramePr/>
                <a:graphic xmlns:a="http://schemas.openxmlformats.org/drawingml/2006/main">
                  <a:graphicData uri="http://schemas.microsoft.com/office/word/2010/wordprocessingShape">
                    <wps:wsp>
                      <wps:cNvSpPr/>
                      <wps:spPr>
                        <a:xfrm>
                          <a:off x="0" y="0"/>
                          <a:ext cx="396240" cy="323850"/>
                        </a:xfrm>
                        <a:prstGeom prst="rect">
                          <a:avLst/>
                        </a:prstGeom>
                        <a:solidFill>
                          <a:schemeClr val="accent6">
                            <a:lumMod val="75000"/>
                            <a:alpha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pt;margin-top:250.6pt;height:25.5pt;width:31.2pt;z-index:251765760;v-text-anchor:middle;mso-width-relative:page;mso-height-relative:page;" fillcolor="#E46C0A [2409]" filled="t" stroked="t" coordsize="21600,21600" o:gfxdata="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0+wMJdsAAAALAQAADwAA&#10;AAAAAAABACAAAAAiAAAAZHJzL2Rvd25yZXYueG1sUEsBAhQAFAAAAAgAh07iQCQBHeeFAgAAGAUA&#10;AA4AAAAAAAAAAQAgAAAAKgEAAGRycy9lMm9Eb2MueG1sUEsFBgAAAAAGAAYAWQEAACEGAAAAAA==&#10;">
                <v:fill on="t" opacity="39321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59616" behindDoc="0" locked="0" layoutInCell="1" allowOverlap="1">
                <wp:simplePos x="0" y="0"/>
                <wp:positionH relativeFrom="column">
                  <wp:posOffset>4396105</wp:posOffset>
                </wp:positionH>
                <wp:positionV relativeFrom="paragraph">
                  <wp:posOffset>3493770</wp:posOffset>
                </wp:positionV>
                <wp:extent cx="396240" cy="144145"/>
                <wp:effectExtent l="12700" t="12700" r="29210" b="14605"/>
                <wp:wrapNone/>
                <wp:docPr id="201" name="矩形 201"/>
                <wp:cNvGraphicFramePr/>
                <a:graphic xmlns:a="http://schemas.openxmlformats.org/drawingml/2006/main">
                  <a:graphicData uri="http://schemas.microsoft.com/office/word/2010/wordprocessingShape">
                    <wps:wsp>
                      <wps:cNvSpPr/>
                      <wps:spPr>
                        <a:xfrm>
                          <a:off x="0" y="0"/>
                          <a:ext cx="396240" cy="144145"/>
                        </a:xfrm>
                        <a:prstGeom prst="rect">
                          <a:avLst/>
                        </a:prstGeom>
                        <a:solidFill>
                          <a:srgbClr val="FF0000">
                            <a:alpha val="51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15pt;margin-top:275.1pt;height:11.35pt;width:31.2pt;z-index:251759616;v-text-anchor:middle;mso-width-relative:page;mso-height-relative:page;" fillcolor="#FF0000" filled="t" stroked="t" coordsize="21600,21600" o:gfxdata="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njwD9oAAAALAQAADwAAAAAAAAABACAAAAAiAAAAZHJz&#10;L2Rvd25yZXYueG1sUEsBAhQAFAAAAAgAh07iQJd8XvB0AgAAAQUAAA4AAAAAAAAAAQAgAAAAKQEA&#10;AGRycy9lMm9Eb2MueG1sUEsFBgAAAAAGAAYAWQEAAA8GAAAAAA==&#10;">
                <v:fill on="t" opacity="33423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64736" behindDoc="0" locked="0" layoutInCell="1" allowOverlap="1">
                <wp:simplePos x="0" y="0"/>
                <wp:positionH relativeFrom="column">
                  <wp:posOffset>3671570</wp:posOffset>
                </wp:positionH>
                <wp:positionV relativeFrom="paragraph">
                  <wp:posOffset>3187700</wp:posOffset>
                </wp:positionV>
                <wp:extent cx="720090" cy="431800"/>
                <wp:effectExtent l="12700" t="12700" r="29210" b="12700"/>
                <wp:wrapNone/>
                <wp:docPr id="206" name="矩形 206"/>
                <wp:cNvGraphicFramePr/>
                <a:graphic xmlns:a="http://schemas.openxmlformats.org/drawingml/2006/main">
                  <a:graphicData uri="http://schemas.microsoft.com/office/word/2010/wordprocessingShape">
                    <wps:wsp>
                      <wps:cNvSpPr/>
                      <wps:spPr>
                        <a:xfrm>
                          <a:off x="0" y="0"/>
                          <a:ext cx="720090" cy="431800"/>
                        </a:xfrm>
                        <a:prstGeom prst="rect">
                          <a:avLst/>
                        </a:prstGeom>
                        <a:solidFill>
                          <a:schemeClr val="accent6">
                            <a:lumMod val="75000"/>
                            <a:alpha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1pt;margin-top:251pt;height:34pt;width:56.7pt;z-index:251764736;v-text-anchor:middle;mso-width-relative:page;mso-height-relative:page;" fillcolor="#E46C0A [2409]" filled="t" stroked="t" coordsize="21600,21600" o:gfxdata="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vhVM52gAAAAsBAAAPAAAA&#10;AAAAAAEAIAAAACIAAABkcnMvZG93bnJldi54bWxQSwECFAAUAAAACACHTuJAQHtd04UCAAAYBQAA&#10;DgAAAAAAAAABACAAAAApAQAAZHJzL2Uyb0RvYy54bWxQSwUGAAAAAAYABgBZAQAAIAYAAAAA&#10;">
                <v:fill on="t" opacity="39321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61664" behindDoc="0" locked="0" layoutInCell="1" allowOverlap="1">
                <wp:simplePos x="0" y="0"/>
                <wp:positionH relativeFrom="column">
                  <wp:posOffset>1394460</wp:posOffset>
                </wp:positionH>
                <wp:positionV relativeFrom="paragraph">
                  <wp:posOffset>468630</wp:posOffset>
                </wp:positionV>
                <wp:extent cx="2700020" cy="288290"/>
                <wp:effectExtent l="12700" t="12700" r="30480" b="22860"/>
                <wp:wrapNone/>
                <wp:docPr id="203" name="矩形 203"/>
                <wp:cNvGraphicFramePr/>
                <a:graphic xmlns:a="http://schemas.openxmlformats.org/drawingml/2006/main">
                  <a:graphicData uri="http://schemas.microsoft.com/office/word/2010/wordprocessingShape">
                    <wps:wsp>
                      <wps:cNvSpPr/>
                      <wps:spPr>
                        <a:xfrm>
                          <a:off x="0" y="0"/>
                          <a:ext cx="2700020" cy="288290"/>
                        </a:xfrm>
                        <a:prstGeom prst="rect">
                          <a:avLst/>
                        </a:prstGeom>
                        <a:solidFill>
                          <a:srgbClr val="00B050">
                            <a:alpha val="48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8pt;margin-top:36.9pt;height:22.7pt;width:212.6pt;z-index:251761664;v-text-anchor:middle;mso-width-relative:page;mso-height-relative:page;" fillcolor="#00B050" filled="t" stroked="t" coordsize="21600,21600" o:gfxdata="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w9lhH1QAAAAoBAAAPAAAAAAAAAAEAIAAAACIAAABkcnMvZG93bnJl&#10;di54bWxQSwECFAAUAAAACACHTuJAl1aq/HICAAACBQAADgAAAAAAAAABACAAAAAkAQAAZHJzL2Uy&#10;b0RvYy54bWxQSwUGAAAAAAYABgBZAQAACAYAAAAA&#10;">
                <v:fill on="t" opacity="31457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62688" behindDoc="0" locked="0" layoutInCell="1" allowOverlap="1">
                <wp:simplePos x="0" y="0"/>
                <wp:positionH relativeFrom="column">
                  <wp:posOffset>274320</wp:posOffset>
                </wp:positionH>
                <wp:positionV relativeFrom="paragraph">
                  <wp:posOffset>1779905</wp:posOffset>
                </wp:positionV>
                <wp:extent cx="288290" cy="720090"/>
                <wp:effectExtent l="12700" t="12700" r="22860" b="29210"/>
                <wp:wrapNone/>
                <wp:docPr id="204" name="矩形 204"/>
                <wp:cNvGraphicFramePr/>
                <a:graphic xmlns:a="http://schemas.openxmlformats.org/drawingml/2006/main">
                  <a:graphicData uri="http://schemas.microsoft.com/office/word/2010/wordprocessingShape">
                    <wps:wsp>
                      <wps:cNvSpPr/>
                      <wps:spPr>
                        <a:xfrm>
                          <a:off x="0" y="0"/>
                          <a:ext cx="288290" cy="720090"/>
                        </a:xfrm>
                        <a:prstGeom prst="rect">
                          <a:avLst/>
                        </a:prstGeom>
                        <a:solidFill>
                          <a:schemeClr val="accent6">
                            <a:lumMod val="75000"/>
                            <a:alpha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pt;margin-top:140.15pt;height:56.7pt;width:22.7pt;z-index:251762688;v-text-anchor:middle;mso-width-relative:page;mso-height-relative:page;" fillcolor="#E46C0A [2409]" filled="t" stroked="t" coordsize="21600,21600" o:gfxdata="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2I8KTdoAAAAJAQAADwAAAAAA&#10;AAABACAAAAAiAAAAZHJzL2Rvd25yZXYueG1sUEsBAhQAFAAAAAgAh07iQHN2py6DAgAAGAUAAA4A&#10;AAAAAAAAAQAgAAAAKQEAAGRycy9lMm9Eb2MueG1sUEsFBgAAAAAGAAYAWQEAAB4GAAAAAA==&#10;">
                <v:fill on="t" opacity="39321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60640" behindDoc="0" locked="0" layoutInCell="1" allowOverlap="1">
                <wp:simplePos x="0" y="0"/>
                <wp:positionH relativeFrom="column">
                  <wp:posOffset>614680</wp:posOffset>
                </wp:positionH>
                <wp:positionV relativeFrom="paragraph">
                  <wp:posOffset>856615</wp:posOffset>
                </wp:positionV>
                <wp:extent cx="828040" cy="1764030"/>
                <wp:effectExtent l="12700" t="12700" r="16510" b="13970"/>
                <wp:wrapNone/>
                <wp:docPr id="202" name="矩形 202"/>
                <wp:cNvGraphicFramePr/>
                <a:graphic xmlns:a="http://schemas.openxmlformats.org/drawingml/2006/main">
                  <a:graphicData uri="http://schemas.microsoft.com/office/word/2010/wordprocessingShape">
                    <wps:wsp>
                      <wps:cNvSpPr/>
                      <wps:spPr>
                        <a:xfrm>
                          <a:off x="0" y="0"/>
                          <a:ext cx="828040" cy="1764030"/>
                        </a:xfrm>
                        <a:prstGeom prst="rect">
                          <a:avLst/>
                        </a:prstGeom>
                        <a:solidFill>
                          <a:schemeClr val="accent6">
                            <a:lumMod val="75000"/>
                            <a:alpha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4pt;margin-top:67.45pt;height:138.9pt;width:65.2pt;z-index:251760640;v-text-anchor:middle;mso-width-relative:page;mso-height-relative:page;" fillcolor="#E46C0A [2409]" filled="t" stroked="t" coordsize="21600,21600" o:gfxdata="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TEC17bAAAACgEAAA8A&#10;AAAAAAAAAQAgAAAAIgAAAGRycy9kb3ducmV2LnhtbFBLAQIUABQAAAAIAIdO4kB84SeKhgIAABkF&#10;AAAOAAAAAAAAAAEAIAAAACoBAABkcnMvZTJvRG9jLnhtbFBLBQYAAAAABgAGAFkBAAAiBgAAAAA=&#10;">
                <v:fill on="t" opacity="39321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67808" behindDoc="0" locked="0" layoutInCell="1" allowOverlap="1">
                <wp:simplePos x="0" y="0"/>
                <wp:positionH relativeFrom="column">
                  <wp:posOffset>603885</wp:posOffset>
                </wp:positionH>
                <wp:positionV relativeFrom="paragraph">
                  <wp:posOffset>2621915</wp:posOffset>
                </wp:positionV>
                <wp:extent cx="1403985" cy="1043940"/>
                <wp:effectExtent l="12700" t="12700" r="31115" b="29210"/>
                <wp:wrapNone/>
                <wp:docPr id="209" name="矩形 209"/>
                <wp:cNvGraphicFramePr/>
                <a:graphic xmlns:a="http://schemas.openxmlformats.org/drawingml/2006/main">
                  <a:graphicData uri="http://schemas.microsoft.com/office/word/2010/wordprocessingShape">
                    <wps:wsp>
                      <wps:cNvSpPr/>
                      <wps:spPr>
                        <a:xfrm>
                          <a:off x="0" y="0"/>
                          <a:ext cx="1403985" cy="1043940"/>
                        </a:xfrm>
                        <a:prstGeom prst="rect">
                          <a:avLst/>
                        </a:prstGeom>
                        <a:solidFill>
                          <a:srgbClr val="00B050">
                            <a:alpha val="48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55pt;margin-top:206.45pt;height:82.2pt;width:110.55pt;z-index:251767808;v-text-anchor:middle;mso-width-relative:page;mso-height-relative:page;" fillcolor="#00B050" filled="t" stroked="t" coordsize="21600,21600" o:gfxdata="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EO5xdYAAAAKAQAADwAAAAAAAAABACAAAAAiAAAAZHJz&#10;L2Rvd25yZXYueG1sUEsBAhQAFAAAAAgAh07iQM2vI0R4AgAAAwUAAA4AAAAAAAAAAQAgAAAAJQEA&#10;AGRycy9lMm9Eb2MueG1sUEsFBgAAAAAGAAYAWQEAAA8GAAAAAA==&#10;">
                <v:fill on="t" opacity="31457f"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6128" behindDoc="0" locked="0" layoutInCell="1" allowOverlap="1">
                <wp:simplePos x="0" y="0"/>
                <wp:positionH relativeFrom="column">
                  <wp:posOffset>4144010</wp:posOffset>
                </wp:positionH>
                <wp:positionV relativeFrom="paragraph">
                  <wp:posOffset>7658735</wp:posOffset>
                </wp:positionV>
                <wp:extent cx="539750" cy="179705"/>
                <wp:effectExtent l="12700" t="12700" r="19050" b="17145"/>
                <wp:wrapNone/>
                <wp:docPr id="119" name="矩形 119"/>
                <wp:cNvGraphicFramePr/>
                <a:graphic xmlns:a="http://schemas.openxmlformats.org/drawingml/2006/main">
                  <a:graphicData uri="http://schemas.microsoft.com/office/word/2010/wordprocessingShape">
                    <wps:wsp>
                      <wps:cNvSpPr/>
                      <wps:spPr>
                        <a:xfrm>
                          <a:off x="0" y="0"/>
                          <a:ext cx="539750" cy="17970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3pt;margin-top:603.05pt;height:14.15pt;width:42.5pt;z-index:251696128;v-text-anchor:middle;mso-width-relative:page;mso-height-relative:page;" fillcolor="#00B050" filled="t" stroked="t" coordsize="21600,21600" o:gfxdata="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f95dZ2gAAAA0BAAAPAAAAAAAAAAEAIAAAACIAAABkcnMvZG93bnJldi54bWxQSwECFAAU&#10;AAAACACHTuJAYqnre2ECAADgBAAADgAAAAAAAAABACAAAAApAQAAZHJzL2Uyb0RvYy54bWxQSwUG&#10;AAAAAAYABgBZAQAA/AUAAAAA&#10;">
                <v:fill on="t"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4080" behindDoc="0" locked="0" layoutInCell="1" allowOverlap="1">
                <wp:simplePos x="0" y="0"/>
                <wp:positionH relativeFrom="column">
                  <wp:posOffset>4131945</wp:posOffset>
                </wp:positionH>
                <wp:positionV relativeFrom="paragraph">
                  <wp:posOffset>6854190</wp:posOffset>
                </wp:positionV>
                <wp:extent cx="539750" cy="179705"/>
                <wp:effectExtent l="12700" t="12700" r="19050" b="17145"/>
                <wp:wrapNone/>
                <wp:docPr id="117" name="矩形 117"/>
                <wp:cNvGraphicFramePr/>
                <a:graphic xmlns:a="http://schemas.openxmlformats.org/drawingml/2006/main">
                  <a:graphicData uri="http://schemas.microsoft.com/office/word/2010/wordprocessingShape">
                    <wps:wsp>
                      <wps:cNvSpPr/>
                      <wps:spPr>
                        <a:xfrm>
                          <a:off x="1764030" y="5616575"/>
                          <a:ext cx="539750" cy="179705"/>
                        </a:xfrm>
                        <a:prstGeom prst="rect">
                          <a:avLst/>
                        </a:prstGeom>
                        <a:solidFill>
                          <a:srgbClr val="FF000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35pt;margin-top:539.7pt;height:14.15pt;width:42.5pt;z-index:251694080;v-text-anchor:middle;mso-width-relative:page;mso-height-relative:page;" fillcolor="#FF0000" filled="t" stroked="t" coordsize="21600,21600" o:gfxdata="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7b0JLbAAAADQEAAA8AAAAAAAAAAQAgAAAAIgAA&#10;AGRycy9kb3ducmV2LnhtbFBLAQIUABQAAAAIAIdO4kA17qhVdwIAAOwEAAAOAAAAAAAAAAEAIAAA&#10;ACoBAABkcnMvZTJvRG9jLnhtbFBLBQYAAAAABgAGAFkBAAATBgAAAAA=&#10;">
                <v:fill on="t"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5104" behindDoc="0" locked="0" layoutInCell="1" allowOverlap="1">
                <wp:simplePos x="0" y="0"/>
                <wp:positionH relativeFrom="column">
                  <wp:posOffset>4144645</wp:posOffset>
                </wp:positionH>
                <wp:positionV relativeFrom="paragraph">
                  <wp:posOffset>7247255</wp:posOffset>
                </wp:positionV>
                <wp:extent cx="539750" cy="179705"/>
                <wp:effectExtent l="12700" t="12700" r="19050" b="17145"/>
                <wp:wrapNone/>
                <wp:docPr id="118" name="矩形 118"/>
                <wp:cNvGraphicFramePr/>
                <a:graphic xmlns:a="http://schemas.openxmlformats.org/drawingml/2006/main">
                  <a:graphicData uri="http://schemas.microsoft.com/office/word/2010/wordprocessingShape">
                    <wps:wsp>
                      <wps:cNvSpPr/>
                      <wps:spPr>
                        <a:xfrm>
                          <a:off x="0" y="0"/>
                          <a:ext cx="539750" cy="179705"/>
                        </a:xfrm>
                        <a:prstGeom prst="rect">
                          <a:avLst/>
                        </a:prstGeom>
                        <a:solidFill>
                          <a:schemeClr val="accent6">
                            <a:lumMod val="75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35pt;margin-top:570.65pt;height:14.15pt;width:42.5pt;z-index:251695104;v-text-anchor:middle;mso-width-relative:page;mso-height-relative:page;" fillcolor="#E46C0A [2409]" filled="t" stroked="t" coordsize="21600,21600" o:gfxdata="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ceW6LZAAAADQEAAA8AAAAAAAAAAQAgAAAA&#10;IgAAAGRycy9kb3ducmV2LnhtbFBLAQIUABQAAAAIAIdO4kB8NouBfAIAAAIFAAAOAAAAAAAAAAEA&#10;IAAAACgBAABkcnMvZTJvRG9jLnhtbFBLBQYAAAAABgAGAFkBAAAWBgAAAAA=&#10;">
                <v:fill on="t" focussize="0,0"/>
                <v:stroke weight="2pt" color="#00B050 [32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58592" behindDoc="1" locked="0" layoutInCell="1" allowOverlap="1">
                <wp:simplePos x="0" y="0"/>
                <wp:positionH relativeFrom="column">
                  <wp:posOffset>3178810</wp:posOffset>
                </wp:positionH>
                <wp:positionV relativeFrom="paragraph">
                  <wp:posOffset>6292215</wp:posOffset>
                </wp:positionV>
                <wp:extent cx="1852930" cy="1715135"/>
                <wp:effectExtent l="12700" t="12700" r="20320" b="24765"/>
                <wp:wrapNone/>
                <wp:docPr id="200" name="矩形 200"/>
                <wp:cNvGraphicFramePr/>
                <a:graphic xmlns:a="http://schemas.openxmlformats.org/drawingml/2006/main">
                  <a:graphicData uri="http://schemas.microsoft.com/office/word/2010/wordprocessingShape">
                    <wps:wsp>
                      <wps:cNvSpPr/>
                      <wps:spPr>
                        <a:xfrm>
                          <a:off x="4246245" y="6746240"/>
                          <a:ext cx="1852930" cy="171513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snapToGrid/>
                              <w:spacing w:line="360" w:lineRule="auto"/>
                              <w:ind w:firstLine="0"/>
                              <w:jc w:val="cente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pStyle w:val="23"/>
                              <w:keepNext w:val="0"/>
                              <w:keepLines w:val="0"/>
                              <w:pageBreakBefore w:val="0"/>
                              <w:widowControl w:val="0"/>
                              <w:kinsoku/>
                              <w:wordWrap/>
                              <w:overflowPunct/>
                              <w:topLinePunct w:val="0"/>
                              <w:autoSpaceDE/>
                              <w:autoSpaceDN/>
                              <w:bidi w:val="0"/>
                              <w:snapToGrid/>
                              <w:spacing w:after="0" w:line="360" w:lineRule="auto"/>
                              <w:ind w:firstLine="0"/>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s="Times New Roman"/>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重点防渗区</w:t>
                            </w:r>
                          </w:p>
                          <w:p>
                            <w:pPr>
                              <w:keepNext w:val="0"/>
                              <w:keepLines w:val="0"/>
                              <w:pageBreakBefore w:val="0"/>
                              <w:widowControl w:val="0"/>
                              <w:kinsoku/>
                              <w:wordWrap/>
                              <w:overflowPunct/>
                              <w:topLinePunct w:val="0"/>
                              <w:autoSpaceDE/>
                              <w:autoSpaceDN/>
                              <w:bidi w:val="0"/>
                              <w:snapToGrid/>
                              <w:spacing w:line="360" w:lineRule="auto"/>
                              <w:ind w:firstLine="0"/>
                              <w:rPr>
                                <w:rFonts w:hint="eastAsia" w:cs="Times New Roman"/>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s="Times New Roman"/>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一般防渗区</w:t>
                            </w:r>
                          </w:p>
                          <w:p>
                            <w:pPr>
                              <w:keepNext w:val="0"/>
                              <w:keepLines w:val="0"/>
                              <w:pageBreakBefore w:val="0"/>
                              <w:widowControl w:val="0"/>
                              <w:kinsoku/>
                              <w:wordWrap/>
                              <w:overflowPunct/>
                              <w:topLinePunct w:val="0"/>
                              <w:autoSpaceDE/>
                              <w:autoSpaceDN/>
                              <w:bidi w:val="0"/>
                              <w:snapToGrid/>
                              <w:spacing w:line="360" w:lineRule="auto"/>
                              <w:ind w:firstLine="0"/>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s="Times New Roman"/>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简单防渗区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3pt;margin-top:495.45pt;height:135.05pt;width:145.9pt;z-index:-251557888;v-text-anchor:middle;mso-width-relative:page;mso-height-relative:page;" fillcolor="#D7E4BD [1302]" filled="t" stroked="t" coordsize="21600,21600" o:gfxdata="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aKfsR1wAAAAwBAAAPAAAAAAAAAAEAIAAAACIAAABkcnMvZG93bnJldi54bWxQSwEC&#10;FAAUAAAACACHTuJAQn1VFaACAABTBQAADgAAAAAAAAABACAAAAAmAQAAZHJzL2Uyb0RvYy54bWxQ&#10;SwUGAAAAAAYABgBZAQAAOAY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snapToGrid/>
                        <w:spacing w:line="360" w:lineRule="auto"/>
                        <w:ind w:firstLine="0"/>
                        <w:jc w:val="cente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pStyle w:val="23"/>
                        <w:keepNext w:val="0"/>
                        <w:keepLines w:val="0"/>
                        <w:pageBreakBefore w:val="0"/>
                        <w:widowControl w:val="0"/>
                        <w:kinsoku/>
                        <w:wordWrap/>
                        <w:overflowPunct/>
                        <w:topLinePunct w:val="0"/>
                        <w:autoSpaceDE/>
                        <w:autoSpaceDN/>
                        <w:bidi w:val="0"/>
                        <w:snapToGrid/>
                        <w:spacing w:after="0" w:line="360" w:lineRule="auto"/>
                        <w:ind w:firstLine="0"/>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s="Times New Roman"/>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重点防渗区</w:t>
                      </w:r>
                    </w:p>
                    <w:p>
                      <w:pPr>
                        <w:keepNext w:val="0"/>
                        <w:keepLines w:val="0"/>
                        <w:pageBreakBefore w:val="0"/>
                        <w:widowControl w:val="0"/>
                        <w:kinsoku/>
                        <w:wordWrap/>
                        <w:overflowPunct/>
                        <w:topLinePunct w:val="0"/>
                        <w:autoSpaceDE/>
                        <w:autoSpaceDN/>
                        <w:bidi w:val="0"/>
                        <w:snapToGrid/>
                        <w:spacing w:line="360" w:lineRule="auto"/>
                        <w:ind w:firstLine="0"/>
                        <w:rPr>
                          <w:rFonts w:hint="eastAsia" w:cs="Times New Roman"/>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s="Times New Roman"/>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一般防渗区</w:t>
                      </w:r>
                    </w:p>
                    <w:p>
                      <w:pPr>
                        <w:keepNext w:val="0"/>
                        <w:keepLines w:val="0"/>
                        <w:pageBreakBefore w:val="0"/>
                        <w:widowControl w:val="0"/>
                        <w:kinsoku/>
                        <w:wordWrap/>
                        <w:overflowPunct/>
                        <w:topLinePunct w:val="0"/>
                        <w:autoSpaceDE/>
                        <w:autoSpaceDN/>
                        <w:bidi w:val="0"/>
                        <w:snapToGrid/>
                        <w:spacing w:line="360" w:lineRule="auto"/>
                        <w:ind w:firstLine="0"/>
                        <w:rPr>
                          <w:rFonts w:hint="eastAsia"/>
                          <w:b/>
                          <w:bCs/>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s="Times New Roman"/>
                          <w:b/>
                          <w:bCs/>
                          <w:color w:val="000000" w:themeColor="text1"/>
                          <w:sz w:val="24"/>
                          <w:szCs w:val="24"/>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简单防渗区</w:t>
                      </w:r>
                    </w:p>
                  </w:txbxContent>
                </v:textbox>
              </v:rect>
            </w:pict>
          </mc:Fallback>
        </mc:AlternateContent>
      </w:r>
      <w:r>
        <w:rPr>
          <w:rFonts w:hint="default" w:ascii="Times New Roman" w:hAnsi="Times New Roman" w:eastAsia="宋体" w:cs="Times New Roman"/>
          <w:color w:val="auto"/>
          <w:sz w:val="24"/>
          <w:highlight w:val="none"/>
          <w:lang w:eastAsia="zh-CN"/>
        </w:rPr>
        <w:object>
          <v:shape id="_x0000_i1035" o:spt="75" type="#_x0000_t75" style="height:669.75pt;width:413.9pt;" o:ole="t" filled="f" o:preferrelative="t" stroked="f" coordsize="21600,21600">
            <v:path/>
            <v:fill on="f" focussize="0,0"/>
            <v:stroke on="f"/>
            <v:imagedata r:id="rId51" o:title=""/>
            <o:lock v:ext="edit" aspectratio="t"/>
            <w10:wrap type="none"/>
            <w10:anchorlock/>
          </v:shape>
          <o:OLEObject Type="Embed" ProgID="Visio.Drawing.11" ShapeID="_x0000_i1035" DrawAspect="Content" ObjectID="_1468075735" r:id="rId50">
            <o:LockedField>false</o:LockedField>
          </o:OLEObject>
        </w:object>
      </w:r>
    </w:p>
    <w:p>
      <w:pPr>
        <w:keepNext w:val="0"/>
        <w:keepLines w:val="0"/>
        <w:pageBreakBefore w:val="0"/>
        <w:widowControl/>
        <w:shd w:val="clear"/>
        <w:kinsoku/>
        <w:wordWrap/>
        <w:overflowPunct/>
        <w:topLinePunct w:val="0"/>
        <w:bidi w:val="0"/>
        <w:snapToGrid w:val="0"/>
        <w:spacing w:line="360" w:lineRule="auto"/>
        <w:jc w:val="center"/>
        <w:rPr>
          <w:rFonts w:hint="default" w:ascii="Times New Roman" w:hAnsi="Times New Roman" w:eastAsia="宋体" w:cs="Times New Roman"/>
          <w:b/>
          <w:bCs/>
          <w:color w:val="auto"/>
          <w:sz w:val="24"/>
          <w:szCs w:val="24"/>
          <w:highlight w:val="none"/>
        </w:rPr>
        <w:sectPr>
          <w:pgSz w:w="11906" w:h="16838"/>
          <w:pgMar w:top="1440" w:right="1797" w:bottom="1440" w:left="1797" w:header="851" w:footer="992" w:gutter="0"/>
          <w:pgNumType w:fmt="decimal"/>
          <w:cols w:space="425" w:num="1"/>
          <w:docGrid w:type="lines" w:linePitch="312" w:charSpace="0"/>
        </w:sectPr>
      </w:pPr>
      <w:r>
        <w:rPr>
          <w:rFonts w:hint="default" w:ascii="Times New Roman" w:hAnsi="Times New Roman" w:eastAsia="宋体" w:cs="Times New Roman"/>
          <w:b/>
          <w:bCs/>
          <w:color w:val="auto"/>
          <w:sz w:val="24"/>
          <w:szCs w:val="32"/>
          <w:highlight w:val="none"/>
        </w:rPr>
        <w:t>图5.</w:t>
      </w:r>
      <w:r>
        <w:rPr>
          <w:rFonts w:hint="default" w:ascii="Times New Roman" w:hAnsi="Times New Roman" w:eastAsia="宋体" w:cs="Times New Roman"/>
          <w:b/>
          <w:bCs/>
          <w:color w:val="auto"/>
          <w:sz w:val="24"/>
          <w:szCs w:val="32"/>
          <w:highlight w:val="none"/>
          <w:lang w:val="en-US" w:eastAsia="zh-CN"/>
        </w:rPr>
        <w:t>3-1</w:t>
      </w:r>
      <w:r>
        <w:rPr>
          <w:rFonts w:hint="default" w:ascii="Times New Roman" w:hAnsi="Times New Roman" w:eastAsia="宋体" w:cs="Times New Roman"/>
          <w:b/>
          <w:bCs/>
          <w:color w:val="auto"/>
          <w:sz w:val="24"/>
          <w:szCs w:val="32"/>
          <w:highlight w:val="none"/>
        </w:rPr>
        <w:t xml:space="preserve">  项目地下水防渗分区图</w:t>
      </w:r>
    </w:p>
    <w:p>
      <w:pPr>
        <w:keepNext w:val="0"/>
        <w:keepLines w:val="0"/>
        <w:pageBreakBefore w:val="0"/>
        <w:widowControl/>
        <w:shd w:val="clear"/>
        <w:kinsoku/>
        <w:wordWrap/>
        <w:overflowPunct/>
        <w:topLinePunct w:val="0"/>
        <w:bidi w:val="0"/>
        <w:snapToGrid w:val="0"/>
        <w:spacing w:line="360" w:lineRule="auto"/>
        <w:ind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）地下水监测计划</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rPr>
        <w:t>本项目的地下水环境监测主要参考《地下水环境监测技术规范（HJ/T164-2004）》，根据地下水流场，考虑污染源的分布和污染物在地下水中扩散因素，</w:t>
      </w:r>
      <w:r>
        <w:rPr>
          <w:rFonts w:hint="default" w:ascii="Times New Roman" w:hAnsi="Times New Roman" w:eastAsia="宋体" w:cs="Times New Roman"/>
          <w:b w:val="0"/>
          <w:bCs w:val="0"/>
          <w:color w:val="auto"/>
          <w:sz w:val="24"/>
          <w:szCs w:val="24"/>
          <w:highlight w:val="none"/>
          <w:lang w:eastAsia="zh-CN"/>
        </w:rPr>
        <w:t>新建</w:t>
      </w:r>
      <w:r>
        <w:rPr>
          <w:rFonts w:hint="default" w:ascii="Times New Roman" w:hAnsi="Times New Roman" w:eastAsia="宋体" w:cs="Times New Roman"/>
          <w:b w:val="0"/>
          <w:bCs w:val="0"/>
          <w:color w:val="auto"/>
          <w:sz w:val="24"/>
          <w:szCs w:val="24"/>
          <w:highlight w:val="none"/>
          <w:lang w:val="en-US" w:eastAsia="zh-CN"/>
        </w:rPr>
        <w:t>1个</w:t>
      </w:r>
      <w:r>
        <w:rPr>
          <w:rFonts w:hint="default" w:ascii="Times New Roman" w:hAnsi="Times New Roman" w:eastAsia="宋体" w:cs="Times New Roman"/>
          <w:b w:val="0"/>
          <w:bCs w:val="0"/>
          <w:color w:val="auto"/>
          <w:sz w:val="24"/>
          <w:szCs w:val="24"/>
          <w:highlight w:val="none"/>
        </w:rPr>
        <w:t>地</w:t>
      </w:r>
      <w:r>
        <w:rPr>
          <w:rFonts w:hint="default" w:ascii="Times New Roman" w:hAnsi="Times New Roman" w:eastAsia="宋体" w:cs="Times New Roman"/>
          <w:color w:val="auto"/>
          <w:sz w:val="24"/>
          <w:szCs w:val="24"/>
          <w:highlight w:val="none"/>
        </w:rPr>
        <w:t>下水</w:t>
      </w:r>
      <w:r>
        <w:rPr>
          <w:rFonts w:hint="default" w:ascii="Times New Roman" w:hAnsi="Times New Roman" w:eastAsia="宋体" w:cs="Times New Roman"/>
          <w:color w:val="auto"/>
          <w:sz w:val="24"/>
          <w:szCs w:val="24"/>
          <w:highlight w:val="none"/>
          <w:lang w:eastAsia="zh-CN"/>
        </w:rPr>
        <w:t>监控井</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位于项目区域地下水流向下游</w:t>
      </w:r>
      <w:r>
        <w:rPr>
          <w:rFonts w:hint="default" w:ascii="Times New Roman" w:hAnsi="Times New Roman" w:eastAsia="宋体" w:cs="Times New Roman"/>
          <w:color w:val="auto"/>
          <w:sz w:val="24"/>
          <w:szCs w:val="24"/>
          <w:highlight w:val="none"/>
          <w:lang w:eastAsia="zh-CN"/>
        </w:rPr>
        <w:t>（N:40°51′26.83″；E:108°54′46.36″）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建设地下水监测井进行长期监测，包括科学、合理地设置地下水污染监控井，建立完善的监测制度，配备先进的检测仪器和设备，以便及时发现并及时控制。为地下水的污染采取相应的措施提供重要的依据。</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地下水环境监测主要参考《地下水环境监测技术规范》（HJ/T164-2004），结合评价区含水层系统和地下水径流特征，考虑潜在污染源、环境保护目标等因素，依据《环境影响评价技术导则 地下水环境》（HJ610-2016）相关要求布置地下水监测井。</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为了掌握本工程周围地下水环境质量状况和地下水体中污染物的动态变化，应对项目区进行地下水水质监测，以便及时准确地回馈地下水水质状况，为防止对地下水的污染采取相应的措施提供重要的依据。</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1）监测原则和重点</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①根据该项目的水文地质特点、影响区域及主要污染源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在厂区北侧（地下水下游）设置</w:t>
      </w:r>
      <w:r>
        <w:rPr>
          <w:rFonts w:hint="default" w:ascii="Times New Roman" w:hAnsi="Times New Roman" w:eastAsia="宋体" w:cs="Times New Roman"/>
          <w:color w:val="auto"/>
          <w:sz w:val="24"/>
          <w:szCs w:val="24"/>
          <w:highlight w:val="none"/>
          <w:lang w:val="en-US" w:eastAsia="zh-CN"/>
        </w:rPr>
        <w:t>1座监控井</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对项目区进行监测，监测点布设结合地下水流向等进行设计。</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②监测井同时作为事故污染时的应急处理截获井和抽水井；</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③在污染事故等情况下，要加密监测点，同时增加监测频率，加密监测点以能控制污染扩散范围为原则，应结合污染物特征和水文地质条件进行布设。</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2）监测因子</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水质监测项目《地下水质量标准》（GB14848-2017）确定。地下水水质监测项目包括：</w:t>
      </w:r>
      <w:r>
        <w:rPr>
          <w:rFonts w:hint="default" w:ascii="Times New Roman" w:hAnsi="Times New Roman" w:eastAsia="宋体" w:cs="Times New Roman"/>
          <w:color w:val="auto"/>
          <w:sz w:val="24"/>
          <w:szCs w:val="24"/>
          <w:highlight w:val="none"/>
          <w:lang w:eastAsia="zh-CN"/>
        </w:rPr>
        <w:t>色度、臭、浑浊度、肉眼可见物、</w:t>
      </w:r>
      <w:r>
        <w:rPr>
          <w:rFonts w:hint="default" w:ascii="Times New Roman" w:hAnsi="Times New Roman" w:eastAsia="宋体" w:cs="Times New Roman"/>
          <w:color w:val="auto"/>
          <w:sz w:val="24"/>
          <w:szCs w:val="24"/>
          <w:highlight w:val="none"/>
        </w:rPr>
        <w:t>pH、总硬度、溶解性总固体、硫酸盐、氯化物、铁、锰、</w:t>
      </w:r>
      <w:r>
        <w:rPr>
          <w:rFonts w:hint="default" w:ascii="Times New Roman" w:hAnsi="Times New Roman" w:eastAsia="宋体" w:cs="Times New Roman"/>
          <w:color w:val="auto"/>
          <w:sz w:val="24"/>
          <w:szCs w:val="24"/>
          <w:highlight w:val="none"/>
          <w:lang w:eastAsia="zh-CN"/>
        </w:rPr>
        <w:t>铜、锌、铝、</w:t>
      </w:r>
      <w:r>
        <w:rPr>
          <w:rFonts w:hint="default" w:ascii="Times New Roman" w:hAnsi="Times New Roman" w:eastAsia="宋体" w:cs="Times New Roman"/>
          <w:color w:val="auto"/>
          <w:sz w:val="24"/>
          <w:szCs w:val="24"/>
          <w:highlight w:val="none"/>
        </w:rPr>
        <w:t>挥发性酚类、</w:t>
      </w:r>
      <w:r>
        <w:rPr>
          <w:rFonts w:hint="default" w:ascii="Times New Roman" w:hAnsi="Times New Roman" w:eastAsia="宋体" w:cs="Times New Roman"/>
          <w:bCs/>
          <w:color w:val="auto"/>
          <w:sz w:val="24"/>
          <w:szCs w:val="24"/>
          <w:highlight w:val="none"/>
          <w:lang w:eastAsia="zh-CN"/>
        </w:rPr>
        <w:t>阴离子表面活性剂、</w:t>
      </w:r>
      <w:r>
        <w:rPr>
          <w:rFonts w:hint="default" w:ascii="Times New Roman" w:hAnsi="Times New Roman" w:eastAsia="宋体" w:cs="Times New Roman"/>
          <w:color w:val="auto"/>
          <w:sz w:val="24"/>
          <w:szCs w:val="24"/>
          <w:highlight w:val="none"/>
        </w:rPr>
        <w:t>耗氧量、氨氮、</w:t>
      </w:r>
      <w:r>
        <w:rPr>
          <w:rFonts w:hint="default" w:ascii="Times New Roman" w:hAnsi="Times New Roman" w:eastAsia="宋体" w:cs="Times New Roman"/>
          <w:color w:val="auto"/>
          <w:sz w:val="24"/>
          <w:szCs w:val="24"/>
          <w:highlight w:val="none"/>
          <w:lang w:eastAsia="zh-CN"/>
        </w:rPr>
        <w:t>硫化物、钠、</w:t>
      </w:r>
      <w:r>
        <w:rPr>
          <w:rFonts w:hint="default" w:ascii="Times New Roman" w:hAnsi="Times New Roman" w:eastAsia="宋体" w:cs="Times New Roman"/>
          <w:color w:val="auto"/>
          <w:sz w:val="24"/>
          <w:szCs w:val="24"/>
          <w:highlight w:val="none"/>
        </w:rPr>
        <w:t>总大肠菌群、</w:t>
      </w:r>
      <w:r>
        <w:rPr>
          <w:rFonts w:hint="default" w:ascii="Times New Roman" w:hAnsi="Times New Roman" w:eastAsia="宋体" w:cs="Times New Roman"/>
          <w:color w:val="auto"/>
          <w:sz w:val="24"/>
          <w:szCs w:val="24"/>
          <w:highlight w:val="none"/>
          <w:lang w:eastAsia="zh-CN"/>
        </w:rPr>
        <w:t>菌落总数</w:t>
      </w:r>
      <w:r>
        <w:rPr>
          <w:rFonts w:hint="default" w:ascii="Times New Roman" w:hAnsi="Times New Roman" w:eastAsia="宋体" w:cs="Times New Roman"/>
          <w:color w:val="auto"/>
          <w:sz w:val="24"/>
          <w:szCs w:val="24"/>
          <w:highlight w:val="none"/>
        </w:rPr>
        <w:t>、亚硝酸盐、硝酸盐、氰化物、</w:t>
      </w:r>
      <w:r>
        <w:rPr>
          <w:rFonts w:hint="default" w:ascii="Times New Roman" w:hAnsi="Times New Roman" w:eastAsia="宋体" w:cs="Times New Roman"/>
          <w:color w:val="auto"/>
          <w:sz w:val="24"/>
          <w:szCs w:val="24"/>
          <w:highlight w:val="none"/>
          <w:lang w:eastAsia="zh-CN"/>
        </w:rPr>
        <w:t>氟化物、碘化物、</w:t>
      </w:r>
      <w:r>
        <w:rPr>
          <w:rFonts w:hint="default" w:ascii="Times New Roman" w:hAnsi="Times New Roman" w:eastAsia="宋体" w:cs="Times New Roman"/>
          <w:color w:val="auto"/>
          <w:sz w:val="24"/>
          <w:szCs w:val="24"/>
          <w:highlight w:val="none"/>
        </w:rPr>
        <w:t>汞、砷、</w:t>
      </w:r>
      <w:r>
        <w:rPr>
          <w:rFonts w:hint="default" w:ascii="Times New Roman" w:hAnsi="Times New Roman" w:eastAsia="宋体" w:cs="Times New Roman"/>
          <w:color w:val="auto"/>
          <w:sz w:val="24"/>
          <w:szCs w:val="24"/>
          <w:highlight w:val="none"/>
          <w:lang w:eastAsia="zh-CN"/>
        </w:rPr>
        <w:t>硒、</w:t>
      </w:r>
      <w:r>
        <w:rPr>
          <w:rFonts w:hint="default" w:ascii="Times New Roman" w:hAnsi="Times New Roman" w:eastAsia="宋体" w:cs="Times New Roman"/>
          <w:color w:val="auto"/>
          <w:sz w:val="24"/>
          <w:szCs w:val="24"/>
          <w:highlight w:val="none"/>
        </w:rPr>
        <w:t>镉、铬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六价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、铅</w:t>
      </w:r>
      <w:r>
        <w:rPr>
          <w:rFonts w:hint="default" w:ascii="Times New Roman" w:hAnsi="Times New Roman" w:eastAsia="宋体" w:cs="Times New Roman"/>
          <w:color w:val="auto"/>
          <w:sz w:val="24"/>
          <w:szCs w:val="24"/>
          <w:highlight w:val="none"/>
          <w:lang w:eastAsia="zh-CN"/>
        </w:rPr>
        <w:t>、三氯甲烷、四氯甲烷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苯、甲苯、</w:t>
      </w:r>
      <w:r>
        <w:rPr>
          <w:rFonts w:hint="default" w:ascii="Times New Roman" w:hAnsi="Times New Roman" w:eastAsia="宋体" w:cs="Times New Roman"/>
          <w:color w:val="auto"/>
          <w:sz w:val="24"/>
          <w:szCs w:val="24"/>
          <w:highlight w:val="none"/>
          <w:lang w:val="en-US" w:eastAsia="zh-CN"/>
        </w:rPr>
        <w:t>Na</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K</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rPr>
        <w:t>、Ca</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、HCO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rPr>
        <w:t>。</w:t>
      </w:r>
    </w:p>
    <w:p>
      <w:pPr>
        <w:keepNext w:val="0"/>
        <w:keepLines w:val="0"/>
        <w:pageBreakBefore w:val="0"/>
        <w:shd w:val="clear"/>
        <w:kinsoku/>
        <w:wordWrap/>
        <w:overflowPunct/>
        <w:topLinePunct w:val="0"/>
        <w:autoSpaceDE w:val="0"/>
        <w:autoSpaceDN w:val="0"/>
        <w:bidi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3）监测数据管理</w:t>
      </w:r>
    </w:p>
    <w:p>
      <w:pPr>
        <w:keepNext w:val="0"/>
        <w:keepLines w:val="0"/>
        <w:pageBreakBefore w:val="0"/>
        <w:shd w:val="clear"/>
        <w:kinsoku/>
        <w:wordWrap/>
        <w:overflowPunct/>
        <w:topLinePunct w:val="0"/>
        <w:bidi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kern w:val="0"/>
          <w:sz w:val="24"/>
          <w:szCs w:val="24"/>
          <w:highlight w:val="none"/>
        </w:rPr>
        <w:t>上述监测结果应按相关规定及时建立档案，并定期向所在地环境保护行政主管部门</w:t>
      </w:r>
      <w:r>
        <w:rPr>
          <w:rFonts w:hint="default" w:ascii="Times New Roman" w:hAnsi="Times New Roman" w:eastAsia="宋体" w:cs="Times New Roman"/>
          <w:b w:val="0"/>
          <w:bCs w:val="0"/>
          <w:color w:val="auto"/>
          <w:kern w:val="0"/>
          <w:sz w:val="24"/>
          <w:szCs w:val="24"/>
          <w:highlight w:val="none"/>
        </w:rPr>
        <w:t>汇报。公开常规监测资料。如发现异常或发生事故，应加密监测频次，并分析污染原因，及时采取相应措施。</w:t>
      </w:r>
    </w:p>
    <w:p>
      <w:pPr>
        <w:keepNext w:val="0"/>
        <w:keepLines w:val="0"/>
        <w:pageBreakBefore w:val="0"/>
        <w:widowControl/>
        <w:shd w:val="clear"/>
        <w:kinsoku/>
        <w:wordWrap/>
        <w:overflowPunct/>
        <w:topLinePunct w:val="0"/>
        <w:autoSpaceDE/>
        <w:autoSpaceDN/>
        <w:bidi w:val="0"/>
        <w:snapToGrid w:val="0"/>
        <w:spacing w:line="360" w:lineRule="auto"/>
        <w:ind w:firstLine="480" w:firstLineChars="200"/>
        <w:jc w:val="left"/>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2）监测井布置</w:t>
      </w:r>
    </w:p>
    <w:p>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依据地下水监测原则，结合研究区水文地质条件，本项目共布设</w:t>
      </w: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eastAsia="zh-CN"/>
        </w:rPr>
        <w:t>个</w:t>
      </w:r>
      <w:r>
        <w:rPr>
          <w:rFonts w:hint="default" w:ascii="Times New Roman" w:hAnsi="Times New Roman" w:eastAsia="宋体" w:cs="Times New Roman"/>
          <w:b w:val="0"/>
          <w:bCs w:val="0"/>
          <w:color w:val="auto"/>
          <w:sz w:val="24"/>
          <w:szCs w:val="24"/>
          <w:highlight w:val="none"/>
        </w:rPr>
        <w:t>监测井</w:t>
      </w:r>
      <w:r>
        <w:rPr>
          <w:rFonts w:hint="default" w:ascii="Times New Roman" w:hAnsi="Times New Roman" w:eastAsia="宋体" w:cs="Times New Roman"/>
          <w:b w:val="0"/>
          <w:bCs w:val="0"/>
          <w:color w:val="auto"/>
          <w:sz w:val="24"/>
          <w:szCs w:val="24"/>
          <w:highlight w:val="none"/>
          <w:lang w:eastAsia="zh-CN"/>
        </w:rPr>
        <w:t>（下游N:40°51′26.83″</w:t>
      </w:r>
      <w:r>
        <w:rPr>
          <w:rFonts w:hint="default" w:ascii="Times New Roman" w:hAnsi="Times New Roman" w:eastAsia="宋体" w:cs="Times New Roman"/>
          <w:color w:val="auto"/>
          <w:sz w:val="24"/>
          <w:szCs w:val="24"/>
          <w:highlight w:val="none"/>
          <w:lang w:eastAsia="zh-CN"/>
        </w:rPr>
        <w:t>；E:108°54′46.36″）</w:t>
      </w:r>
      <w:r>
        <w:rPr>
          <w:rFonts w:hint="default" w:ascii="Times New Roman" w:hAnsi="Times New Roman" w:eastAsia="宋体" w:cs="Times New Roman"/>
          <w:color w:val="auto"/>
          <w:kern w:val="0"/>
          <w:sz w:val="24"/>
          <w:szCs w:val="24"/>
          <w:highlight w:val="none"/>
        </w:rPr>
        <w:t>。委托有资质单位监测，地下水监测</w:t>
      </w:r>
      <w:r>
        <w:rPr>
          <w:rFonts w:hint="default" w:ascii="Times New Roman" w:hAnsi="Times New Roman" w:eastAsia="宋体" w:cs="Times New Roman"/>
          <w:color w:val="auto"/>
          <w:kern w:val="0"/>
          <w:sz w:val="24"/>
          <w:szCs w:val="24"/>
          <w:highlight w:val="none"/>
          <w:lang w:eastAsia="zh-CN"/>
        </w:rPr>
        <w:t>井</w:t>
      </w:r>
      <w:r>
        <w:rPr>
          <w:rFonts w:hint="default" w:ascii="Times New Roman" w:hAnsi="Times New Roman" w:eastAsia="宋体" w:cs="Times New Roman"/>
          <w:color w:val="auto"/>
          <w:kern w:val="0"/>
          <w:sz w:val="24"/>
          <w:szCs w:val="24"/>
          <w:highlight w:val="none"/>
        </w:rPr>
        <w:t>位置、监测计划、监测井结构、监测层位、监测项目、监测频率等详见表5.</w:t>
      </w:r>
      <w:r>
        <w:rPr>
          <w:rFonts w:hint="default" w:ascii="Times New Roman" w:hAnsi="Times New Roman" w:eastAsia="宋体" w:cs="Times New Roman"/>
          <w:color w:val="auto"/>
          <w:kern w:val="0"/>
          <w:sz w:val="24"/>
          <w:szCs w:val="24"/>
          <w:highlight w:val="none"/>
          <w:lang w:val="en-US" w:eastAsia="zh-CN"/>
        </w:rPr>
        <w:t>3-4</w:t>
      </w:r>
      <w:r>
        <w:rPr>
          <w:rFonts w:hint="default" w:ascii="Times New Roman" w:hAnsi="Times New Roman" w:eastAsia="宋体" w:cs="Times New Roman"/>
          <w:color w:val="auto"/>
          <w:kern w:val="0"/>
          <w:sz w:val="24"/>
          <w:szCs w:val="24"/>
          <w:highlight w:val="none"/>
        </w:rPr>
        <w:t>。</w:t>
      </w:r>
    </w:p>
    <w:p>
      <w:pPr>
        <w:bidi w:val="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表5.</w:t>
      </w:r>
      <w:r>
        <w:rPr>
          <w:rFonts w:hint="default" w:ascii="Times New Roman" w:hAnsi="Times New Roman" w:eastAsia="宋体" w:cs="Times New Roman"/>
          <w:b/>
          <w:bCs/>
          <w:color w:val="auto"/>
          <w:sz w:val="24"/>
          <w:szCs w:val="32"/>
          <w:lang w:val="en-US" w:eastAsia="zh-CN"/>
        </w:rPr>
        <w:t>3-4</w:t>
      </w:r>
      <w:r>
        <w:rPr>
          <w:rFonts w:hint="default" w:ascii="Times New Roman" w:hAnsi="Times New Roman" w:eastAsia="宋体" w:cs="Times New Roman"/>
          <w:b/>
          <w:bCs/>
          <w:color w:val="auto"/>
          <w:sz w:val="24"/>
          <w:szCs w:val="32"/>
        </w:rPr>
        <w:t xml:space="preserve">    地下水监测点布控一览表</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028"/>
        <w:gridCol w:w="1163"/>
        <w:gridCol w:w="1022"/>
        <w:gridCol w:w="2862"/>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编号</w:t>
            </w:r>
          </w:p>
        </w:tc>
        <w:tc>
          <w:tcPr>
            <w:tcW w:w="1028"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w:t>
            </w:r>
            <w:r>
              <w:rPr>
                <w:rFonts w:hint="default" w:ascii="Times New Roman" w:hAnsi="Times New Roman" w:eastAsia="宋体" w:cs="Times New Roman"/>
                <w:color w:val="auto"/>
                <w:sz w:val="21"/>
                <w:szCs w:val="21"/>
                <w:highlight w:val="none"/>
                <w:lang w:eastAsia="zh-CN"/>
              </w:rPr>
              <w:t>测点</w:t>
            </w:r>
            <w:r>
              <w:rPr>
                <w:rFonts w:hint="default" w:ascii="Times New Roman" w:hAnsi="Times New Roman" w:eastAsia="宋体" w:cs="Times New Roman"/>
                <w:color w:val="auto"/>
                <w:sz w:val="21"/>
                <w:szCs w:val="21"/>
                <w:highlight w:val="none"/>
              </w:rPr>
              <w:t>位</w:t>
            </w:r>
          </w:p>
        </w:tc>
        <w:tc>
          <w:tcPr>
            <w:tcW w:w="1163"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监测井性质</w:t>
            </w:r>
          </w:p>
        </w:tc>
        <w:tc>
          <w:tcPr>
            <w:tcW w:w="1022"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监测层位</w:t>
            </w:r>
          </w:p>
        </w:tc>
        <w:tc>
          <w:tcPr>
            <w:tcW w:w="2862"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监</w:t>
            </w:r>
            <w:r>
              <w:rPr>
                <w:rFonts w:hint="default" w:ascii="Times New Roman" w:hAnsi="Times New Roman" w:eastAsia="宋体" w:cs="Times New Roman"/>
                <w:color w:val="auto"/>
                <w:sz w:val="21"/>
                <w:szCs w:val="21"/>
                <w:highlight w:val="none"/>
                <w:lang w:eastAsia="zh-CN"/>
              </w:rPr>
              <w:t>测项目</w:t>
            </w:r>
          </w:p>
        </w:tc>
        <w:tc>
          <w:tcPr>
            <w:tcW w:w="1617"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28"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厂区北侧</w:t>
            </w:r>
          </w:p>
        </w:tc>
        <w:tc>
          <w:tcPr>
            <w:tcW w:w="1163"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污染控制监测井</w:t>
            </w:r>
            <w:r>
              <w:rPr>
                <w:rFonts w:hint="default" w:ascii="Times New Roman" w:hAnsi="Times New Roman" w:eastAsia="宋体" w:cs="Times New Roman"/>
                <w:color w:val="auto"/>
                <w:sz w:val="21"/>
                <w:szCs w:val="21"/>
                <w:highlight w:val="none"/>
                <w:lang w:eastAsia="zh-CN"/>
              </w:rPr>
              <w:t>；下游N:40°51′26.83″；E:108°54′46.36″</w:t>
            </w:r>
          </w:p>
        </w:tc>
        <w:tc>
          <w:tcPr>
            <w:tcW w:w="1022" w:type="dxa"/>
            <w:noWrap/>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孔隙潜水</w:t>
            </w:r>
          </w:p>
        </w:tc>
        <w:tc>
          <w:tcPr>
            <w:tcW w:w="2862" w:type="dxa"/>
            <w:noWrap/>
            <w:vAlign w:val="center"/>
          </w:tcPr>
          <w:p>
            <w:pPr>
              <w:keepNext w:val="0"/>
              <w:keepLines w:val="0"/>
              <w:pageBreakBefore w:val="0"/>
              <w:widowControl w:val="0"/>
              <w:shd w:val="clear"/>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色度、臭、浑浊度、肉眼可见物、</w:t>
            </w:r>
            <w:r>
              <w:rPr>
                <w:rFonts w:hint="default" w:ascii="Times New Roman" w:hAnsi="Times New Roman" w:eastAsia="宋体" w:cs="Times New Roman"/>
                <w:color w:val="auto"/>
                <w:sz w:val="21"/>
                <w:szCs w:val="21"/>
                <w:highlight w:val="none"/>
              </w:rPr>
              <w:t>pH、总硬度、溶解性总固体、硫酸盐、氯化物、铁、锰、</w:t>
            </w:r>
            <w:r>
              <w:rPr>
                <w:rFonts w:hint="default" w:ascii="Times New Roman" w:hAnsi="Times New Roman" w:eastAsia="宋体" w:cs="Times New Roman"/>
                <w:color w:val="auto"/>
                <w:sz w:val="21"/>
                <w:szCs w:val="21"/>
                <w:highlight w:val="none"/>
                <w:lang w:eastAsia="zh-CN"/>
              </w:rPr>
              <w:t>铜、锌、铝、</w:t>
            </w:r>
            <w:r>
              <w:rPr>
                <w:rFonts w:hint="default" w:ascii="Times New Roman" w:hAnsi="Times New Roman" w:eastAsia="宋体" w:cs="Times New Roman"/>
                <w:color w:val="auto"/>
                <w:sz w:val="21"/>
                <w:szCs w:val="21"/>
                <w:highlight w:val="none"/>
              </w:rPr>
              <w:t>挥发性酚类、</w:t>
            </w:r>
            <w:r>
              <w:rPr>
                <w:rFonts w:hint="default" w:ascii="Times New Roman" w:hAnsi="Times New Roman" w:eastAsia="宋体" w:cs="Times New Roman"/>
                <w:bCs/>
                <w:color w:val="auto"/>
                <w:sz w:val="21"/>
                <w:szCs w:val="21"/>
                <w:highlight w:val="none"/>
                <w:lang w:eastAsia="zh-CN"/>
              </w:rPr>
              <w:t>阴离子表面活性剂、</w:t>
            </w:r>
            <w:r>
              <w:rPr>
                <w:rFonts w:hint="default" w:ascii="Times New Roman" w:hAnsi="Times New Roman" w:eastAsia="宋体" w:cs="Times New Roman"/>
                <w:color w:val="auto"/>
                <w:sz w:val="21"/>
                <w:szCs w:val="21"/>
                <w:highlight w:val="none"/>
              </w:rPr>
              <w:t>耗氧量、氨氮、</w:t>
            </w:r>
            <w:r>
              <w:rPr>
                <w:rFonts w:hint="default" w:ascii="Times New Roman" w:hAnsi="Times New Roman" w:eastAsia="宋体" w:cs="Times New Roman"/>
                <w:color w:val="auto"/>
                <w:sz w:val="21"/>
                <w:szCs w:val="21"/>
                <w:highlight w:val="none"/>
                <w:lang w:eastAsia="zh-CN"/>
              </w:rPr>
              <w:t>硫化物、钠、</w:t>
            </w:r>
            <w:r>
              <w:rPr>
                <w:rFonts w:hint="default" w:ascii="Times New Roman" w:hAnsi="Times New Roman" w:eastAsia="宋体" w:cs="Times New Roman"/>
                <w:color w:val="auto"/>
                <w:sz w:val="21"/>
                <w:szCs w:val="21"/>
                <w:highlight w:val="none"/>
              </w:rPr>
              <w:t>总大肠菌群、</w:t>
            </w:r>
            <w:r>
              <w:rPr>
                <w:rFonts w:hint="default" w:ascii="Times New Roman" w:hAnsi="Times New Roman" w:eastAsia="宋体" w:cs="Times New Roman"/>
                <w:color w:val="auto"/>
                <w:sz w:val="21"/>
                <w:szCs w:val="21"/>
                <w:highlight w:val="none"/>
                <w:lang w:eastAsia="zh-CN"/>
              </w:rPr>
              <w:t>菌落总数</w:t>
            </w:r>
            <w:r>
              <w:rPr>
                <w:rFonts w:hint="default" w:ascii="Times New Roman" w:hAnsi="Times New Roman" w:eastAsia="宋体" w:cs="Times New Roman"/>
                <w:color w:val="auto"/>
                <w:sz w:val="21"/>
                <w:szCs w:val="21"/>
                <w:highlight w:val="none"/>
              </w:rPr>
              <w:t>、亚硝酸盐、硝酸盐、氰化物、</w:t>
            </w:r>
            <w:r>
              <w:rPr>
                <w:rFonts w:hint="default" w:ascii="Times New Roman" w:hAnsi="Times New Roman" w:eastAsia="宋体" w:cs="Times New Roman"/>
                <w:color w:val="auto"/>
                <w:sz w:val="21"/>
                <w:szCs w:val="21"/>
                <w:highlight w:val="none"/>
                <w:lang w:eastAsia="zh-CN"/>
              </w:rPr>
              <w:t>氟化物、碘化物、</w:t>
            </w:r>
            <w:r>
              <w:rPr>
                <w:rFonts w:hint="default" w:ascii="Times New Roman" w:hAnsi="Times New Roman" w:eastAsia="宋体" w:cs="Times New Roman"/>
                <w:color w:val="auto"/>
                <w:sz w:val="21"/>
                <w:szCs w:val="21"/>
                <w:highlight w:val="none"/>
              </w:rPr>
              <w:t>汞、砷、</w:t>
            </w:r>
            <w:r>
              <w:rPr>
                <w:rFonts w:hint="default" w:ascii="Times New Roman" w:hAnsi="Times New Roman" w:eastAsia="宋体" w:cs="Times New Roman"/>
                <w:color w:val="auto"/>
                <w:sz w:val="21"/>
                <w:szCs w:val="21"/>
                <w:highlight w:val="none"/>
                <w:lang w:eastAsia="zh-CN"/>
              </w:rPr>
              <w:t>硒、</w:t>
            </w:r>
            <w:r>
              <w:rPr>
                <w:rFonts w:hint="default" w:ascii="Times New Roman" w:hAnsi="Times New Roman" w:eastAsia="宋体" w:cs="Times New Roman"/>
                <w:color w:val="auto"/>
                <w:sz w:val="21"/>
                <w:szCs w:val="21"/>
                <w:highlight w:val="none"/>
              </w:rPr>
              <w:t>镉、铬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六价</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、铅</w:t>
            </w:r>
            <w:r>
              <w:rPr>
                <w:rFonts w:hint="default" w:ascii="Times New Roman" w:hAnsi="Times New Roman" w:eastAsia="宋体" w:cs="Times New Roman"/>
                <w:color w:val="auto"/>
                <w:sz w:val="21"/>
                <w:szCs w:val="21"/>
                <w:highlight w:val="none"/>
                <w:lang w:eastAsia="zh-CN"/>
              </w:rPr>
              <w:t>、三氯甲烷、四氯甲烷</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苯、甲苯、</w:t>
            </w:r>
            <w:r>
              <w:rPr>
                <w:rFonts w:hint="default" w:ascii="Times New Roman" w:hAnsi="Times New Roman" w:eastAsia="宋体" w:cs="Times New Roman"/>
                <w:color w:val="auto"/>
                <w:sz w:val="21"/>
                <w:szCs w:val="21"/>
                <w:highlight w:val="none"/>
                <w:lang w:val="en-US" w:eastAsia="zh-CN"/>
              </w:rPr>
              <w:t>Na</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rPr>
              <w:t>K</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、Ca</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、HCO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superscript"/>
              </w:rPr>
              <w:t>-</w:t>
            </w:r>
          </w:p>
        </w:tc>
        <w:tc>
          <w:tcPr>
            <w:tcW w:w="1617" w:type="dxa"/>
            <w:noWrap/>
            <w:vAlign w:val="center"/>
          </w:tcPr>
          <w:p>
            <w:pPr>
              <w:keepNext w:val="0"/>
              <w:keepLines w:val="0"/>
              <w:pageBreakBefore w:val="0"/>
              <w:widowControl w:val="0"/>
              <w:shd w:val="clear"/>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每年2次。遇到特殊的情况或发生污染事故，可能影响地下水水质时，应随时增加采样频次</w:t>
            </w:r>
          </w:p>
        </w:tc>
      </w:tr>
    </w:tbl>
    <w:p>
      <w:pPr>
        <w:shd w:val="clear"/>
        <w:spacing w:line="360" w:lineRule="auto"/>
        <w:ind w:firstLine="480" w:firstLineChars="200"/>
        <w:rPr>
          <w:rFonts w:hint="default" w:ascii="Times New Roman" w:hAnsi="Times New Roman" w:eastAsia="宋体" w:cs="Times New Roman"/>
          <w:b w:val="0"/>
          <w:bCs w:val="0"/>
          <w:color w:val="auto"/>
          <w:sz w:val="24"/>
          <w:szCs w:val="24"/>
          <w:highlight w:val="none"/>
        </w:rPr>
      </w:pPr>
      <w:bookmarkStart w:id="273" w:name="_Toc2143"/>
      <w:bookmarkStart w:id="274" w:name="_Toc18581"/>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）应急治理措施</w:t>
      </w:r>
      <w:bookmarkEnd w:id="273"/>
      <w:bookmarkEnd w:id="274"/>
    </w:p>
    <w:p>
      <w:pPr>
        <w:shd w:val="clea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1）风险应急程序</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制定风险事故</w:t>
      </w:r>
      <w:r>
        <w:rPr>
          <w:rFonts w:hint="default" w:ascii="Times New Roman" w:hAnsi="Times New Roman" w:eastAsia="宋体" w:cs="Times New Roman"/>
          <w:color w:val="auto"/>
          <w:kern w:val="0"/>
          <w:sz w:val="24"/>
          <w:szCs w:val="24"/>
          <w:highlight w:val="none"/>
        </w:rPr>
        <w:t>应急预案的目的是为了在发生风险事故时，能以最快的速度发挥最大的效能，有序地实施救援，尽快控制事态的发展，降低事故对潜水含水层的污染。针对应急工作需要，参照相关技术导则，结合地下水污染治理的技术特点，制定地下水污染应急治理程序。</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2）应急措施</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①一旦发生地下水污染事故，应立即启动应急预案。</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②查明并切断污染源。</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③探明地下水污染深度、范围和污染程度。</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④依据探明的地下水污染情况，合理布置截渗井，并进行试抽工作。</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⑤依据抽水设计方案进行施工，抽取被污染的地下水体，并依据各井孔出水情况进行调整。</w:t>
      </w:r>
    </w:p>
    <w:p>
      <w:pPr>
        <w:shd w:val="clear"/>
        <w:autoSpaceDE w:val="0"/>
        <w:autoSpaceDN w:val="0"/>
        <w:adjustRightIn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⑥将抽取的地下水进行集中收集处理，并送实验室进行化验分析。</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⑦当地下水中的特征污染物浓度满足地下水功能区划的标准后，逐步停止抽水，并进行土壤修复治理工作</w:t>
      </w:r>
      <w:r>
        <w:rPr>
          <w:rFonts w:hint="default" w:ascii="Times New Roman" w:hAnsi="Times New Roman" w:eastAsia="宋体" w:cs="Times New Roman"/>
          <w:color w:val="auto"/>
          <w:sz w:val="24"/>
          <w:szCs w:val="24"/>
          <w:highlight w:val="none"/>
        </w:rPr>
        <w:t>。</w:t>
      </w:r>
    </w:p>
    <w:p>
      <w:pPr>
        <w:pStyle w:val="5"/>
        <w:bidi w:val="0"/>
        <w:rPr>
          <w:rFonts w:hint="default" w:ascii="Times New Roman" w:hAnsi="Times New Roman" w:eastAsia="宋体" w:cs="Times New Roman"/>
          <w:color w:val="auto"/>
        </w:rPr>
      </w:pPr>
      <w:bookmarkStart w:id="275" w:name="_Toc327383131"/>
      <w:bookmarkStart w:id="276" w:name="_Toc6030"/>
      <w:bookmarkStart w:id="277" w:name="_Toc464475419"/>
      <w:r>
        <w:rPr>
          <w:rFonts w:hint="default" w:ascii="Times New Roman" w:hAnsi="Times New Roman" w:eastAsia="宋体" w:cs="Times New Roman"/>
          <w:color w:val="auto"/>
        </w:rPr>
        <w:t>5.4声环境影响预测及评价</w:t>
      </w:r>
      <w:bookmarkEnd w:id="275"/>
      <w:bookmarkEnd w:id="276"/>
      <w:bookmarkEnd w:id="277"/>
    </w:p>
    <w:p>
      <w:pPr>
        <w:pStyle w:val="6"/>
        <w:bidi w:val="0"/>
        <w:rPr>
          <w:rFonts w:hint="default" w:ascii="Times New Roman" w:hAnsi="Times New Roman" w:eastAsia="宋体" w:cs="Times New Roman"/>
          <w:color w:val="auto"/>
        </w:rPr>
      </w:pPr>
      <w:bookmarkStart w:id="278" w:name="_Toc388971248"/>
      <w:bookmarkStart w:id="279" w:name="_Toc391887286"/>
      <w:bookmarkStart w:id="280" w:name="_Toc388868790"/>
      <w:bookmarkStart w:id="281" w:name="_Toc388868045"/>
      <w:r>
        <w:rPr>
          <w:rFonts w:hint="default" w:ascii="Times New Roman" w:hAnsi="Times New Roman" w:eastAsia="宋体" w:cs="Times New Roman"/>
          <w:color w:val="auto"/>
        </w:rPr>
        <w:t>5.4.1 声源源强分析</w:t>
      </w:r>
      <w:bookmarkEnd w:id="278"/>
      <w:bookmarkEnd w:id="279"/>
      <w:bookmarkEnd w:id="280"/>
      <w:bookmarkEnd w:id="281"/>
    </w:p>
    <w:p>
      <w:pPr>
        <w:shd w:val="clear"/>
        <w:spacing w:line="360" w:lineRule="auto"/>
        <w:ind w:firstLine="480" w:firstLineChars="200"/>
        <w:rPr>
          <w:rFonts w:hint="default" w:ascii="Times New Roman" w:hAnsi="Times New Roman" w:eastAsia="宋体" w:cs="Times New Roman"/>
          <w:color w:val="auto"/>
          <w:sz w:val="24"/>
          <w:highlight w:val="none"/>
        </w:rPr>
      </w:pPr>
      <w:bookmarkStart w:id="282" w:name="_Toc391887287"/>
      <w:bookmarkStart w:id="283" w:name="_Toc388868791"/>
      <w:bookmarkStart w:id="284" w:name="_Toc388971249"/>
      <w:bookmarkStart w:id="285" w:name="_Toc388868046"/>
      <w:r>
        <w:rPr>
          <w:rFonts w:hint="default" w:ascii="Times New Roman" w:hAnsi="Times New Roman" w:eastAsia="宋体" w:cs="Times New Roman"/>
          <w:color w:val="auto"/>
          <w:sz w:val="24"/>
          <w:highlight w:val="none"/>
        </w:rPr>
        <w:t>本项目噪声主要来源于各类生产设备的运行，破碎机、甩干机、</w:t>
      </w:r>
      <w:r>
        <w:rPr>
          <w:rFonts w:hint="default" w:ascii="Times New Roman" w:hAnsi="Times New Roman" w:eastAsia="宋体" w:cs="Times New Roman"/>
          <w:color w:val="auto"/>
          <w:sz w:val="24"/>
          <w:highlight w:val="none"/>
          <w:lang w:eastAsia="zh-CN"/>
        </w:rPr>
        <w:t>切粒机</w:t>
      </w:r>
      <w:r>
        <w:rPr>
          <w:rFonts w:hint="default" w:ascii="Times New Roman" w:hAnsi="Times New Roman" w:eastAsia="宋体" w:cs="Times New Roman"/>
          <w:color w:val="auto"/>
          <w:sz w:val="24"/>
          <w:highlight w:val="none"/>
        </w:rPr>
        <w:t>、引风机、上料机、挤出机、牵引机、收卷机等生产设备运行噪声，声压级在55~90dB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之间。主要设备声级值源强及治理措施见表5.4-1。</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表5.4-1 主要设备声源情况</w:t>
      </w:r>
    </w:p>
    <w:tbl>
      <w:tblPr>
        <w:tblStyle w:val="90"/>
        <w:tblW w:w="8260" w:type="dxa"/>
        <w:tblInd w:w="0" w:type="dxa"/>
        <w:tblLayout w:type="fixed"/>
        <w:tblCellMar>
          <w:top w:w="0" w:type="dxa"/>
          <w:left w:w="108" w:type="dxa"/>
          <w:bottom w:w="0" w:type="dxa"/>
          <w:right w:w="108" w:type="dxa"/>
        </w:tblCellMar>
      </w:tblPr>
      <w:tblGrid>
        <w:gridCol w:w="1919"/>
        <w:gridCol w:w="1321"/>
        <w:gridCol w:w="3206"/>
        <w:gridCol w:w="1814"/>
      </w:tblGrid>
      <w:tr>
        <w:tblPrEx>
          <w:tblCellMar>
            <w:top w:w="0" w:type="dxa"/>
            <w:left w:w="108" w:type="dxa"/>
            <w:bottom w:w="0" w:type="dxa"/>
            <w:right w:w="108" w:type="dxa"/>
          </w:tblCellMar>
        </w:tblPrEx>
        <w:trPr>
          <w:trHeight w:val="340" w:hRule="atLeast"/>
        </w:trPr>
        <w:tc>
          <w:tcPr>
            <w:tcW w:w="19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噪声设备名称</w:t>
            </w:r>
          </w:p>
        </w:tc>
        <w:tc>
          <w:tcPr>
            <w:tcW w:w="1321"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噪声源强dB（A）</w:t>
            </w:r>
          </w:p>
        </w:tc>
        <w:tc>
          <w:tcPr>
            <w:tcW w:w="3206"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防治措施</w:t>
            </w:r>
          </w:p>
        </w:tc>
        <w:tc>
          <w:tcPr>
            <w:tcW w:w="1814"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治理后车间外声级值dB（A）</w:t>
            </w:r>
          </w:p>
        </w:tc>
      </w:tr>
      <w:tr>
        <w:tblPrEx>
          <w:tblCellMar>
            <w:top w:w="0" w:type="dxa"/>
            <w:left w:w="108" w:type="dxa"/>
            <w:bottom w:w="0" w:type="dxa"/>
            <w:right w:w="108" w:type="dxa"/>
          </w:tblCellMar>
        </w:tblPrEx>
        <w:trPr>
          <w:trHeight w:val="340" w:hRule="atLeast"/>
        </w:trPr>
        <w:tc>
          <w:tcPr>
            <w:tcW w:w="19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破碎机</w:t>
            </w:r>
          </w:p>
        </w:tc>
        <w:tc>
          <w:tcPr>
            <w:tcW w:w="1321"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65～90</w:t>
            </w:r>
          </w:p>
        </w:tc>
        <w:tc>
          <w:tcPr>
            <w:tcW w:w="3206"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选用密闭性好的优质低噪声设备，设置在车间内部，隔声处理</w:t>
            </w:r>
          </w:p>
        </w:tc>
        <w:tc>
          <w:tcPr>
            <w:tcW w:w="1814"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35～60</w:t>
            </w:r>
          </w:p>
        </w:tc>
      </w:tr>
      <w:tr>
        <w:tblPrEx>
          <w:tblCellMar>
            <w:top w:w="0" w:type="dxa"/>
            <w:left w:w="108" w:type="dxa"/>
            <w:bottom w:w="0" w:type="dxa"/>
            <w:right w:w="108" w:type="dxa"/>
          </w:tblCellMar>
        </w:tblPrEx>
        <w:trPr>
          <w:trHeight w:val="340" w:hRule="atLeast"/>
        </w:trPr>
        <w:tc>
          <w:tcPr>
            <w:tcW w:w="19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甩干机</w:t>
            </w:r>
          </w:p>
        </w:tc>
        <w:tc>
          <w:tcPr>
            <w:tcW w:w="1321"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60～85</w:t>
            </w:r>
          </w:p>
        </w:tc>
        <w:tc>
          <w:tcPr>
            <w:tcW w:w="3206"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选用优质低噪声设备，全部设置在车间内部，通过车间隔声处理</w:t>
            </w:r>
          </w:p>
        </w:tc>
        <w:tc>
          <w:tcPr>
            <w:tcW w:w="1814"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30～55</w:t>
            </w:r>
          </w:p>
        </w:tc>
      </w:tr>
      <w:tr>
        <w:tblPrEx>
          <w:tblCellMar>
            <w:top w:w="0" w:type="dxa"/>
            <w:left w:w="108" w:type="dxa"/>
            <w:bottom w:w="0" w:type="dxa"/>
            <w:right w:w="108" w:type="dxa"/>
          </w:tblCellMar>
        </w:tblPrEx>
        <w:trPr>
          <w:trHeight w:val="340" w:hRule="atLeast"/>
        </w:trPr>
        <w:tc>
          <w:tcPr>
            <w:tcW w:w="19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切粒机</w:t>
            </w:r>
          </w:p>
        </w:tc>
        <w:tc>
          <w:tcPr>
            <w:tcW w:w="1321"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60～85</w:t>
            </w:r>
          </w:p>
        </w:tc>
        <w:tc>
          <w:tcPr>
            <w:tcW w:w="3206"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选用优质低噪声设备，全部设置在车间内部，通过车间隔声处理</w:t>
            </w:r>
          </w:p>
        </w:tc>
        <w:tc>
          <w:tcPr>
            <w:tcW w:w="1814" w:type="dxa"/>
            <w:tcBorders>
              <w:top w:val="single" w:color="auto" w:sz="4" w:space="0"/>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30～55</w:t>
            </w:r>
          </w:p>
        </w:tc>
      </w:tr>
      <w:tr>
        <w:tblPrEx>
          <w:tblCellMar>
            <w:top w:w="0" w:type="dxa"/>
            <w:left w:w="108" w:type="dxa"/>
            <w:bottom w:w="0" w:type="dxa"/>
            <w:right w:w="108" w:type="dxa"/>
          </w:tblCellMar>
        </w:tblPrEx>
        <w:trPr>
          <w:trHeight w:val="340" w:hRule="atLeast"/>
        </w:trPr>
        <w:tc>
          <w:tcPr>
            <w:tcW w:w="1919"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引风机</w:t>
            </w:r>
          </w:p>
        </w:tc>
        <w:tc>
          <w:tcPr>
            <w:tcW w:w="1321"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55～85</w:t>
            </w:r>
          </w:p>
        </w:tc>
        <w:tc>
          <w:tcPr>
            <w:tcW w:w="320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选用优质低噪声设备，加设空气消声器</w:t>
            </w:r>
          </w:p>
        </w:tc>
        <w:tc>
          <w:tcPr>
            <w:tcW w:w="181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25～55</w:t>
            </w:r>
          </w:p>
        </w:tc>
      </w:tr>
      <w:tr>
        <w:tblPrEx>
          <w:tblCellMar>
            <w:top w:w="0" w:type="dxa"/>
            <w:left w:w="108" w:type="dxa"/>
            <w:bottom w:w="0" w:type="dxa"/>
            <w:right w:w="108" w:type="dxa"/>
          </w:tblCellMar>
        </w:tblPrEx>
        <w:trPr>
          <w:trHeight w:val="340" w:hRule="atLeast"/>
        </w:trPr>
        <w:tc>
          <w:tcPr>
            <w:tcW w:w="1919" w:type="dxa"/>
            <w:tcBorders>
              <w:top w:val="nil"/>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上料机、挤出机、牵引机、收卷机</w:t>
            </w:r>
          </w:p>
        </w:tc>
        <w:tc>
          <w:tcPr>
            <w:tcW w:w="1321"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55～80</w:t>
            </w:r>
          </w:p>
        </w:tc>
        <w:tc>
          <w:tcPr>
            <w:tcW w:w="3206"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选用优质低噪声设备，全部设置在车间内部，通过车间隔声处理</w:t>
            </w:r>
          </w:p>
        </w:tc>
        <w:tc>
          <w:tcPr>
            <w:tcW w:w="1814" w:type="dxa"/>
            <w:tcBorders>
              <w:top w:val="nil"/>
              <w:left w:val="nil"/>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25～50</w:t>
            </w:r>
          </w:p>
        </w:tc>
      </w:tr>
    </w:tbl>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5.4.2 预测范围、点位与评价因子</w:t>
      </w:r>
      <w:bookmarkEnd w:id="282"/>
      <w:bookmarkEnd w:id="283"/>
      <w:bookmarkEnd w:id="284"/>
      <w:bookmarkEnd w:id="285"/>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（1）预测范围与点位</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①噪声预测范围为：厂界外1m；</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②预测点位：以现状监测点位预测评价点；</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③厂界噪声：在东、南、西、北厂界各设置一个</w:t>
      </w:r>
      <w:r>
        <w:rPr>
          <w:rFonts w:hint="default" w:ascii="Times New Roman" w:hAnsi="Times New Roman" w:eastAsia="宋体" w:cs="Times New Roman"/>
          <w:color w:val="auto"/>
          <w:sz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4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rPr>
        <w:t>敏感点噪声：</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eastAsia="zh-CN"/>
        </w:rPr>
        <w:t>东侧居民、南侧居民、北侧居民各</w:t>
      </w:r>
      <w:r>
        <w:rPr>
          <w:rFonts w:hint="default" w:ascii="Times New Roman" w:hAnsi="Times New Roman" w:eastAsia="宋体" w:cs="Times New Roman"/>
          <w:color w:val="auto"/>
          <w:sz w:val="24"/>
          <w:szCs w:val="24"/>
          <w:highlight w:val="none"/>
        </w:rPr>
        <w:t>设置一个。</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（2）预测因子</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厂界噪声预测因子：等效连续A声级。</w:t>
      </w:r>
    </w:p>
    <w:p>
      <w:pPr>
        <w:pStyle w:val="6"/>
        <w:bidi w:val="0"/>
        <w:rPr>
          <w:rFonts w:hint="default" w:ascii="Times New Roman" w:hAnsi="Times New Roman" w:eastAsia="宋体" w:cs="Times New Roman"/>
          <w:color w:val="auto"/>
        </w:rPr>
      </w:pPr>
      <w:bookmarkStart w:id="286" w:name="_Toc388868792"/>
      <w:bookmarkStart w:id="287" w:name="_Toc388868047"/>
      <w:bookmarkStart w:id="288" w:name="_Toc388971250"/>
      <w:bookmarkStart w:id="289" w:name="_Toc391887288"/>
      <w:r>
        <w:rPr>
          <w:rFonts w:hint="default" w:ascii="Times New Roman" w:hAnsi="Times New Roman" w:eastAsia="宋体" w:cs="Times New Roman"/>
          <w:color w:val="auto"/>
        </w:rPr>
        <w:t>5.4.3 预测模式、程序及参数选取</w:t>
      </w:r>
      <w:bookmarkEnd w:id="286"/>
      <w:bookmarkEnd w:id="287"/>
      <w:bookmarkEnd w:id="288"/>
      <w:bookmarkEnd w:id="289"/>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（1）预测模式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预测模式采用《环境影响评价技术导则—声环境》（HJ2.4-2009）中推荐的模型。其计算公式如下：</w:t>
      </w:r>
    </w:p>
    <w:p>
      <w:pPr>
        <w:keepNext w:val="0"/>
        <w:keepLines w:val="0"/>
        <w:pageBreakBefore w:val="0"/>
        <w:widowControl w:val="0"/>
        <w:shd w:val="clear"/>
        <w:tabs>
          <w:tab w:val="left" w:pos="7200"/>
        </w:tabs>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highlight w:val="none"/>
          <w:lang w:val="de-DE" w:eastAsia="zh-CN"/>
        </w:rPr>
      </w:pPr>
      <w:r>
        <w:rPr>
          <w:rFonts w:hint="default" w:ascii="Times New Roman" w:hAnsi="Times New Roman" w:eastAsia="宋体" w:cs="Times New Roman"/>
          <w:color w:val="auto"/>
          <w:sz w:val="24"/>
          <w:highlight w:val="none"/>
          <w:lang w:val="de-DE"/>
        </w:rPr>
        <w:t>L</w:t>
      </w:r>
      <w:r>
        <w:rPr>
          <w:rFonts w:hint="default" w:ascii="Times New Roman" w:hAnsi="Times New Roman" w:eastAsia="宋体" w:cs="Times New Roman"/>
          <w:color w:val="auto"/>
          <w:sz w:val="24"/>
          <w:highlight w:val="none"/>
          <w:vertAlign w:val="subscript"/>
          <w:lang w:val="de-DE"/>
        </w:rPr>
        <w:t>p</w:t>
      </w:r>
      <w:r>
        <w:rPr>
          <w:rFonts w:hint="default" w:ascii="Times New Roman" w:hAnsi="Times New Roman" w:eastAsia="宋体" w:cs="Times New Roman"/>
          <w:color w:val="auto"/>
          <w:sz w:val="24"/>
          <w:highlight w:val="none"/>
          <w:lang w:val="de-DE" w:eastAsia="zh-CN"/>
        </w:rPr>
        <w:t>（</w:t>
      </w:r>
      <w:r>
        <w:rPr>
          <w:rFonts w:hint="default" w:ascii="Times New Roman" w:hAnsi="Times New Roman" w:eastAsia="宋体" w:cs="Times New Roman"/>
          <w:color w:val="auto"/>
          <w:sz w:val="24"/>
          <w:highlight w:val="none"/>
          <w:lang w:val="de-DE"/>
        </w:rPr>
        <w:t>r</w:t>
      </w:r>
      <w:r>
        <w:rPr>
          <w:rFonts w:hint="default" w:ascii="Times New Roman" w:hAnsi="Times New Roman" w:eastAsia="宋体" w:cs="Times New Roman"/>
          <w:color w:val="auto"/>
          <w:sz w:val="24"/>
          <w:highlight w:val="none"/>
          <w:lang w:val="de-DE" w:eastAsia="zh-CN"/>
        </w:rPr>
        <w:t>）</w:t>
      </w:r>
      <w:r>
        <w:rPr>
          <w:rFonts w:hint="default" w:ascii="Times New Roman" w:hAnsi="Times New Roman" w:eastAsia="宋体" w:cs="Times New Roman"/>
          <w:color w:val="auto"/>
          <w:sz w:val="24"/>
          <w:highlight w:val="none"/>
          <w:lang w:val="de-DE"/>
        </w:rPr>
        <w:t>=L</w:t>
      </w:r>
      <w:r>
        <w:rPr>
          <w:rFonts w:hint="default" w:ascii="Times New Roman" w:hAnsi="Times New Roman" w:eastAsia="宋体" w:cs="Times New Roman"/>
          <w:color w:val="auto"/>
          <w:sz w:val="24"/>
          <w:highlight w:val="none"/>
          <w:vertAlign w:val="subscript"/>
          <w:lang w:val="de-DE"/>
        </w:rPr>
        <w:t>p</w:t>
      </w:r>
      <w:r>
        <w:rPr>
          <w:rFonts w:hint="default" w:ascii="Times New Roman" w:hAnsi="Times New Roman" w:eastAsia="宋体" w:cs="Times New Roman"/>
          <w:color w:val="auto"/>
          <w:sz w:val="24"/>
          <w:highlight w:val="none"/>
          <w:lang w:val="de-DE" w:eastAsia="zh-CN"/>
        </w:rPr>
        <w:t>（</w:t>
      </w:r>
      <w:r>
        <w:rPr>
          <w:rFonts w:hint="default" w:ascii="Times New Roman" w:hAnsi="Times New Roman" w:eastAsia="宋体" w:cs="Times New Roman"/>
          <w:color w:val="auto"/>
          <w:sz w:val="24"/>
          <w:highlight w:val="none"/>
          <w:lang w:val="de-DE"/>
        </w:rPr>
        <w:t>r</w:t>
      </w:r>
      <w:r>
        <w:rPr>
          <w:rFonts w:hint="default" w:ascii="Times New Roman" w:hAnsi="Times New Roman" w:eastAsia="宋体" w:cs="Times New Roman"/>
          <w:color w:val="auto"/>
          <w:sz w:val="24"/>
          <w:highlight w:val="none"/>
          <w:vertAlign w:val="subscript"/>
          <w:lang w:val="de-DE"/>
        </w:rPr>
        <w:t>0</w:t>
      </w:r>
      <w:r>
        <w:rPr>
          <w:rFonts w:hint="default" w:ascii="Times New Roman" w:hAnsi="Times New Roman" w:eastAsia="宋体" w:cs="Times New Roman"/>
          <w:color w:val="auto"/>
          <w:sz w:val="24"/>
          <w:highlight w:val="none"/>
          <w:lang w:val="de-DE" w:eastAsia="zh-CN"/>
        </w:rPr>
        <w:t>）</w:t>
      </w:r>
      <w:r>
        <w:rPr>
          <w:rFonts w:hint="default" w:ascii="Times New Roman" w:hAnsi="Times New Roman" w:eastAsia="宋体" w:cs="Times New Roman"/>
          <w:color w:val="auto"/>
          <w:sz w:val="24"/>
          <w:highlight w:val="none"/>
          <w:lang w:val="de-DE"/>
        </w:rPr>
        <w:t>-</w:t>
      </w:r>
      <w:r>
        <w:rPr>
          <w:rFonts w:hint="default" w:ascii="Times New Roman" w:hAnsi="Times New Roman" w:eastAsia="宋体" w:cs="Times New Roman"/>
          <w:color w:val="auto"/>
          <w:sz w:val="24"/>
          <w:highlight w:val="none"/>
          <w:lang w:val="de-DE" w:eastAsia="zh-CN"/>
        </w:rPr>
        <w:t>（</w:t>
      </w:r>
      <w:r>
        <w:rPr>
          <w:rFonts w:hint="default" w:ascii="Times New Roman" w:hAnsi="Times New Roman" w:eastAsia="宋体" w:cs="Times New Roman"/>
          <w:color w:val="auto"/>
          <w:sz w:val="24"/>
          <w:highlight w:val="none"/>
          <w:lang w:val="de-DE"/>
        </w:rPr>
        <w:t>A</w:t>
      </w:r>
      <w:r>
        <w:rPr>
          <w:rFonts w:hint="default" w:ascii="Times New Roman" w:hAnsi="Times New Roman" w:eastAsia="宋体" w:cs="Times New Roman"/>
          <w:color w:val="auto"/>
          <w:sz w:val="24"/>
          <w:highlight w:val="none"/>
          <w:vertAlign w:val="subscript"/>
          <w:lang w:val="de-DE"/>
        </w:rPr>
        <w:t>d</w:t>
      </w:r>
      <w:r>
        <w:rPr>
          <w:rFonts w:hint="default" w:ascii="Times New Roman" w:hAnsi="Times New Roman" w:eastAsia="宋体" w:cs="Times New Roman"/>
          <w:color w:val="auto"/>
          <w:sz w:val="24"/>
          <w:highlight w:val="none"/>
          <w:vertAlign w:val="subscript"/>
          <w:lang w:val="de-DE" w:eastAsia="zh-CN"/>
        </w:rPr>
        <w:t>Ⅳ</w:t>
      </w:r>
      <w:r>
        <w:rPr>
          <w:rFonts w:hint="default" w:ascii="Times New Roman" w:hAnsi="Times New Roman" w:eastAsia="宋体" w:cs="Times New Roman"/>
          <w:color w:val="auto"/>
          <w:sz w:val="24"/>
          <w:highlight w:val="none"/>
          <w:lang w:val="de-DE"/>
        </w:rPr>
        <w:t>+A</w:t>
      </w:r>
      <w:r>
        <w:rPr>
          <w:rFonts w:hint="default" w:ascii="Times New Roman" w:hAnsi="Times New Roman" w:eastAsia="宋体" w:cs="Times New Roman"/>
          <w:color w:val="auto"/>
          <w:sz w:val="24"/>
          <w:highlight w:val="none"/>
          <w:vertAlign w:val="subscript"/>
          <w:lang w:val="de-DE"/>
        </w:rPr>
        <w:t>atm</w:t>
      </w:r>
      <w:r>
        <w:rPr>
          <w:rFonts w:hint="default" w:ascii="Times New Roman" w:hAnsi="Times New Roman" w:eastAsia="宋体" w:cs="Times New Roman"/>
          <w:color w:val="auto"/>
          <w:sz w:val="24"/>
          <w:highlight w:val="none"/>
          <w:lang w:val="de-DE"/>
        </w:rPr>
        <w:t>+A</w:t>
      </w:r>
      <w:r>
        <w:rPr>
          <w:rFonts w:hint="default" w:ascii="Times New Roman" w:hAnsi="Times New Roman" w:eastAsia="宋体" w:cs="Times New Roman"/>
          <w:color w:val="auto"/>
          <w:sz w:val="24"/>
          <w:highlight w:val="none"/>
          <w:vertAlign w:val="subscript"/>
          <w:lang w:val="de-DE"/>
        </w:rPr>
        <w:t>bar</w:t>
      </w:r>
      <w:r>
        <w:rPr>
          <w:rFonts w:hint="default" w:ascii="Times New Roman" w:hAnsi="Times New Roman" w:eastAsia="宋体" w:cs="Times New Roman"/>
          <w:color w:val="auto"/>
          <w:sz w:val="24"/>
          <w:highlight w:val="none"/>
          <w:lang w:val="de-DE"/>
        </w:rPr>
        <w:t>+A</w:t>
      </w:r>
      <w:r>
        <w:rPr>
          <w:rFonts w:hint="default" w:ascii="Times New Roman" w:hAnsi="Times New Roman" w:eastAsia="宋体" w:cs="Times New Roman"/>
          <w:color w:val="auto"/>
          <w:sz w:val="24"/>
          <w:highlight w:val="none"/>
          <w:vertAlign w:val="subscript"/>
          <w:lang w:val="de-DE"/>
        </w:rPr>
        <w:t>gr</w:t>
      </w:r>
      <w:r>
        <w:rPr>
          <w:rFonts w:hint="default" w:ascii="Times New Roman" w:hAnsi="Times New Roman" w:eastAsia="宋体" w:cs="Times New Roman"/>
          <w:color w:val="auto"/>
          <w:sz w:val="24"/>
          <w:highlight w:val="none"/>
          <w:lang w:val="de-DE"/>
        </w:rPr>
        <w:t>+A</w:t>
      </w:r>
      <w:r>
        <w:rPr>
          <w:rFonts w:hint="default" w:ascii="Times New Roman" w:hAnsi="Times New Roman" w:eastAsia="宋体" w:cs="Times New Roman"/>
          <w:color w:val="auto"/>
          <w:sz w:val="24"/>
          <w:highlight w:val="none"/>
          <w:vertAlign w:val="subscript"/>
          <w:lang w:val="de-DE"/>
        </w:rPr>
        <w:t>misc</w:t>
      </w:r>
      <w:r>
        <w:rPr>
          <w:rFonts w:hint="default" w:ascii="Times New Roman" w:hAnsi="Times New Roman" w:eastAsia="宋体" w:cs="Times New Roman"/>
          <w:color w:val="auto"/>
          <w:sz w:val="24"/>
          <w:highlight w:val="none"/>
          <w:lang w:val="de-DE"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—距声源rm处的声压级；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m处的声压级；</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w:t>
      </w:r>
      <w:r>
        <w:rPr>
          <w:rFonts w:hint="default" w:ascii="Times New Roman" w:hAnsi="Times New Roman" w:eastAsia="宋体" w:cs="Times New Roman"/>
          <w:color w:val="auto"/>
          <w:sz w:val="24"/>
          <w:highlight w:val="none"/>
          <w:vertAlign w:val="subscript"/>
          <w:lang w:eastAsia="zh-CN"/>
        </w:rPr>
        <w:t>Ⅳ</w:t>
      </w:r>
      <w:r>
        <w:rPr>
          <w:rFonts w:hint="default" w:ascii="Times New Roman" w:hAnsi="Times New Roman" w:eastAsia="宋体" w:cs="Times New Roman"/>
          <w:color w:val="auto"/>
          <w:sz w:val="24"/>
          <w:highlight w:val="none"/>
        </w:rPr>
        <w:t>—声波几何发散引起的衰减；</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atm</w:t>
      </w:r>
      <w:r>
        <w:rPr>
          <w:rFonts w:hint="default" w:ascii="Times New Roman" w:hAnsi="Times New Roman" w:eastAsia="宋体" w:cs="Times New Roman"/>
          <w:color w:val="auto"/>
          <w:sz w:val="24"/>
          <w:highlight w:val="none"/>
        </w:rPr>
        <w:t>—空气吸收引起的衰减；</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—声屏障屏蔽引起的衰减；</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gr</w:t>
      </w:r>
      <w:r>
        <w:rPr>
          <w:rFonts w:hint="default" w:ascii="Times New Roman" w:hAnsi="Times New Roman" w:eastAsia="宋体" w:cs="Times New Roman"/>
          <w:color w:val="auto"/>
          <w:sz w:val="24"/>
          <w:highlight w:val="none"/>
        </w:rPr>
        <w:t>—地面效应引起的衰减；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A</w:t>
      </w:r>
      <w:r>
        <w:rPr>
          <w:rFonts w:hint="default" w:ascii="Times New Roman" w:hAnsi="Times New Roman" w:eastAsia="宋体" w:cs="Times New Roman"/>
          <w:color w:val="auto"/>
          <w:sz w:val="24"/>
          <w:highlight w:val="none"/>
          <w:vertAlign w:val="subscript"/>
        </w:rPr>
        <w:t>misc</w:t>
      </w:r>
      <w:r>
        <w:rPr>
          <w:rFonts w:hint="default" w:ascii="Times New Roman" w:hAnsi="Times New Roman" w:eastAsia="宋体" w:cs="Times New Roman"/>
          <w:color w:val="auto"/>
          <w:sz w:val="24"/>
          <w:highlight w:val="none"/>
        </w:rPr>
        <w:t>—其它多方面效应引起的衰减。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①几何发散衰减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对于室外声源，无指向性点声源几何发散衰减的基本公式为：</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-20lg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预测模式采用点声源处于半自由空间的几何发散模式，计算公式为：</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-20lg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-8</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对于室内声源，按下列步骤计算：</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Ⅰ由类比监测取得室外靠近围护结构处的声压级L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Ⅱ将室外声源L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和透声面积换算成等效的室外声源。计算出等效源的声功率级：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L</w:t>
      </w:r>
      <w:r>
        <w:rPr>
          <w:rFonts w:hint="default" w:ascii="Times New Roman" w:hAnsi="Times New Roman" w:eastAsia="宋体" w:cs="Times New Roman"/>
          <w:color w:val="auto"/>
          <w:sz w:val="24"/>
          <w:highlight w:val="none"/>
          <w:vertAlign w:val="subscript"/>
        </w:rPr>
        <w:t>w</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+10lgS        式中S为透声面积。</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Ⅲ用下式计算出等效室外声源在预测点的声压级。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w</w:t>
      </w:r>
      <w:r>
        <w:rPr>
          <w:rFonts w:hint="default" w:ascii="Times New Roman" w:hAnsi="Times New Roman" w:eastAsia="宋体" w:cs="Times New Roman"/>
          <w:color w:val="auto"/>
          <w:sz w:val="24"/>
          <w:highlight w:val="none"/>
        </w:rPr>
        <w:t>-20lg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-20lg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-8</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Ⅳ用下式计算各噪声源对预测点贡献声级及背景噪声叠加。</w:t>
      </w:r>
    </w:p>
    <w:p>
      <w:pPr>
        <w:keepNext w:val="0"/>
        <w:keepLines w:val="0"/>
        <w:pageBreakBefore w:val="0"/>
        <w:widowControl w:val="0"/>
        <w:shd w:val="clear"/>
        <w:kinsoku/>
        <w:wordWrap/>
        <w:overflowPunct/>
        <w:topLinePunct w:val="0"/>
        <w:autoSpaceDE/>
        <w:autoSpaceDN/>
        <w:bidi w:val="0"/>
        <w:adjustRightInd/>
        <w:snapToGrid/>
        <w:spacing w:line="360" w:lineRule="auto"/>
        <w:ind w:firstLine="1120" w:firstLineChars="467"/>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position w:val="-30"/>
          <w:sz w:val="24"/>
          <w:highlight w:val="none"/>
          <w:lang w:val="zh-CN"/>
        </w:rPr>
        <w:object>
          <v:shape id="_x0000_i1036" o:spt="75" type="#_x0000_t75" style="height:35.7pt;width:109.55pt;" o:ole="t" filled="f" o:preferrelative="t" stroked="f" coordsize="21600,21600">
            <v:path/>
            <v:fill on="f" focussize="0,0"/>
            <v:stroke on="f" joinstyle="miter"/>
            <v:imagedata r:id="rId53" o:title=""/>
            <o:lock v:ext="edit" aspectratio="t"/>
            <w10:wrap type="none"/>
            <w10:anchorlock/>
          </v:shape>
          <o:OLEObject Type="Embed" ProgID="Equation.DSMT4" ShapeID="_x0000_i1036" DrawAspect="Content" ObjectID="_1468075736" r:id="rId52">
            <o:LockedField>false</o:LockedField>
          </o:OLEObject>
        </w:objec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式中：L</w:t>
      </w:r>
      <w:r>
        <w:rPr>
          <w:rFonts w:hint="default" w:ascii="Times New Roman" w:hAnsi="Times New Roman" w:eastAsia="宋体" w:cs="Times New Roman"/>
          <w:color w:val="auto"/>
          <w:kern w:val="0"/>
          <w:sz w:val="24"/>
          <w:highlight w:val="none"/>
          <w:vertAlign w:val="subscript"/>
          <w:lang w:val="zh-CN"/>
        </w:rPr>
        <w:t>Ai</w:t>
      </w:r>
      <w:r>
        <w:rPr>
          <w:rFonts w:hint="default" w:ascii="Times New Roman" w:hAnsi="Times New Roman" w:eastAsia="宋体" w:cs="Times New Roman"/>
          <w:color w:val="auto"/>
          <w:kern w:val="0"/>
          <w:sz w:val="24"/>
          <w:highlight w:val="none"/>
          <w:lang w:val="zh-CN"/>
        </w:rPr>
        <w:t>为声源单独作用时预测处的A声级，n为声源个数。</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kern w:val="0"/>
          <w:sz w:val="24"/>
          <w:highlight w:val="none"/>
          <w:lang w:val="zh-CN"/>
        </w:rPr>
        <w:t>声屏蔽屏障引起的衰减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声屏障的隔声效应与声源和接收点屏障位置、屏障高度和屏障长度及结构性质有关，我们根据它们之间的距离、声音的频率（一般取500Hz）算出菲涅尔系数，然后再查表找出相对应的衰减值（dB）。菲涅尔系数的计算方法如下：</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24"/>
          <w:sz w:val="24"/>
          <w:highlight w:val="none"/>
        </w:rPr>
        <w:object>
          <v:shape id="_x0000_i1037" o:spt="75" type="#_x0000_t75" style="height:30.05pt;width:87.05pt;" o:ole="t" filled="f" o:preferrelative="t" stroked="f" coordsize="21600,21600">
            <v:path/>
            <v:fill on="f" focussize="0,0"/>
            <v:stroke on="f" joinstyle="miter"/>
            <v:imagedata r:id="rId55" o:title=""/>
            <o:lock v:ext="edit" aspectratio="t"/>
            <w10:wrap type="none"/>
            <w10:anchorlock/>
          </v:shape>
          <o:OLEObject Type="Embed" ProgID="Equation.DSMT4" ShapeID="_x0000_i1037" DrawAspect="Content" ObjectID="_1468075737" r:id="rId54">
            <o:LockedField>false</o:LockedField>
          </o:OLEObject>
        </w:objec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式中：A—声源与屏障顶端的距离；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B—接收点与屏障顶端的距离；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d—声源与接收点间的距离；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λ—波长。</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③空气吸收引起的衰减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空气吸收引起的衰减按以下公式计算：</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atm</w:t>
      </w:r>
      <w:r>
        <w:rPr>
          <w:rFonts w:hint="default" w:ascii="Times New Roman" w:hAnsi="Times New Roman" w:eastAsia="宋体" w:cs="Times New Roman"/>
          <w:color w:val="auto"/>
          <w:sz w:val="24"/>
          <w:highlight w:val="none"/>
        </w:rPr>
        <w:t>=α</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/1000</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式中：α为温度、湿度和声波频率的函数，预测计算中一般根据建设项目所处区域常年平均气温和湿度选择相应的空气吸收系数，见表5.4-2。</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表5.4-2  倍频带噪声的大气吸收衰减系数</w:t>
      </w:r>
    </w:p>
    <w:tbl>
      <w:tblPr>
        <w:tblStyle w:val="90"/>
        <w:tblW w:w="82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60"/>
        <w:gridCol w:w="1216"/>
        <w:gridCol w:w="771"/>
        <w:gridCol w:w="640"/>
        <w:gridCol w:w="640"/>
        <w:gridCol w:w="640"/>
        <w:gridCol w:w="771"/>
        <w:gridCol w:w="771"/>
        <w:gridCol w:w="771"/>
        <w:gridCol w:w="7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温度</w:t>
            </w:r>
          </w:p>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12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相对湿度</w:t>
            </w:r>
          </w:p>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78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大气吸收衰减系数a，dB/km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left"/>
              <w:rPr>
                <w:rFonts w:hint="default" w:ascii="Times New Roman" w:hAnsi="Times New Roman" w:eastAsia="宋体" w:cs="Times New Roman"/>
                <w:color w:val="auto"/>
                <w:kern w:val="0"/>
                <w:szCs w:val="21"/>
                <w:highlight w:val="none"/>
              </w:rPr>
            </w:pPr>
          </w:p>
        </w:tc>
        <w:tc>
          <w:tcPr>
            <w:tcW w:w="12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left"/>
              <w:rPr>
                <w:rFonts w:hint="default" w:ascii="Times New Roman" w:hAnsi="Times New Roman" w:eastAsia="宋体" w:cs="Times New Roman"/>
                <w:color w:val="auto"/>
                <w:kern w:val="0"/>
                <w:szCs w:val="21"/>
                <w:highlight w:val="none"/>
              </w:rPr>
            </w:pPr>
          </w:p>
        </w:tc>
        <w:tc>
          <w:tcPr>
            <w:tcW w:w="5784"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倍频带中心频率Hz</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left"/>
              <w:rPr>
                <w:rFonts w:hint="default" w:ascii="Times New Roman" w:hAnsi="Times New Roman" w:eastAsia="宋体" w:cs="Times New Roman"/>
                <w:color w:val="auto"/>
                <w:kern w:val="0"/>
                <w:szCs w:val="21"/>
                <w:highlight w:val="none"/>
              </w:rPr>
            </w:pPr>
          </w:p>
        </w:tc>
        <w:tc>
          <w:tcPr>
            <w:tcW w:w="12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left"/>
              <w:rPr>
                <w:rFonts w:hint="default" w:ascii="Times New Roman" w:hAnsi="Times New Roman" w:eastAsia="宋体" w:cs="Times New Roman"/>
                <w:color w:val="auto"/>
                <w:kern w:val="0"/>
                <w:szCs w:val="21"/>
                <w:highlight w:val="none"/>
              </w:rPr>
            </w:pP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63</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125</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250</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500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1000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2000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4000</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0.1</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0.4</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1.9</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3.7</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9.7</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32.8</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w:t>
            </w: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0.1</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0.3</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2.8</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9</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22.9</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30</w:t>
            </w: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0.1</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0.3</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3.1</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7.4</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12.7</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23.1</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w:t>
            </w: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0.3</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0.6</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2.7</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8.2</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28.2</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28.8</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w:t>
            </w: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0.1</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0.5</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2.2</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4.2</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10.8</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36.2</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w:t>
            </w:r>
          </w:p>
        </w:tc>
        <w:tc>
          <w:tcPr>
            <w:tcW w:w="12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80</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0.1</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0.3</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2.4</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4.1</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8.3</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23.7</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82.8</w:t>
            </w:r>
          </w:p>
        </w:tc>
      </w:tr>
    </w:tbl>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④地面效应引起的衰减</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声波越过疏松地面传播时，或大部分为疏松地面的混合地面，在预测点仅计算A声级前提下，地面效应引起的倍频带衰减可按下式计算：</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position w:val="-30"/>
          <w:sz w:val="24"/>
          <w:highlight w:val="none"/>
        </w:rPr>
        <w:object>
          <v:shape id="_x0000_i1038" o:spt="75" type="#_x0000_t75" style="height:35.7pt;width:154pt;" o:ole="t" filled="f" o:preferrelative="t" stroked="f" coordsize="21600,21600">
            <v:path/>
            <v:fill on="f" focussize="0,0"/>
            <v:stroke on="f" joinstyle="miter"/>
            <v:imagedata r:id="rId57" o:title=""/>
            <o:lock v:ext="edit" aspectratio="t"/>
            <w10:wrap type="none"/>
            <w10:anchorlock/>
          </v:shape>
          <o:OLEObject Type="Embed" ProgID="Equation.DSMT4" ShapeID="_x0000_i1038" DrawAspect="Content" ObjectID="_1468075738" r:id="rId56">
            <o:LockedField>false</o:LockedField>
          </o:OLEObject>
        </w:objec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式中：r—声源到预测点的距离，m；</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h</w:t>
      </w:r>
      <w:r>
        <w:rPr>
          <w:rFonts w:hint="default" w:ascii="Times New Roman" w:hAnsi="Times New Roman" w:eastAsia="宋体" w:cs="Times New Roman"/>
          <w:color w:val="auto"/>
          <w:sz w:val="24"/>
          <w:highlight w:val="none"/>
          <w:vertAlign w:val="subscript"/>
        </w:rPr>
        <w:t>m</w:t>
      </w:r>
      <w:r>
        <w:rPr>
          <w:rFonts w:hint="default" w:ascii="Times New Roman" w:hAnsi="Times New Roman" w:eastAsia="宋体" w:cs="Times New Roman"/>
          <w:color w:val="auto"/>
          <w:sz w:val="24"/>
          <w:highlight w:val="none"/>
        </w:rPr>
        <w:t>—传播路径的平均离地高度，m。</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若A</w:t>
      </w:r>
      <w:r>
        <w:rPr>
          <w:rFonts w:hint="default" w:ascii="Times New Roman" w:hAnsi="Times New Roman" w:eastAsia="宋体" w:cs="Times New Roman"/>
          <w:color w:val="auto"/>
          <w:sz w:val="24"/>
          <w:highlight w:val="none"/>
          <w:vertAlign w:val="subscript"/>
        </w:rPr>
        <w:t>gr</w:t>
      </w:r>
      <w:r>
        <w:rPr>
          <w:rFonts w:hint="default" w:ascii="Times New Roman" w:hAnsi="Times New Roman" w:eastAsia="宋体" w:cs="Times New Roman"/>
          <w:color w:val="auto"/>
          <w:sz w:val="24"/>
          <w:highlight w:val="none"/>
        </w:rPr>
        <w:t>计算出负值，则A</w:t>
      </w:r>
      <w:r>
        <w:rPr>
          <w:rFonts w:hint="default" w:ascii="Times New Roman" w:hAnsi="Times New Roman" w:eastAsia="宋体" w:cs="Times New Roman"/>
          <w:color w:val="auto"/>
          <w:sz w:val="24"/>
          <w:highlight w:val="none"/>
          <w:vertAlign w:val="subscript"/>
        </w:rPr>
        <w:t>gr</w:t>
      </w:r>
      <w:r>
        <w:rPr>
          <w:rFonts w:hint="default" w:ascii="Times New Roman" w:hAnsi="Times New Roman" w:eastAsia="宋体" w:cs="Times New Roman"/>
          <w:color w:val="auto"/>
          <w:sz w:val="24"/>
          <w:highlight w:val="none"/>
        </w:rPr>
        <w:t>可用“0”代替。本项目厂区地面除绿化外均为坚实地面，且本次预测仅针对厂界，故A</w:t>
      </w:r>
      <w:r>
        <w:rPr>
          <w:rFonts w:hint="default" w:ascii="Times New Roman" w:hAnsi="Times New Roman" w:eastAsia="宋体" w:cs="Times New Roman"/>
          <w:color w:val="auto"/>
          <w:sz w:val="24"/>
          <w:highlight w:val="none"/>
          <w:vertAlign w:val="subscript"/>
        </w:rPr>
        <w:t>gr</w:t>
      </w:r>
      <w:r>
        <w:rPr>
          <w:rFonts w:hint="default" w:ascii="Times New Roman" w:hAnsi="Times New Roman" w:eastAsia="宋体" w:cs="Times New Roman"/>
          <w:color w:val="auto"/>
          <w:sz w:val="24"/>
          <w:highlight w:val="none"/>
        </w:rPr>
        <w:t>可忽略不计。</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⑤其它多方面原因引起的衰减</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其它衰减包括通过工业场所的衰减，通过房屋群的衰减。在本次预测中可忽略不计。在声环境影响评价中，一般情况下，不考虑自然条件（如风、温度梯度、雾）变化引起的附加修正。</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（2）预测程序</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预测点噪声级预测计算基本步骤如下：</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①建立坐标系，确定各声源坐标和预测点坐标，并根据声源性质以及预测点与声源之间距离等情况，把声源简化成点声源，或线声源，或面声源。</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②根据已获得的声源源强的数据和各声源到预测点的声波传播条件资料，计算出噪声从各声源传播到预测点的声衰减量，由此计算出各声源单独作用在预测点时产生的A声级L</w:t>
      </w:r>
      <w:r>
        <w:rPr>
          <w:rFonts w:hint="default" w:ascii="Times New Roman" w:hAnsi="Times New Roman" w:eastAsia="宋体" w:cs="Times New Roman"/>
          <w:color w:val="auto"/>
          <w:sz w:val="24"/>
          <w:highlight w:val="none"/>
          <w:vertAlign w:val="subscript"/>
        </w:rPr>
        <w:t>Ai</w:t>
      </w:r>
      <w:r>
        <w:rPr>
          <w:rFonts w:hint="default" w:ascii="Times New Roman" w:hAnsi="Times New Roman" w:eastAsia="宋体" w:cs="Times New Roman"/>
          <w:color w:val="auto"/>
          <w:sz w:val="24"/>
          <w:highlight w:val="none"/>
        </w:rPr>
        <w:t>；</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③声级计算</w:t>
      </w:r>
    </w:p>
    <w:p>
      <w:pPr>
        <w:shd w:val="clea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建设项目声源在预测点产生的等效声级贡献值（L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）计算公式：</w:t>
      </w:r>
    </w:p>
    <w:p>
      <w:pPr>
        <w:shd w:val="clear"/>
        <w:spacing w:line="360" w:lineRule="auto"/>
        <w:ind w:firstLine="1276" w:firstLineChars="532"/>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position w:val="-30"/>
          <w:sz w:val="24"/>
          <w:highlight w:val="none"/>
          <w:lang w:val="zh-CN"/>
        </w:rPr>
        <w:object>
          <v:shape id="_x0000_i1039" o:spt="75" type="#_x0000_t75" style="height:35.7pt;width:128.95pt;" o:ole="t" filled="f" o:preferrelative="t" stroked="f" coordsize="21600,21600">
            <v:path/>
            <v:fill on="f" focussize="0,0"/>
            <v:stroke on="f" joinstyle="miter"/>
            <v:imagedata r:id="rId59" o:title=""/>
            <o:lock v:ext="edit" aspectratio="t"/>
            <w10:wrap type="none"/>
            <w10:anchorlock/>
          </v:shape>
          <o:OLEObject Type="Embed" ProgID="Equation.DSMT4" ShapeID="_x0000_i1039" DrawAspect="Content" ObjectID="_1468075739" r:id="rId58">
            <o:LockedField>false</o:LockedField>
          </o:OLEObject>
        </w:object>
      </w:r>
    </w:p>
    <w:p>
      <w:pPr>
        <w:shd w:val="clear"/>
        <w:spacing w:line="360" w:lineRule="auto"/>
        <w:ind w:firstLine="48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式中：L</w:t>
      </w:r>
      <w:r>
        <w:rPr>
          <w:rFonts w:hint="default" w:ascii="Times New Roman" w:hAnsi="Times New Roman" w:eastAsia="宋体" w:cs="Times New Roman"/>
          <w:color w:val="auto"/>
          <w:kern w:val="0"/>
          <w:sz w:val="24"/>
          <w:highlight w:val="none"/>
          <w:vertAlign w:val="subscript"/>
          <w:lang w:val="zh-CN"/>
        </w:rPr>
        <w:t>eqg</w:t>
      </w:r>
      <w:r>
        <w:rPr>
          <w:rFonts w:hint="default" w:ascii="Times New Roman" w:hAnsi="Times New Roman" w:eastAsia="宋体" w:cs="Times New Roman"/>
          <w:color w:val="auto"/>
          <w:kern w:val="0"/>
          <w:sz w:val="24"/>
          <w:highlight w:val="none"/>
          <w:lang w:val="zh-CN"/>
        </w:rPr>
        <w:t>—建设项目声源在预测点的等效声级贡献值，dB（A）；</w:t>
      </w:r>
    </w:p>
    <w:p>
      <w:pPr>
        <w:shd w:val="clear"/>
        <w:spacing w:line="360" w:lineRule="auto"/>
        <w:ind w:firstLine="48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 xml:space="preserve">      L</w:t>
      </w:r>
      <w:r>
        <w:rPr>
          <w:rFonts w:hint="default" w:ascii="Times New Roman" w:hAnsi="Times New Roman" w:eastAsia="宋体" w:cs="Times New Roman"/>
          <w:color w:val="auto"/>
          <w:kern w:val="0"/>
          <w:sz w:val="24"/>
          <w:highlight w:val="none"/>
          <w:vertAlign w:val="subscript"/>
          <w:lang w:val="zh-CN"/>
        </w:rPr>
        <w:t>Ai</w:t>
      </w:r>
      <w:r>
        <w:rPr>
          <w:rFonts w:hint="default" w:ascii="Times New Roman" w:hAnsi="Times New Roman" w:eastAsia="宋体" w:cs="Times New Roman"/>
          <w:color w:val="auto"/>
          <w:kern w:val="0"/>
          <w:sz w:val="24"/>
          <w:highlight w:val="none"/>
          <w:lang w:val="zh-CN"/>
        </w:rPr>
        <w:t>—i声源在预测点产生的A声级，dB（A）；</w:t>
      </w:r>
    </w:p>
    <w:p>
      <w:pPr>
        <w:shd w:val="clear"/>
        <w:spacing w:line="360" w:lineRule="auto"/>
        <w:ind w:firstLine="48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 xml:space="preserve">      T—预测计算的时间段，s；</w:t>
      </w:r>
    </w:p>
    <w:p>
      <w:pPr>
        <w:shd w:val="clear"/>
        <w:spacing w:line="360" w:lineRule="auto"/>
        <w:ind w:firstLine="48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 xml:space="preserve">      t</w:t>
      </w:r>
      <w:r>
        <w:rPr>
          <w:rFonts w:hint="default" w:ascii="Times New Roman" w:hAnsi="Times New Roman" w:eastAsia="宋体" w:cs="Times New Roman"/>
          <w:color w:val="auto"/>
          <w:kern w:val="0"/>
          <w:sz w:val="24"/>
          <w:highlight w:val="none"/>
          <w:vertAlign w:val="subscript"/>
          <w:lang w:val="zh-CN"/>
        </w:rPr>
        <w:t>i</w:t>
      </w:r>
      <w:r>
        <w:rPr>
          <w:rFonts w:hint="default" w:ascii="Times New Roman" w:hAnsi="Times New Roman" w:eastAsia="宋体" w:cs="Times New Roman"/>
          <w:color w:val="auto"/>
          <w:kern w:val="0"/>
          <w:sz w:val="24"/>
          <w:highlight w:val="none"/>
          <w:lang w:val="zh-CN"/>
        </w:rPr>
        <w:t>—i声源在T时段内的运行时间，s。</w:t>
      </w:r>
    </w:p>
    <w:p>
      <w:pPr>
        <w:shd w:val="clear"/>
        <w:spacing w:line="360" w:lineRule="auto"/>
        <w:ind w:firstLine="48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预测点的预测等效声级（L</w:t>
      </w:r>
      <w:r>
        <w:rPr>
          <w:rFonts w:hint="default" w:ascii="Times New Roman" w:hAnsi="Times New Roman" w:eastAsia="宋体" w:cs="Times New Roman"/>
          <w:color w:val="auto"/>
          <w:kern w:val="0"/>
          <w:sz w:val="24"/>
          <w:highlight w:val="none"/>
          <w:vertAlign w:val="subscript"/>
          <w:lang w:val="zh-CN"/>
        </w:rPr>
        <w:t>eq</w:t>
      </w:r>
      <w:r>
        <w:rPr>
          <w:rFonts w:hint="default" w:ascii="Times New Roman" w:hAnsi="Times New Roman" w:eastAsia="宋体" w:cs="Times New Roman"/>
          <w:color w:val="auto"/>
          <w:kern w:val="0"/>
          <w:sz w:val="24"/>
          <w:highlight w:val="none"/>
          <w:lang w:val="zh-CN"/>
        </w:rPr>
        <w:t>）计算公式：</w:t>
      </w:r>
    </w:p>
    <w:p>
      <w:pPr>
        <w:shd w:val="clea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0" o:spt="75" type="#_x0000_t75" style="height:20.05pt;width:136.5pt;" o:ole="t" filled="f" o:preferrelative="t" stroked="f" coordsize="21600,21600">
            <v:path/>
            <v:fill on="f" focussize="0,0"/>
            <v:stroke on="f" joinstyle="miter"/>
            <v:imagedata r:id="rId61" o:title=""/>
            <o:lock v:ext="edit" aspectratio="t"/>
            <w10:wrap type="none"/>
            <w10:anchorlock/>
          </v:shape>
          <o:OLEObject Type="Embed" ProgID="Equation.DSMT4" ShapeID="_x0000_i1040" DrawAspect="Content" ObjectID="_1468075740" r:id="rId60">
            <o:LockedField>false</o:LockedField>
          </o:OLEObject>
        </w:object>
      </w:r>
    </w:p>
    <w:p>
      <w:pPr>
        <w:shd w:val="clear"/>
        <w:spacing w:line="360" w:lineRule="auto"/>
        <w:ind w:firstLine="48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—建设项目声源在预测点的等效声级贡献值，</w:t>
      </w:r>
      <w:r>
        <w:rPr>
          <w:rFonts w:hint="default" w:ascii="Times New Roman" w:hAnsi="Times New Roman" w:eastAsia="宋体" w:cs="Times New Roman"/>
          <w:color w:val="auto"/>
          <w:kern w:val="0"/>
          <w:sz w:val="24"/>
          <w:highlight w:val="none"/>
          <w:lang w:val="zh-CN"/>
        </w:rPr>
        <w:t>dB（A）；</w:t>
      </w:r>
    </w:p>
    <w:p>
      <w:pPr>
        <w:shd w:val="clear"/>
        <w:spacing w:line="360" w:lineRule="auto"/>
        <w:ind w:firstLine="48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 xml:space="preserve">      L</w:t>
      </w:r>
      <w:r>
        <w:rPr>
          <w:rFonts w:hint="default" w:ascii="Times New Roman" w:hAnsi="Times New Roman" w:eastAsia="宋体" w:cs="Times New Roman"/>
          <w:color w:val="auto"/>
          <w:kern w:val="0"/>
          <w:sz w:val="24"/>
          <w:highlight w:val="none"/>
          <w:vertAlign w:val="subscript"/>
          <w:lang w:val="zh-CN"/>
        </w:rPr>
        <w:t>eqb</w:t>
      </w:r>
      <w:r>
        <w:rPr>
          <w:rFonts w:hint="default" w:ascii="Times New Roman" w:hAnsi="Times New Roman" w:eastAsia="宋体" w:cs="Times New Roman"/>
          <w:color w:val="auto"/>
          <w:kern w:val="0"/>
          <w:sz w:val="24"/>
          <w:highlight w:val="none"/>
          <w:lang w:val="zh-CN"/>
        </w:rPr>
        <w:t>—预测点的背景值，dB（A）。</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（3）参数选取</w:t>
      </w:r>
    </w:p>
    <w:p>
      <w:pPr>
        <w:shd w:val="clear"/>
        <w:spacing w:line="360" w:lineRule="auto"/>
        <w:ind w:firstLine="480"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rPr>
        <w:t>项目所在区域的年平均温度为8.8℃，相对湿度为48.0%。计算过程考虑了建筑物的屏障作用和室内源向室外的传播，进行预测。</w:t>
      </w:r>
    </w:p>
    <w:p>
      <w:pPr>
        <w:pStyle w:val="6"/>
        <w:bidi w:val="0"/>
        <w:rPr>
          <w:rFonts w:hint="default" w:ascii="Times New Roman" w:hAnsi="Times New Roman" w:eastAsia="宋体" w:cs="Times New Roman"/>
          <w:color w:val="auto"/>
        </w:rPr>
      </w:pPr>
      <w:bookmarkStart w:id="290" w:name="_Toc388971251"/>
      <w:bookmarkStart w:id="291" w:name="_Toc388868793"/>
      <w:bookmarkStart w:id="292" w:name="_Toc391887289"/>
      <w:bookmarkStart w:id="293" w:name="_Toc388868048"/>
      <w:r>
        <w:rPr>
          <w:rFonts w:hint="default" w:ascii="Times New Roman" w:hAnsi="Times New Roman" w:eastAsia="宋体" w:cs="Times New Roman"/>
          <w:color w:val="auto"/>
        </w:rPr>
        <w:t>5.4.4 预测结果</w:t>
      </w:r>
      <w:bookmarkEnd w:id="290"/>
      <w:bookmarkEnd w:id="291"/>
      <w:bookmarkEnd w:id="292"/>
      <w:bookmarkEnd w:id="293"/>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由于本项目目前未投入运营，因此不涉及现状噪声叠加，项目各种产噪设备对厂界噪声影响贡献情况见表5.4-3</w:t>
      </w:r>
      <w:r>
        <w:rPr>
          <w:rFonts w:hint="default" w:ascii="Times New Roman" w:hAnsi="Times New Roman" w:eastAsia="宋体" w:cs="Times New Roman"/>
          <w:color w:val="auto"/>
          <w:sz w:val="24"/>
          <w:highlight w:val="none"/>
          <w:lang w:eastAsia="zh-CN"/>
        </w:rPr>
        <w:t>、表5.4-</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表5.4-3  厂界及环境噪声预测结果   单位：dB</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A</w:t>
      </w:r>
      <w:r>
        <w:rPr>
          <w:rFonts w:hint="default" w:ascii="Times New Roman" w:hAnsi="Times New Roman" w:eastAsia="宋体" w:cs="Times New Roman"/>
          <w:b/>
          <w:color w:val="auto"/>
          <w:sz w:val="24"/>
          <w:highlight w:val="none"/>
          <w:lang w:eastAsia="zh-CN"/>
        </w:rPr>
        <w:t>）</w:t>
      </w:r>
    </w:p>
    <w:tbl>
      <w:tblPr>
        <w:tblStyle w:val="9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2692"/>
        <w:gridCol w:w="2069"/>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39" w:type="dxa"/>
            <w:gridSpan w:val="2"/>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预测点位</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昼间</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eastAsia="zh-CN"/>
              </w:rPr>
            </w:pPr>
            <w:r>
              <w:rPr>
                <w:rFonts w:hint="default" w:ascii="Times New Roman" w:hAnsi="Times New Roman" w:eastAsia="宋体" w:cs="Times New Roman"/>
                <w:color w:val="auto"/>
                <w:szCs w:val="21"/>
                <w:lang w:val="de-DE"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39" w:type="dxa"/>
            <w:gridSpan w:val="2"/>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贡献值</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de-DE" w:eastAsia="zh-CN" w:bidi="ar-SA"/>
              </w:rPr>
            </w:pPr>
            <w:r>
              <w:rPr>
                <w:rFonts w:hint="default" w:ascii="Times New Roman" w:hAnsi="Times New Roman" w:eastAsia="宋体" w:cs="Times New Roman"/>
                <w:color w:val="auto"/>
                <w:szCs w:val="21"/>
                <w:lang w:val="de-DE"/>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7"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1</w:t>
            </w:r>
          </w:p>
        </w:tc>
        <w:tc>
          <w:tcPr>
            <w:tcW w:w="2692"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项目东侧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47.4</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7"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2</w:t>
            </w:r>
          </w:p>
        </w:tc>
        <w:tc>
          <w:tcPr>
            <w:tcW w:w="2692"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38.6</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7"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3</w:t>
            </w:r>
          </w:p>
        </w:tc>
        <w:tc>
          <w:tcPr>
            <w:tcW w:w="2692"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项目西侧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47.2</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7"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4</w:t>
            </w:r>
          </w:p>
        </w:tc>
        <w:tc>
          <w:tcPr>
            <w:tcW w:w="2692"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48.1</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7"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排放标准</w:t>
            </w:r>
          </w:p>
        </w:tc>
        <w:tc>
          <w:tcPr>
            <w:tcW w:w="2692" w:type="dxa"/>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color w:val="auto"/>
                <w:sz w:val="21"/>
                <w:szCs w:val="21"/>
                <w:shd w:val="clear" w:color="auto" w:fill="auto"/>
                <w:lang w:val="en-US" w:eastAsia="zh-CN"/>
              </w:rPr>
              <w:t>《工业企业厂界环境噪声排放标准》（GB12348-2008）中2类标准</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kern w:val="2"/>
                <w:sz w:val="21"/>
                <w:lang w:val="en-US" w:eastAsia="zh-CN" w:bidi="ar-SA"/>
              </w:rPr>
              <w:t>60</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w:t>
            </w:r>
          </w:p>
        </w:tc>
      </w:tr>
    </w:tbl>
    <w:p>
      <w:pPr>
        <w:shd w:val="clea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highlight w:val="none"/>
        </w:rPr>
        <w:t>由</w:t>
      </w:r>
      <w:r>
        <w:rPr>
          <w:rFonts w:hint="default" w:ascii="Times New Roman" w:hAnsi="Times New Roman" w:eastAsia="宋体" w:cs="Times New Roman"/>
          <w:color w:val="auto"/>
          <w:sz w:val="24"/>
          <w:szCs w:val="24"/>
        </w:rPr>
        <w:t>上表的</w:t>
      </w:r>
      <w:r>
        <w:rPr>
          <w:rFonts w:hint="default" w:ascii="Times New Roman" w:hAnsi="Times New Roman" w:eastAsia="宋体" w:cs="Times New Roman"/>
          <w:color w:val="auto"/>
          <w:sz w:val="24"/>
          <w:highlight w:val="none"/>
        </w:rPr>
        <w:t>预测结果可知：项目投入运行后，厂界昼</w:t>
      </w:r>
      <w:r>
        <w:rPr>
          <w:rFonts w:hint="default" w:ascii="Times New Roman" w:hAnsi="Times New Roman" w:eastAsia="宋体" w:cs="Times New Roman"/>
          <w:color w:val="auto"/>
          <w:sz w:val="24"/>
          <w:highlight w:val="none"/>
          <w:lang w:eastAsia="zh-CN"/>
        </w:rPr>
        <w:t>、夜</w:t>
      </w:r>
      <w:r>
        <w:rPr>
          <w:rFonts w:hint="default" w:ascii="Times New Roman" w:hAnsi="Times New Roman" w:eastAsia="宋体" w:cs="Times New Roman"/>
          <w:color w:val="auto"/>
          <w:sz w:val="24"/>
          <w:highlight w:val="none"/>
        </w:rPr>
        <w:t>间噪声贡献值在</w:t>
      </w:r>
      <w:r>
        <w:rPr>
          <w:rFonts w:hint="default" w:ascii="Times New Roman" w:hAnsi="Times New Roman" w:eastAsia="宋体" w:cs="Times New Roman"/>
          <w:color w:val="auto"/>
          <w:sz w:val="24"/>
          <w:highlight w:val="none"/>
          <w:lang w:val="en-US" w:eastAsia="zh-CN"/>
        </w:rPr>
        <w:t>38.6~48.1</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之间，均满足《工业企业厂界环境噪声排放标准》</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suppressLineNumbers w:val="0"/>
        <w:kinsoku/>
        <w:overflowPunct/>
        <w:autoSpaceDE/>
        <w:autoSpaceDN/>
        <w:bidi w:val="0"/>
        <w:snapToGrid/>
        <w:spacing w:before="0" w:beforeAutospacing="0" w:after="0" w:afterAutospacing="0" w:line="240" w:lineRule="auto"/>
        <w:ind w:left="0" w:right="0" w:firstLine="482" w:firstLineChars="20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表5.4-</w:t>
      </w:r>
      <w:r>
        <w:rPr>
          <w:rFonts w:hint="default" w:ascii="Times New Roman" w:hAnsi="Times New Roman" w:eastAsia="宋体" w:cs="Times New Roman"/>
          <w:b/>
          <w:bCs/>
          <w:color w:val="auto"/>
          <w:sz w:val="24"/>
          <w:szCs w:val="32"/>
          <w:lang w:val="en-US" w:eastAsia="zh-CN"/>
        </w:rPr>
        <w:t xml:space="preserve">4    </w:t>
      </w:r>
      <w:r>
        <w:rPr>
          <w:rFonts w:hint="default" w:ascii="Times New Roman" w:hAnsi="Times New Roman" w:eastAsia="宋体" w:cs="Times New Roman"/>
          <w:b/>
          <w:bCs/>
          <w:color w:val="auto"/>
          <w:sz w:val="24"/>
          <w:szCs w:val="32"/>
          <w:lang w:eastAsia="zh-CN"/>
        </w:rPr>
        <w:t>敏感点</w:t>
      </w:r>
      <w:r>
        <w:rPr>
          <w:rFonts w:hint="default" w:ascii="Times New Roman" w:hAnsi="Times New Roman" w:eastAsia="宋体" w:cs="Times New Roman"/>
          <w:b/>
          <w:bCs/>
          <w:color w:val="auto"/>
          <w:sz w:val="24"/>
          <w:szCs w:val="32"/>
        </w:rPr>
        <w:t>噪声预测结果单位：dB(A)</w:t>
      </w:r>
    </w:p>
    <w:tbl>
      <w:tblPr>
        <w:tblStyle w:val="90"/>
        <w:tblW w:w="4852"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57"/>
        <w:gridCol w:w="1157"/>
        <w:gridCol w:w="1246"/>
        <w:gridCol w:w="1246"/>
        <w:gridCol w:w="1157"/>
        <w:gridCol w:w="1157"/>
        <w:gridCol w:w="115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pct"/>
            <w:tcBorders>
              <w:top w:val="single" w:color="auto" w:sz="4" w:space="0"/>
              <w:left w:val="single" w:color="auto" w:sz="0"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预测点位</w:t>
            </w:r>
          </w:p>
        </w:tc>
        <w:tc>
          <w:tcPr>
            <w:tcW w:w="69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预测时段</w:t>
            </w:r>
          </w:p>
        </w:tc>
        <w:tc>
          <w:tcPr>
            <w:tcW w:w="752"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现状值</w:t>
            </w:r>
          </w:p>
        </w:tc>
        <w:tc>
          <w:tcPr>
            <w:tcW w:w="752"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贡献值</w:t>
            </w:r>
          </w:p>
        </w:tc>
        <w:tc>
          <w:tcPr>
            <w:tcW w:w="69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预测值</w:t>
            </w:r>
          </w:p>
        </w:tc>
        <w:tc>
          <w:tcPr>
            <w:tcW w:w="69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69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评价结果</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北侧居民</w:t>
            </w: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昼间</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38.8</w:t>
            </w:r>
          </w:p>
        </w:tc>
        <w:tc>
          <w:tcPr>
            <w:tcW w:w="69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53.2</w:t>
            </w:r>
          </w:p>
        </w:tc>
        <w:tc>
          <w:tcPr>
            <w:tcW w:w="69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60</w:t>
            </w:r>
          </w:p>
        </w:tc>
        <w:tc>
          <w:tcPr>
            <w:tcW w:w="69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夜间</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38.8</w:t>
            </w: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45.2</w:t>
            </w:r>
          </w:p>
        </w:tc>
        <w:tc>
          <w:tcPr>
            <w:tcW w:w="69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w:t>
            </w:r>
          </w:p>
        </w:tc>
        <w:tc>
          <w:tcPr>
            <w:tcW w:w="698"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pct"/>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东侧居民</w:t>
            </w: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昼间</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35.9</w:t>
            </w: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53.1</w:t>
            </w:r>
          </w:p>
        </w:tc>
        <w:tc>
          <w:tcPr>
            <w:tcW w:w="698"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60</w:t>
            </w:r>
          </w:p>
        </w:tc>
        <w:tc>
          <w:tcPr>
            <w:tcW w:w="698"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pct"/>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夜间</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35.9</w:t>
            </w: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45.5</w:t>
            </w:r>
          </w:p>
        </w:tc>
        <w:tc>
          <w:tcPr>
            <w:tcW w:w="698"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50</w:t>
            </w:r>
          </w:p>
        </w:tc>
        <w:tc>
          <w:tcPr>
            <w:tcW w:w="698"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pct"/>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南侧居民</w:t>
            </w: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昼间</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41.9</w:t>
            </w: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52.4</w:t>
            </w:r>
          </w:p>
        </w:tc>
        <w:tc>
          <w:tcPr>
            <w:tcW w:w="698"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60</w:t>
            </w:r>
          </w:p>
        </w:tc>
        <w:tc>
          <w:tcPr>
            <w:tcW w:w="698"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8" w:type="pct"/>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夜间</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752"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41.9</w:t>
            </w:r>
          </w:p>
        </w:tc>
        <w:tc>
          <w:tcPr>
            <w:tcW w:w="6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45.5</w:t>
            </w:r>
          </w:p>
        </w:tc>
        <w:tc>
          <w:tcPr>
            <w:tcW w:w="698"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w:t>
            </w:r>
          </w:p>
        </w:tc>
        <w:tc>
          <w:tcPr>
            <w:tcW w:w="698"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bl>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由上表的预测结果可知，</w:t>
      </w:r>
      <w:r>
        <w:rPr>
          <w:rFonts w:hint="default" w:ascii="Times New Roman" w:hAnsi="Times New Roman" w:eastAsia="宋体" w:cs="Times New Roman"/>
          <w:color w:val="auto"/>
          <w:sz w:val="24"/>
          <w:highlight w:val="none"/>
          <w:lang w:eastAsia="zh-CN"/>
        </w:rPr>
        <w:t>周边敏感点</w:t>
      </w:r>
      <w:r>
        <w:rPr>
          <w:rFonts w:hint="default" w:ascii="Times New Roman" w:hAnsi="Times New Roman" w:eastAsia="宋体" w:cs="Times New Roman"/>
          <w:color w:val="auto"/>
          <w:sz w:val="24"/>
          <w:highlight w:val="none"/>
        </w:rPr>
        <w:t>昼间噪声</w:t>
      </w:r>
      <w:r>
        <w:rPr>
          <w:rFonts w:hint="default" w:ascii="Times New Roman" w:hAnsi="Times New Roman" w:eastAsia="宋体" w:cs="Times New Roman"/>
          <w:color w:val="auto"/>
          <w:sz w:val="24"/>
          <w:highlight w:val="none"/>
          <w:lang w:eastAsia="zh-CN"/>
        </w:rPr>
        <w:t>预测值</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52.4</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53.2</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eastAsia="zh-CN"/>
        </w:rPr>
        <w:t>夜</w:t>
      </w:r>
      <w:r>
        <w:rPr>
          <w:rFonts w:hint="default" w:ascii="Times New Roman" w:hAnsi="Times New Roman" w:eastAsia="宋体" w:cs="Times New Roman"/>
          <w:color w:val="auto"/>
          <w:sz w:val="24"/>
          <w:highlight w:val="none"/>
        </w:rPr>
        <w:t>间噪声</w:t>
      </w:r>
      <w:r>
        <w:rPr>
          <w:rFonts w:hint="default" w:ascii="Times New Roman" w:hAnsi="Times New Roman" w:eastAsia="宋体" w:cs="Times New Roman"/>
          <w:color w:val="auto"/>
          <w:sz w:val="24"/>
          <w:highlight w:val="none"/>
          <w:lang w:eastAsia="zh-CN"/>
        </w:rPr>
        <w:t>预测值</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45.2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45.5</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满足《声环境质量标准》(GB3096-2008) 2类标准要求</w:t>
      </w:r>
      <w:r>
        <w:rPr>
          <w:rFonts w:hint="default" w:ascii="Times New Roman" w:hAnsi="Times New Roman" w:eastAsia="宋体" w:cs="Times New Roman"/>
          <w:color w:val="auto"/>
          <w:sz w:val="24"/>
          <w:highlight w:val="none"/>
          <w:lang w:eastAsia="zh-CN"/>
        </w:rPr>
        <w:t>。</w:t>
      </w:r>
    </w:p>
    <w:p>
      <w:pPr>
        <w:pStyle w:val="6"/>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5.4.</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eastAsia="zh-CN"/>
        </w:rPr>
        <w:t>噪声防护措施</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（1）从噪声源头进行控制，降低源强，即在设备选购时尽量采用低噪声设备；</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（2）所有设备均布置在室内，并采取基础减震措施。</w:t>
      </w:r>
    </w:p>
    <w:p>
      <w:pPr>
        <w:pStyle w:val="23"/>
        <w:keepNext w:val="0"/>
        <w:keepLines w:val="0"/>
        <w:pageBreakBefore w:val="0"/>
        <w:widowControl w:val="0"/>
        <w:suppressLineNumbers w:val="0"/>
        <w:kinsoku/>
        <w:wordWrap/>
        <w:overflowPunct/>
        <w:topLinePunct w:val="0"/>
        <w:autoSpaceDE/>
        <w:autoSpaceDN/>
        <w:bidi w:val="0"/>
        <w:adjustRightIn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kern w:val="0"/>
          <w:sz w:val="24"/>
          <w:szCs w:val="24"/>
          <w:highlight w:val="none"/>
          <w:lang w:val="en-US" w:eastAsia="zh-CN" w:bidi="ar"/>
        </w:rPr>
        <w:t>加强设备的维护，确保设备处于良好的运转状态，杜绝因设备不正常运转时产生的高噪声现象</w:t>
      </w:r>
      <w:r>
        <w:rPr>
          <w:rFonts w:hint="default" w:ascii="Times New Roman" w:hAnsi="Times New Roman" w:eastAsia="宋体" w:cs="Times New Roman"/>
          <w:color w:val="auto"/>
          <w:sz w:val="24"/>
          <w:szCs w:val="24"/>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因此，本项目运营期产生的噪声对周围环境影响较小</w:t>
      </w:r>
      <w:r>
        <w:rPr>
          <w:rFonts w:hint="default" w:ascii="Times New Roman" w:hAnsi="Times New Roman" w:eastAsia="宋体" w:cs="Times New Roman"/>
          <w:color w:val="auto"/>
          <w:sz w:val="24"/>
          <w:highlight w:val="none"/>
        </w:rPr>
        <w:t>。</w:t>
      </w:r>
    </w:p>
    <w:p>
      <w:pPr>
        <w:pStyle w:val="5"/>
        <w:bidi w:val="0"/>
        <w:rPr>
          <w:rFonts w:hint="default" w:ascii="Times New Roman" w:hAnsi="Times New Roman" w:eastAsia="宋体" w:cs="Times New Roman"/>
          <w:color w:val="auto"/>
        </w:rPr>
      </w:pPr>
      <w:bookmarkStart w:id="294" w:name="_Toc327383145"/>
      <w:bookmarkStart w:id="295" w:name="_Toc464475428"/>
      <w:bookmarkStart w:id="296" w:name="_Toc5279"/>
      <w:r>
        <w:rPr>
          <w:rFonts w:hint="default" w:ascii="Times New Roman" w:hAnsi="Times New Roman" w:eastAsia="宋体" w:cs="Times New Roman"/>
          <w:color w:val="auto"/>
        </w:rPr>
        <w:t>5.5固体废物环境影响</w:t>
      </w:r>
      <w:bookmarkEnd w:id="271"/>
      <w:r>
        <w:rPr>
          <w:rFonts w:hint="default" w:ascii="Times New Roman" w:hAnsi="Times New Roman" w:eastAsia="宋体" w:cs="Times New Roman"/>
          <w:color w:val="auto"/>
        </w:rPr>
        <w:t>分析</w:t>
      </w:r>
      <w:bookmarkEnd w:id="272"/>
      <w:bookmarkEnd w:id="294"/>
      <w:bookmarkEnd w:id="295"/>
      <w:bookmarkEnd w:id="296"/>
    </w:p>
    <w:p>
      <w:pPr>
        <w:pStyle w:val="6"/>
        <w:bidi w:val="0"/>
        <w:rPr>
          <w:rFonts w:hint="default" w:ascii="Times New Roman" w:hAnsi="Times New Roman" w:eastAsia="宋体" w:cs="Times New Roman"/>
          <w:color w:val="auto"/>
        </w:rPr>
      </w:pPr>
      <w:bookmarkStart w:id="297" w:name="_Toc464475429"/>
      <w:r>
        <w:rPr>
          <w:rFonts w:hint="default" w:ascii="Times New Roman" w:hAnsi="Times New Roman" w:eastAsia="宋体" w:cs="Times New Roman"/>
          <w:color w:val="auto"/>
        </w:rPr>
        <w:t>5.5.1 固体废物环境影响特点</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固体废物除直接占用土地和空间外，其对环境的影响将会通过水、气或土壤进行，因此，固体废物既是造成水、大气、土壤污染的“源头”，又是废水、废气处理的“终态物”。</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5.5.2 固体废物污染途径</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项目固体废物包括</w:t>
      </w:r>
      <w:r>
        <w:rPr>
          <w:rFonts w:hint="default" w:ascii="Times New Roman" w:hAnsi="Times New Roman" w:eastAsia="宋体" w:cs="Times New Roman"/>
          <w:color w:val="auto"/>
          <w:sz w:val="24"/>
          <w:szCs w:val="24"/>
          <w:highlight w:val="none"/>
        </w:rPr>
        <w:t>生产过程中产生的分拣固废、</w:t>
      </w:r>
      <w:r>
        <w:rPr>
          <w:rFonts w:hint="default" w:ascii="Times New Roman" w:hAnsi="Times New Roman" w:eastAsia="宋体" w:cs="Times New Roman"/>
          <w:color w:val="auto"/>
          <w:sz w:val="24"/>
          <w:szCs w:val="24"/>
          <w:highlight w:val="none"/>
          <w:lang w:eastAsia="zh-CN"/>
        </w:rPr>
        <w:t>三级沉淀池沉渣</w:t>
      </w:r>
      <w:r>
        <w:rPr>
          <w:rFonts w:hint="default" w:ascii="Times New Roman" w:hAnsi="Times New Roman" w:eastAsia="宋体" w:cs="Times New Roman"/>
          <w:color w:val="auto"/>
          <w:sz w:val="24"/>
          <w:szCs w:val="24"/>
          <w:highlight w:val="none"/>
        </w:rPr>
        <w:t>、废滤网、</w:t>
      </w:r>
      <w:r>
        <w:rPr>
          <w:rFonts w:hint="default" w:ascii="Times New Roman" w:hAnsi="Times New Roman" w:eastAsia="宋体" w:cs="Times New Roman"/>
          <w:color w:val="auto"/>
          <w:kern w:val="0"/>
          <w:sz w:val="24"/>
          <w:szCs w:val="24"/>
          <w:highlight w:val="none"/>
          <w:lang w:eastAsia="zh-CN"/>
        </w:rPr>
        <w:t>混料工序收集的粉尘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w:t>
      </w:r>
      <w:r>
        <w:rPr>
          <w:rFonts w:hint="default" w:ascii="Times New Roman" w:hAnsi="Times New Roman" w:eastAsia="宋体" w:cs="Times New Roman"/>
          <w:color w:val="auto"/>
          <w:kern w:val="0"/>
          <w:sz w:val="24"/>
          <w:szCs w:val="24"/>
          <w:highlight w:val="none"/>
        </w:rPr>
        <w:t>耐高温过滤棉</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废灯管、</w:t>
      </w:r>
      <w:r>
        <w:rPr>
          <w:rFonts w:hint="default" w:ascii="Times New Roman" w:hAnsi="Times New Roman" w:eastAsia="宋体" w:cs="Times New Roman"/>
          <w:color w:val="auto"/>
          <w:sz w:val="24"/>
          <w:szCs w:val="24"/>
          <w:highlight w:val="none"/>
        </w:rPr>
        <w:t>废活性炭。如处置不当，将会对周围环境造成伤害，主要表现在以下方面：</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占用土地、污染土壤、危害植物：堆放固体废物需要占用大量土地。由于长期堆积，在风吹、日晒、雨淋等自然风化作用下，使固体废物中物质进入土壤，从而使土壤被有害，导致土壤结构改变。这种污染还将影响土壤中微生物的生长活动，有碍植物根系增长，或在植物体内积蓄，通过食物链使各种有害物质进入人体，危及人体健康。</w:t>
      </w:r>
    </w:p>
    <w:p>
      <w:pPr>
        <w:pStyle w:val="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5.5.3 固体废物</w:t>
      </w:r>
      <w:r>
        <w:rPr>
          <w:rFonts w:hint="default" w:ascii="Times New Roman" w:hAnsi="Times New Roman" w:eastAsia="宋体" w:cs="Times New Roman"/>
          <w:color w:val="auto"/>
          <w:lang w:val="en-US" w:eastAsia="zh-CN"/>
        </w:rPr>
        <w:t>防治措施</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（1）分拣废物（S1）</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本项目在回收企业点进行第一次分拣，分拣废物产生量为</w:t>
      </w:r>
      <w:r>
        <w:rPr>
          <w:rFonts w:hint="default" w:ascii="Times New Roman" w:hAnsi="Times New Roman" w:eastAsia="宋体" w:cs="Times New Roman"/>
          <w:color w:val="auto"/>
          <w:sz w:val="24"/>
          <w:highlight w:val="none"/>
          <w:lang w:val="en-US" w:eastAsia="zh-CN"/>
        </w:rPr>
        <w:t>103.778</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主要成分为泥土、杂草、石头等。</w:t>
      </w:r>
      <w:r>
        <w:rPr>
          <w:rFonts w:hint="default" w:ascii="Times New Roman" w:hAnsi="Times New Roman" w:eastAsia="宋体" w:cs="Times New Roman"/>
          <w:color w:val="auto"/>
          <w:sz w:val="24"/>
          <w:highlight w:val="none"/>
        </w:rPr>
        <w:t>属于一般工业固废。</w:t>
      </w:r>
      <w:r>
        <w:rPr>
          <w:rFonts w:hint="default" w:ascii="Times New Roman" w:hAnsi="Times New Roman" w:eastAsia="宋体" w:cs="Times New Roman"/>
          <w:color w:val="auto"/>
          <w:sz w:val="24"/>
          <w:highlight w:val="none"/>
          <w:lang w:eastAsia="zh-CN"/>
        </w:rPr>
        <w:t>原材料库</w:t>
      </w:r>
      <w:r>
        <w:rPr>
          <w:rFonts w:hint="default" w:ascii="Times New Roman" w:hAnsi="Times New Roman" w:eastAsia="宋体" w:cs="Times New Roman"/>
          <w:color w:val="auto"/>
          <w:sz w:val="24"/>
          <w:highlight w:val="none"/>
        </w:rPr>
        <w:t>内设一般固废暂存间，分拣废物暂存于</w:t>
      </w:r>
      <w:r>
        <w:rPr>
          <w:rFonts w:hint="default" w:ascii="Times New Roman" w:hAnsi="Times New Roman" w:eastAsia="宋体" w:cs="Times New Roman"/>
          <w:color w:val="auto"/>
          <w:sz w:val="24"/>
          <w:highlight w:val="none"/>
          <w:lang w:eastAsia="zh-CN"/>
        </w:rPr>
        <w:t>一般固废暂存间</w:t>
      </w:r>
      <w:r>
        <w:rPr>
          <w:rFonts w:hint="default" w:ascii="Times New Roman" w:hAnsi="Times New Roman" w:eastAsia="宋体" w:cs="Times New Roman"/>
          <w:color w:val="auto"/>
          <w:sz w:val="24"/>
          <w:highlight w:val="none"/>
        </w:rPr>
        <w:t>内，</w:t>
      </w:r>
      <w:r>
        <w:rPr>
          <w:rFonts w:hint="default" w:ascii="Times New Roman" w:hAnsi="Times New Roman" w:eastAsia="宋体" w:cs="Times New Roman"/>
          <w:color w:val="auto"/>
          <w:sz w:val="24"/>
          <w:highlight w:val="none"/>
          <w:lang w:eastAsia="zh-CN"/>
        </w:rPr>
        <w:t>交由当地环卫部门清运，统一处置</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废塑料回收与再生利用污染控制技术规范（试行）》（HJ/T364-2007），“废塑料在预处理、再生利用过程中产生的固体废物，包括分选出的不宜再生利用的废塑料按工业固体废物处置”，本项目使用的废塑料成分为PE，不含卤素，不回收工程塑料；不回收危险废物废旧塑料，包括被危险化学品、农药等污染的废弃塑料包装物；废弃的一次性医疗用塑料制品（如输液器、血袋）；盛装农药、废染料、强酸、强碱的废塑料等。故预处理、再生利用过程中产生的固体废物，包括分选出的不宜再生利用的废塑料</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eastAsia="zh-CN"/>
        </w:rPr>
        <w:t>三级沉淀池沉渣</w:t>
      </w:r>
      <w:r>
        <w:rPr>
          <w:rFonts w:hint="default" w:ascii="Times New Roman" w:hAnsi="Times New Roman" w:eastAsia="宋体" w:cs="Times New Roman"/>
          <w:color w:val="auto"/>
          <w:sz w:val="24"/>
          <w:highlight w:val="none"/>
        </w:rPr>
        <w:t>（S2）</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本项目湿法破碎及原料清洗过程中会产生一定量的废渣，废渣主要以</w:t>
      </w:r>
      <w:r>
        <w:rPr>
          <w:rFonts w:hint="default" w:ascii="Times New Roman" w:hAnsi="Times New Roman" w:eastAsia="宋体" w:cs="Times New Roman"/>
          <w:color w:val="auto"/>
          <w:sz w:val="24"/>
          <w:highlight w:val="none"/>
          <w:lang w:eastAsia="zh-CN"/>
        </w:rPr>
        <w:t>泥土和原料破碎产生的碎屑</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根据《排放源统计调查产排污核算方法和系数手册》（公告2021年第24号）--42废弃资源综合利用行业系数手册--4220 非金属废料和碎屑加工处理行业系数表</w:t>
      </w:r>
      <w:r>
        <w:rPr>
          <w:rFonts w:hint="default" w:ascii="Times New Roman" w:hAnsi="Times New Roman" w:eastAsia="宋体" w:cs="Times New Roman"/>
          <w:color w:val="auto"/>
          <w:sz w:val="24"/>
          <w:highlight w:val="none"/>
          <w:lang w:val="en-US" w:eastAsia="zh-CN"/>
        </w:rPr>
        <w:t>中湿法破碎+清洗过程中一般固体废物产污系数为8.3kg/t-原料，本项目废滴灌带、水带、地膜及棚膜消耗量约9000t/a，则</w:t>
      </w:r>
      <w:r>
        <w:rPr>
          <w:rFonts w:hint="default" w:ascii="Times New Roman" w:hAnsi="Times New Roman" w:eastAsia="宋体" w:cs="Times New Roman"/>
          <w:color w:val="auto"/>
          <w:sz w:val="24"/>
          <w:highlight w:val="none"/>
        </w:rPr>
        <w:t>湿法破碎及原料清洗过程废渣</w:t>
      </w:r>
      <w:r>
        <w:rPr>
          <w:rFonts w:hint="default" w:ascii="Times New Roman" w:hAnsi="Times New Roman" w:eastAsia="宋体" w:cs="Times New Roman"/>
          <w:color w:val="auto"/>
          <w:sz w:val="24"/>
          <w:highlight w:val="none"/>
          <w:lang w:eastAsia="zh-CN"/>
        </w:rPr>
        <w:t>产生量为</w:t>
      </w:r>
      <w:r>
        <w:rPr>
          <w:rFonts w:hint="default" w:ascii="Times New Roman" w:hAnsi="Times New Roman" w:eastAsia="宋体" w:cs="Times New Roman"/>
          <w:color w:val="auto"/>
          <w:sz w:val="24"/>
          <w:highlight w:val="none"/>
          <w:lang w:val="en-US" w:eastAsia="zh-CN"/>
        </w:rPr>
        <w:t>74.7</w:t>
      </w:r>
      <w:r>
        <w:rPr>
          <w:rFonts w:hint="default" w:ascii="Times New Roman" w:hAnsi="Times New Roman" w:eastAsia="宋体" w:cs="Times New Roman"/>
          <w:color w:val="auto"/>
          <w:sz w:val="24"/>
          <w:highlight w:val="none"/>
        </w:rPr>
        <w:t>t/a。根据《废塑料回收与再生利用污染控制技术规范（试行）》规定，本项目</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产生的</w:t>
      </w:r>
      <w:r>
        <w:rPr>
          <w:rFonts w:hint="default" w:ascii="Times New Roman" w:hAnsi="Times New Roman" w:eastAsia="宋体" w:cs="Times New Roman"/>
          <w:color w:val="auto"/>
          <w:sz w:val="24"/>
          <w:highlight w:val="none"/>
          <w:lang w:eastAsia="zh-CN"/>
        </w:rPr>
        <w:t>沉渣</w:t>
      </w:r>
      <w:r>
        <w:rPr>
          <w:rFonts w:hint="default" w:ascii="Times New Roman" w:hAnsi="Times New Roman" w:eastAsia="宋体" w:cs="Times New Roman"/>
          <w:color w:val="auto"/>
          <w:sz w:val="24"/>
          <w:highlight w:val="none"/>
        </w:rPr>
        <w:t>主要成分为悬浮物，不属于危险废物，属于一般工业固废</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湿法破碎及原料清洗过程</w:t>
      </w:r>
      <w:r>
        <w:rPr>
          <w:rFonts w:hint="default" w:ascii="Times New Roman" w:hAnsi="Times New Roman" w:eastAsia="宋体" w:cs="Times New Roman"/>
          <w:color w:val="auto"/>
          <w:sz w:val="24"/>
          <w:highlight w:val="none"/>
          <w:lang w:eastAsia="zh-CN"/>
        </w:rPr>
        <w:t>产生的</w:t>
      </w:r>
      <w:r>
        <w:rPr>
          <w:rFonts w:hint="default" w:ascii="Times New Roman" w:hAnsi="Times New Roman" w:eastAsia="宋体" w:cs="Times New Roman"/>
          <w:color w:val="auto"/>
          <w:sz w:val="24"/>
          <w:highlight w:val="none"/>
        </w:rPr>
        <w:t>废渣最终进入</w:t>
      </w:r>
      <w:r>
        <w:rPr>
          <w:rFonts w:hint="default" w:ascii="Times New Roman" w:hAnsi="Times New Roman" w:eastAsia="宋体" w:cs="Times New Roman"/>
          <w:color w:val="auto"/>
          <w:sz w:val="24"/>
          <w:highlight w:val="none"/>
          <w:lang w:eastAsia="zh-CN"/>
        </w:rPr>
        <w:t>三级沉淀池</w:t>
      </w:r>
      <w:r>
        <w:rPr>
          <w:rFonts w:hint="default" w:ascii="Times New Roman" w:hAnsi="Times New Roman" w:eastAsia="宋体" w:cs="Times New Roman"/>
          <w:color w:val="auto"/>
          <w:sz w:val="24"/>
          <w:highlight w:val="none"/>
        </w:rPr>
        <w:t>成为</w:t>
      </w:r>
      <w:r>
        <w:rPr>
          <w:rFonts w:hint="default" w:ascii="Times New Roman" w:hAnsi="Times New Roman" w:eastAsia="宋体" w:cs="Times New Roman"/>
          <w:color w:val="auto"/>
          <w:sz w:val="24"/>
          <w:highlight w:val="none"/>
          <w:lang w:eastAsia="zh-CN"/>
        </w:rPr>
        <w:t>沉渣，沉渣定期</w:t>
      </w:r>
      <w:r>
        <w:rPr>
          <w:rFonts w:hint="default" w:ascii="Times New Roman" w:hAnsi="Times New Roman" w:eastAsia="宋体" w:cs="Times New Roman"/>
          <w:color w:val="auto"/>
          <w:sz w:val="24"/>
          <w:highlight w:val="none"/>
        </w:rPr>
        <w:t>清掏</w:t>
      </w:r>
      <w:r>
        <w:rPr>
          <w:rFonts w:hint="default" w:ascii="Times New Roman" w:hAnsi="Times New Roman" w:eastAsia="宋体" w:cs="Times New Roman"/>
          <w:color w:val="auto"/>
          <w:sz w:val="24"/>
          <w:highlight w:val="none"/>
          <w:lang w:eastAsia="zh-CN"/>
        </w:rPr>
        <w:t>后，</w:t>
      </w:r>
      <w:r>
        <w:rPr>
          <w:rFonts w:hint="default" w:ascii="Times New Roman" w:hAnsi="Times New Roman" w:eastAsia="宋体" w:cs="Times New Roman"/>
          <w:color w:val="auto"/>
          <w:sz w:val="24"/>
          <w:highlight w:val="none"/>
        </w:rPr>
        <w:t>暂存于</w:t>
      </w:r>
      <w:r>
        <w:rPr>
          <w:rFonts w:hint="default" w:ascii="Times New Roman" w:hAnsi="Times New Roman" w:eastAsia="宋体" w:cs="Times New Roman"/>
          <w:color w:val="auto"/>
          <w:sz w:val="24"/>
          <w:highlight w:val="none"/>
          <w:lang w:eastAsia="zh-CN"/>
        </w:rPr>
        <w:t>一般固废暂存间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交由当地环卫部门清运，统一处置</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eastAsia="zh-CN"/>
        </w:rPr>
        <w:t>三级沉淀池沉渣</w:t>
      </w:r>
      <w:r>
        <w:rPr>
          <w:rFonts w:hint="default" w:ascii="Times New Roman" w:hAnsi="Times New Roman" w:eastAsia="宋体" w:cs="Times New Roman"/>
          <w:color w:val="auto"/>
          <w:sz w:val="24"/>
          <w:highlight w:val="none"/>
        </w:rPr>
        <w:t>主要</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eastAsia="zh-CN"/>
        </w:rPr>
        <w:t>泥土和原料碎屑</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属于无毒无害物质，与日常生活中产生</w:t>
      </w:r>
      <w:r>
        <w:rPr>
          <w:rFonts w:hint="default" w:ascii="Times New Roman" w:hAnsi="Times New Roman" w:eastAsia="宋体" w:cs="Times New Roman"/>
          <w:color w:val="auto"/>
          <w:sz w:val="24"/>
          <w:highlight w:val="none"/>
          <w:lang w:eastAsia="zh-CN"/>
        </w:rPr>
        <w:t>泥土和</w:t>
      </w:r>
      <w:r>
        <w:rPr>
          <w:rFonts w:hint="default" w:ascii="Times New Roman" w:hAnsi="Times New Roman" w:eastAsia="宋体" w:cs="Times New Roman"/>
          <w:color w:val="auto"/>
          <w:sz w:val="24"/>
          <w:highlight w:val="none"/>
          <w:lang w:val="en-US" w:eastAsia="zh-CN"/>
        </w:rPr>
        <w:t>废塑料成分相同，因此，可依托</w:t>
      </w:r>
      <w:r>
        <w:rPr>
          <w:rFonts w:hint="default" w:ascii="Times New Roman" w:hAnsi="Times New Roman" w:eastAsia="宋体" w:cs="Times New Roman"/>
          <w:color w:val="auto"/>
          <w:sz w:val="24"/>
          <w:highlight w:val="none"/>
          <w:lang w:eastAsia="zh-CN"/>
        </w:rPr>
        <w:t>当地环卫部门清运，统一处置。</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（3）废滤网（S3）</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塑料熔融过程中，螺杆出口</w:t>
      </w:r>
      <w:r>
        <w:rPr>
          <w:rFonts w:hint="default" w:ascii="Times New Roman" w:hAnsi="Times New Roman" w:eastAsia="宋体" w:cs="Times New Roman"/>
          <w:color w:val="auto"/>
          <w:sz w:val="24"/>
          <w:highlight w:val="none"/>
          <w:lang w:val="en-US" w:eastAsia="zh-CN"/>
        </w:rPr>
        <w:t>处设置</w:t>
      </w:r>
      <w:r>
        <w:rPr>
          <w:rFonts w:hint="default" w:ascii="Times New Roman" w:hAnsi="Times New Roman" w:eastAsia="宋体" w:cs="Times New Roman"/>
          <w:color w:val="auto"/>
          <w:sz w:val="24"/>
          <w:highlight w:val="none"/>
        </w:rPr>
        <w:t>过滤网片</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用于过滤可再生塑料熔融过程中的杂质，该过滤网需定期更换，其产生的废过滤网约</w:t>
      </w:r>
      <w:r>
        <w:rPr>
          <w:rFonts w:hint="default" w:ascii="Times New Roman" w:hAnsi="Times New Roman" w:eastAsia="宋体" w:cs="Times New Roman"/>
          <w:color w:val="auto"/>
          <w:sz w:val="24"/>
          <w:highlight w:val="none"/>
          <w:lang w:val="en-US" w:eastAsia="zh-CN"/>
        </w:rPr>
        <w:t>0.1296</w:t>
      </w:r>
      <w:r>
        <w:rPr>
          <w:rFonts w:hint="default" w:ascii="Times New Roman" w:hAnsi="Times New Roman" w:eastAsia="宋体" w:cs="Times New Roman"/>
          <w:color w:val="auto"/>
          <w:sz w:val="24"/>
          <w:highlight w:val="none"/>
        </w:rPr>
        <w:t>t/a（每天更换3次，每个过滤网重约0.08kg</w:t>
      </w:r>
      <w:r>
        <w:rPr>
          <w:rFonts w:hint="default" w:ascii="Times New Roman" w:hAnsi="Times New Roman" w:eastAsia="宋体" w:cs="Times New Roman"/>
          <w:color w:val="auto"/>
          <w:sz w:val="24"/>
          <w:highlight w:val="none"/>
          <w:lang w:eastAsia="zh-CN"/>
        </w:rPr>
        <w:t>，附着的塑料约</w:t>
      </w:r>
      <w:r>
        <w:rPr>
          <w:rFonts w:hint="default" w:ascii="Times New Roman" w:hAnsi="Times New Roman" w:eastAsia="宋体" w:cs="Times New Roman"/>
          <w:color w:val="auto"/>
          <w:sz w:val="24"/>
          <w:highlight w:val="none"/>
          <w:lang w:val="en-US" w:eastAsia="zh-CN"/>
        </w:rPr>
        <w:t>0.1kg</w:t>
      </w:r>
      <w:r>
        <w:rPr>
          <w:rFonts w:hint="default" w:ascii="Times New Roman" w:hAnsi="Times New Roman" w:eastAsia="宋体" w:cs="Times New Roman"/>
          <w:color w:val="auto"/>
          <w:sz w:val="24"/>
          <w:highlight w:val="none"/>
        </w:rPr>
        <w:t>），废滤网</w:t>
      </w:r>
      <w:r>
        <w:rPr>
          <w:rFonts w:hint="default" w:ascii="Times New Roman" w:hAnsi="Times New Roman" w:eastAsia="宋体" w:cs="Times New Roman"/>
          <w:color w:val="auto"/>
          <w:sz w:val="24"/>
          <w:highlight w:val="none"/>
          <w:lang w:eastAsia="zh-CN"/>
        </w:rPr>
        <w:t>主要成分为金属，</w:t>
      </w:r>
      <w:r>
        <w:rPr>
          <w:rFonts w:hint="default" w:ascii="Times New Roman" w:hAnsi="Times New Roman" w:eastAsia="宋体" w:cs="Times New Roman"/>
          <w:color w:val="auto"/>
          <w:sz w:val="24"/>
          <w:highlight w:val="none"/>
        </w:rPr>
        <w:t>属于一般工业固废，暂存于</w:t>
      </w:r>
      <w:r>
        <w:rPr>
          <w:rFonts w:hint="default" w:ascii="Times New Roman" w:hAnsi="Times New Roman" w:eastAsia="宋体" w:cs="Times New Roman"/>
          <w:color w:val="auto"/>
          <w:sz w:val="24"/>
          <w:highlight w:val="none"/>
          <w:lang w:eastAsia="zh-CN"/>
        </w:rPr>
        <w:t>一般固废暂存间</w:t>
      </w:r>
      <w:r>
        <w:rPr>
          <w:rFonts w:hint="default" w:ascii="Times New Roman" w:hAnsi="Times New Roman" w:eastAsia="宋体" w:cs="Times New Roman"/>
          <w:color w:val="auto"/>
          <w:sz w:val="24"/>
          <w:highlight w:val="none"/>
        </w:rPr>
        <w:t>，产生后由厂家回收。</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eastAsia="zh-CN"/>
        </w:rPr>
        <w:t>混料工序收集的颗粒物</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混料</w:t>
      </w:r>
      <w:r>
        <w:rPr>
          <w:rFonts w:hint="default" w:ascii="Times New Roman" w:hAnsi="Times New Roman" w:eastAsia="宋体" w:cs="Times New Roman"/>
          <w:color w:val="auto"/>
          <w:sz w:val="24"/>
          <w:highlight w:val="none"/>
        </w:rPr>
        <w:t>机颗粒物</w:t>
      </w:r>
      <w:r>
        <w:rPr>
          <w:rFonts w:hint="default" w:ascii="Times New Roman" w:hAnsi="Times New Roman" w:eastAsia="宋体" w:cs="Times New Roman"/>
          <w:b w:val="0"/>
          <w:bCs w:val="0"/>
          <w:color w:val="auto"/>
          <w:kern w:val="0"/>
          <w:sz w:val="24"/>
          <w:szCs w:val="24"/>
          <w:lang w:val="en-US" w:eastAsia="zh-CN"/>
        </w:rPr>
        <w:t>产生量为54t/a，</w:t>
      </w:r>
      <w:r>
        <w:rPr>
          <w:rFonts w:hint="default" w:ascii="Times New Roman" w:hAnsi="Times New Roman" w:eastAsia="宋体" w:cs="Times New Roman"/>
          <w:color w:val="auto"/>
          <w:sz w:val="24"/>
          <w:highlight w:val="none"/>
          <w:lang w:val="en-US" w:eastAsia="zh-CN"/>
        </w:rPr>
        <w:t>混料</w:t>
      </w:r>
      <w:r>
        <w:rPr>
          <w:rFonts w:hint="default" w:ascii="Times New Roman" w:hAnsi="Times New Roman" w:eastAsia="宋体" w:cs="Times New Roman"/>
          <w:color w:val="auto"/>
          <w:sz w:val="24"/>
          <w:highlight w:val="none"/>
        </w:rPr>
        <w:t>机顶部自带1个除尘滤芯，</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rPr>
        <w:t>效率按99%计算，则</w:t>
      </w:r>
      <w:r>
        <w:rPr>
          <w:rFonts w:hint="default" w:ascii="Times New Roman" w:hAnsi="Times New Roman" w:eastAsia="宋体" w:cs="Times New Roman"/>
          <w:color w:val="auto"/>
          <w:sz w:val="24"/>
          <w:highlight w:val="none"/>
          <w:lang w:val="en-US" w:eastAsia="zh-CN"/>
        </w:rPr>
        <w:t>混料</w:t>
      </w:r>
      <w:r>
        <w:rPr>
          <w:rFonts w:hint="default" w:ascii="Times New Roman" w:hAnsi="Times New Roman" w:eastAsia="宋体" w:cs="Times New Roman"/>
          <w:color w:val="auto"/>
          <w:sz w:val="24"/>
          <w:highlight w:val="none"/>
        </w:rPr>
        <w:t>过程中粉尘的排放量为0.</w:t>
      </w:r>
      <w:r>
        <w:rPr>
          <w:rFonts w:hint="default" w:ascii="Times New Roman" w:hAnsi="Times New Roman" w:eastAsia="宋体" w:cs="Times New Roman"/>
          <w:color w:val="auto"/>
          <w:sz w:val="24"/>
          <w:highlight w:val="none"/>
          <w:lang w:val="en-US" w:eastAsia="zh-CN"/>
        </w:rPr>
        <w:t>54</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。混料工序收集的颗粒物量为</w:t>
      </w:r>
      <w:r>
        <w:rPr>
          <w:rFonts w:hint="default" w:ascii="Times New Roman" w:hAnsi="Times New Roman" w:eastAsia="宋体" w:cs="Times New Roman"/>
          <w:color w:val="auto"/>
          <w:sz w:val="24"/>
          <w:highlight w:val="none"/>
          <w:lang w:val="en-US" w:eastAsia="zh-CN"/>
        </w:rPr>
        <w:t>53.46t/a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回用于生产，不外排</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）废耐高温过滤棉（S</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废旧塑料在</w:t>
      </w:r>
      <w:r>
        <w:rPr>
          <w:rFonts w:hint="default" w:ascii="Times New Roman" w:hAnsi="Times New Roman" w:eastAsia="宋体" w:cs="Times New Roman"/>
          <w:color w:val="auto"/>
          <w:sz w:val="24"/>
          <w:highlight w:val="none"/>
          <w:lang w:eastAsia="zh-CN"/>
        </w:rPr>
        <w:t>挤塑、切</w:t>
      </w:r>
      <w:r>
        <w:rPr>
          <w:rFonts w:hint="default" w:ascii="Times New Roman" w:hAnsi="Times New Roman" w:eastAsia="宋体" w:cs="Times New Roman"/>
          <w:color w:val="auto"/>
          <w:sz w:val="24"/>
          <w:szCs w:val="24"/>
          <w:highlight w:val="none"/>
          <w:lang w:eastAsia="zh-CN"/>
        </w:rPr>
        <w:t>粒、</w:t>
      </w:r>
      <w:r>
        <w:rPr>
          <w:rFonts w:hint="default" w:ascii="Times New Roman" w:hAnsi="Times New Roman" w:eastAsia="宋体" w:cs="Times New Roman"/>
          <w:color w:val="auto"/>
          <w:sz w:val="24"/>
          <w:szCs w:val="24"/>
          <w:highlight w:val="none"/>
        </w:rPr>
        <w:t>吹塑过程中产生</w:t>
      </w:r>
      <w:r>
        <w:rPr>
          <w:rFonts w:hint="default" w:ascii="Times New Roman" w:hAnsi="Times New Roman" w:eastAsia="宋体" w:cs="Times New Roman"/>
          <w:color w:val="auto"/>
          <w:sz w:val="24"/>
          <w:szCs w:val="24"/>
          <w:highlight w:val="none"/>
          <w:lang w:eastAsia="zh-CN"/>
        </w:rPr>
        <w:t>颗粒物</w:t>
      </w:r>
      <w:r>
        <w:rPr>
          <w:rFonts w:hint="default" w:ascii="Times New Roman" w:hAnsi="Times New Roman" w:eastAsia="宋体" w:cs="Times New Roman"/>
          <w:color w:val="auto"/>
          <w:sz w:val="24"/>
          <w:szCs w:val="24"/>
          <w:highlight w:val="none"/>
        </w:rPr>
        <w:t>，本项目拟采用</w:t>
      </w:r>
      <w:r>
        <w:rPr>
          <w:rFonts w:hint="default" w:ascii="Times New Roman" w:hAnsi="Times New Roman" w:eastAsia="宋体" w:cs="Times New Roman"/>
          <w:color w:val="auto"/>
          <w:kern w:val="0"/>
          <w:sz w:val="24"/>
          <w:szCs w:val="24"/>
          <w:highlight w:val="none"/>
        </w:rPr>
        <w:t>耐高温过滤棉</w:t>
      </w:r>
      <w:r>
        <w:rPr>
          <w:rFonts w:hint="default" w:ascii="Times New Roman" w:hAnsi="Times New Roman" w:eastAsia="宋体" w:cs="Times New Roman"/>
          <w:color w:val="auto"/>
          <w:sz w:val="24"/>
          <w:highlight w:val="none"/>
        </w:rPr>
        <w:t>进行处理，为保证处理效率，企业需每个月对耐高温过滤棉进行更换</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1台耐高温过滤棉的过滤棉充装量为1kg</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造粒生产车间</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耐高温过滤棉</w:t>
      </w:r>
      <w:r>
        <w:rPr>
          <w:rFonts w:hint="default" w:ascii="Times New Roman" w:hAnsi="Times New Roman" w:eastAsia="宋体" w:cs="Times New Roman"/>
          <w:color w:val="auto"/>
          <w:sz w:val="24"/>
          <w:highlight w:val="none"/>
          <w:lang w:eastAsia="zh-CN"/>
        </w:rPr>
        <w:t>收集的颗粒物量</w:t>
      </w:r>
      <w:r>
        <w:rPr>
          <w:rFonts w:hint="default" w:ascii="Times New Roman" w:hAnsi="Times New Roman" w:eastAsia="宋体" w:cs="Times New Roman"/>
          <w:color w:val="auto"/>
          <w:sz w:val="24"/>
          <w:highlight w:val="none"/>
          <w:lang w:val="en-US" w:eastAsia="zh-CN"/>
        </w:rPr>
        <w:t>6.38t/a，</w:t>
      </w:r>
      <w:r>
        <w:rPr>
          <w:rFonts w:hint="default" w:ascii="Times New Roman" w:hAnsi="Times New Roman" w:eastAsia="宋体" w:cs="Times New Roman"/>
          <w:color w:val="auto"/>
          <w:sz w:val="24"/>
          <w:highlight w:val="none"/>
        </w:rPr>
        <w:t>废耐高温过滤棉</w:t>
      </w:r>
      <w:r>
        <w:rPr>
          <w:rFonts w:hint="default" w:ascii="Times New Roman" w:hAnsi="Times New Roman" w:eastAsia="宋体" w:cs="Times New Roman"/>
          <w:color w:val="auto"/>
          <w:sz w:val="24"/>
          <w:highlight w:val="none"/>
          <w:lang w:eastAsia="zh-CN"/>
        </w:rPr>
        <w:t>消耗量为</w:t>
      </w:r>
      <w:r>
        <w:rPr>
          <w:rFonts w:hint="default" w:ascii="Times New Roman" w:hAnsi="Times New Roman" w:eastAsia="宋体" w:cs="Times New Roman"/>
          <w:color w:val="auto"/>
          <w:sz w:val="24"/>
          <w:highlight w:val="none"/>
          <w:lang w:val="en-US" w:eastAsia="zh-CN"/>
        </w:rPr>
        <w:t>0.008t/a。</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塑料制品生产车间</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耐高温过滤棉</w:t>
      </w:r>
      <w:r>
        <w:rPr>
          <w:rFonts w:hint="default" w:ascii="Times New Roman" w:hAnsi="Times New Roman" w:eastAsia="宋体" w:cs="Times New Roman"/>
          <w:color w:val="auto"/>
          <w:sz w:val="24"/>
          <w:highlight w:val="none"/>
          <w:lang w:eastAsia="zh-CN"/>
        </w:rPr>
        <w:t>收集的颗粒物量</w:t>
      </w:r>
      <w:r>
        <w:rPr>
          <w:rFonts w:hint="default" w:ascii="Times New Roman" w:hAnsi="Times New Roman" w:eastAsia="宋体" w:cs="Times New Roman"/>
          <w:color w:val="auto"/>
          <w:sz w:val="24"/>
          <w:highlight w:val="none"/>
          <w:lang w:val="en-US" w:eastAsia="zh-CN"/>
        </w:rPr>
        <w:t>2.43t/a，</w:t>
      </w:r>
      <w:r>
        <w:rPr>
          <w:rFonts w:hint="default" w:ascii="Times New Roman" w:hAnsi="Times New Roman" w:eastAsia="宋体" w:cs="Times New Roman"/>
          <w:color w:val="auto"/>
          <w:sz w:val="24"/>
          <w:highlight w:val="none"/>
        </w:rPr>
        <w:t>废耐高温过滤棉</w:t>
      </w:r>
      <w:r>
        <w:rPr>
          <w:rFonts w:hint="default" w:ascii="Times New Roman" w:hAnsi="Times New Roman" w:eastAsia="宋体" w:cs="Times New Roman"/>
          <w:color w:val="auto"/>
          <w:sz w:val="24"/>
          <w:highlight w:val="none"/>
          <w:lang w:eastAsia="zh-CN"/>
        </w:rPr>
        <w:t>消耗量为</w:t>
      </w:r>
      <w:r>
        <w:rPr>
          <w:rFonts w:hint="default" w:ascii="Times New Roman" w:hAnsi="Times New Roman" w:eastAsia="宋体" w:cs="Times New Roman"/>
          <w:color w:val="auto"/>
          <w:sz w:val="24"/>
          <w:highlight w:val="none"/>
          <w:lang w:val="en-US" w:eastAsia="zh-CN"/>
        </w:rPr>
        <w:t>0.008t/a。</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综上，本项目废</w:t>
      </w:r>
      <w:r>
        <w:rPr>
          <w:rFonts w:hint="default" w:ascii="Times New Roman" w:hAnsi="Times New Roman" w:eastAsia="宋体" w:cs="Times New Roman"/>
          <w:color w:val="auto"/>
          <w:sz w:val="24"/>
          <w:highlight w:val="none"/>
        </w:rPr>
        <w:t>耐高温过滤棉</w:t>
      </w:r>
      <w:r>
        <w:rPr>
          <w:rFonts w:hint="default" w:ascii="Times New Roman" w:hAnsi="Times New Roman" w:eastAsia="宋体" w:cs="Times New Roman"/>
          <w:color w:val="auto"/>
          <w:sz w:val="24"/>
          <w:highlight w:val="none"/>
          <w:lang w:eastAsia="zh-CN"/>
        </w:rPr>
        <w:t>产生量为</w:t>
      </w:r>
      <w:r>
        <w:rPr>
          <w:rFonts w:hint="default" w:ascii="Times New Roman" w:hAnsi="Times New Roman" w:eastAsia="宋体" w:cs="Times New Roman"/>
          <w:color w:val="auto"/>
          <w:sz w:val="24"/>
          <w:highlight w:val="none"/>
          <w:lang w:val="en-US" w:eastAsia="zh-CN"/>
        </w:rPr>
        <w:t>8.826t/a，</w:t>
      </w:r>
      <w:r>
        <w:rPr>
          <w:rFonts w:hint="default" w:ascii="Times New Roman" w:hAnsi="Times New Roman" w:eastAsia="宋体" w:cs="Times New Roman"/>
          <w:color w:val="auto"/>
          <w:sz w:val="24"/>
          <w:highlight w:val="none"/>
        </w:rPr>
        <w:t>属于危险废物，产生后暂存于危废暂存间，定期委托有资质单位处置。</w:t>
      </w:r>
    </w:p>
    <w:p>
      <w:pPr>
        <w:keepNext w:val="0"/>
        <w:keepLines w:val="0"/>
        <w:pageBreakBefore w:val="0"/>
        <w:widowControl w:val="0"/>
        <w:numPr>
          <w:ilvl w:val="8"/>
          <w:numId w:val="0"/>
        </w:numP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）光氧化装置灯管（S</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本项目废气环保措施中UV光氧催化装置灯管每年更换一次，产生量约0.</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t/a，产生的废灯管属于危险废物，废物类别为HW49其他废物、废物代码为900-039-49，经PE桶收集，暂存于危废暂存间内，定期交由有资质的单位进行处置</w:t>
      </w:r>
      <w:r>
        <w:rPr>
          <w:rFonts w:hint="eastAsia" w:ascii="Times New Roman" w:hAnsi="Times New Roman" w:eastAsia="宋体" w:cs="Times New Roman"/>
          <w:color w:val="auto"/>
          <w:sz w:val="24"/>
          <w:highlight w:val="none"/>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）废活性炭（S</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废旧塑料在挤塑、吹塑过程中产生非甲烷总烃，本项目拟采用活性炭吸附装置进行吸附处理，为保证处理效率，企业需每个月对活性炭进行更换</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1台活性炭吸附装置的活性炭充装量为80kg</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本项目2台活性炭吸附装置</w:t>
      </w:r>
      <w:r>
        <w:rPr>
          <w:rFonts w:hint="default" w:ascii="Times New Roman" w:hAnsi="Times New Roman" w:eastAsia="宋体" w:cs="Times New Roman"/>
          <w:color w:val="auto"/>
          <w:sz w:val="24"/>
          <w:highlight w:val="none"/>
        </w:rPr>
        <w:t>吸收有机废气约</w:t>
      </w:r>
      <w:r>
        <w:rPr>
          <w:rFonts w:hint="default" w:ascii="Times New Roman" w:hAnsi="Times New Roman" w:eastAsia="宋体" w:cs="Times New Roman"/>
          <w:color w:val="auto"/>
          <w:sz w:val="24"/>
          <w:highlight w:val="none"/>
          <w:lang w:val="en-US" w:eastAsia="zh-CN"/>
        </w:rPr>
        <w:t>7.33</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则本项目</w:t>
      </w:r>
      <w:r>
        <w:rPr>
          <w:rFonts w:hint="default" w:ascii="Times New Roman" w:hAnsi="Times New Roman" w:eastAsia="宋体" w:cs="Times New Roman"/>
          <w:color w:val="auto"/>
          <w:sz w:val="24"/>
          <w:highlight w:val="none"/>
        </w:rPr>
        <w:t>废活性炭产生量为</w:t>
      </w:r>
      <w:r>
        <w:rPr>
          <w:rFonts w:hint="default" w:ascii="Times New Roman" w:hAnsi="Times New Roman" w:eastAsia="宋体" w:cs="Times New Roman"/>
          <w:color w:val="auto"/>
          <w:sz w:val="24"/>
          <w:highlight w:val="none"/>
          <w:lang w:val="en-US" w:eastAsia="zh-CN"/>
        </w:rPr>
        <w:t>8.61</w:t>
      </w:r>
      <w:r>
        <w:rPr>
          <w:rFonts w:hint="default" w:ascii="Times New Roman" w:hAnsi="Times New Roman" w:eastAsia="宋体" w:cs="Times New Roman"/>
          <w:color w:val="auto"/>
          <w:sz w:val="24"/>
          <w:highlight w:val="none"/>
        </w:rPr>
        <w:t>t/a。</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则</w:t>
      </w: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《国家危险废物名录》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2021年版</w:t>
      </w:r>
      <w:r>
        <w:rPr>
          <w:rFonts w:hint="default" w:ascii="Times New Roman" w:hAnsi="Times New Roman" w:eastAsia="宋体" w:cs="Times New Roman"/>
          <w:color w:val="auto"/>
          <w:sz w:val="24"/>
          <w:highlight w:val="none"/>
          <w:lang w:eastAsia="zh-CN"/>
        </w:rPr>
        <w:t>），本项目</w:t>
      </w:r>
      <w:r>
        <w:rPr>
          <w:rFonts w:hint="default" w:ascii="Times New Roman" w:hAnsi="Times New Roman" w:eastAsia="宋体" w:cs="Times New Roman"/>
          <w:color w:val="auto"/>
          <w:sz w:val="24"/>
          <w:highlight w:val="none"/>
        </w:rPr>
        <w:t>废活性炭</w:t>
      </w:r>
      <w:r>
        <w:rPr>
          <w:rFonts w:hint="default" w:ascii="Times New Roman" w:hAnsi="Times New Roman" w:eastAsia="宋体" w:cs="Times New Roman"/>
          <w:color w:val="auto"/>
          <w:sz w:val="24"/>
          <w:highlight w:val="none"/>
          <w:lang w:eastAsia="zh-CN"/>
        </w:rPr>
        <w:t>所属废物类别为</w:t>
      </w:r>
      <w:r>
        <w:rPr>
          <w:rFonts w:hint="default" w:ascii="Times New Roman" w:hAnsi="Times New Roman" w:eastAsia="宋体" w:cs="Times New Roman"/>
          <w:color w:val="auto"/>
          <w:sz w:val="24"/>
          <w:highlight w:val="none"/>
          <w:lang w:val="en-US" w:eastAsia="zh-CN"/>
        </w:rPr>
        <w:t>HW49其他废物</w:t>
      </w:r>
      <w:r>
        <w:rPr>
          <w:rFonts w:hint="default" w:ascii="Times New Roman" w:hAnsi="Times New Roman" w:eastAsia="宋体" w:cs="Times New Roman"/>
          <w:color w:val="auto"/>
          <w:sz w:val="24"/>
          <w:highlight w:val="none"/>
          <w:lang w:eastAsia="zh-CN"/>
        </w:rPr>
        <w:t>，废物代码为</w:t>
      </w:r>
      <w:r>
        <w:rPr>
          <w:rFonts w:hint="default" w:ascii="Times New Roman" w:hAnsi="Times New Roman" w:eastAsia="宋体" w:cs="Times New Roman"/>
          <w:color w:val="auto"/>
          <w:sz w:val="24"/>
          <w:highlight w:val="none"/>
          <w:lang w:val="en-US" w:eastAsia="zh-CN"/>
        </w:rPr>
        <w:t>900-039-49“VOCs治理过程（不包括餐饮行业油烟治理过程）产生的废活性炭”，</w:t>
      </w:r>
      <w:r>
        <w:rPr>
          <w:rFonts w:hint="default" w:ascii="Times New Roman" w:hAnsi="Times New Roman" w:eastAsia="宋体" w:cs="Times New Roman"/>
          <w:color w:val="auto"/>
          <w:sz w:val="24"/>
          <w:highlight w:val="none"/>
        </w:rPr>
        <w:t>属于危险废物，产生后暂存于危废暂存间，定期委托有资质单位处置。</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）生活垃圾</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本项目劳动定员</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人，生活垃圾产生量按</w:t>
      </w:r>
      <w:r>
        <w:rPr>
          <w:rFonts w:hint="default" w:ascii="Times New Roman" w:hAnsi="Times New Roman" w:eastAsia="宋体" w:cs="Times New Roman"/>
          <w:color w:val="auto"/>
          <w:sz w:val="24"/>
          <w:highlight w:val="none"/>
          <w:lang w:val="en-US" w:eastAsia="zh-CN"/>
        </w:rPr>
        <w:t>0.5</w:t>
      </w:r>
      <w:r>
        <w:rPr>
          <w:rFonts w:hint="default" w:ascii="Times New Roman" w:hAnsi="Times New Roman" w:eastAsia="宋体" w:cs="Times New Roman"/>
          <w:color w:val="auto"/>
          <w:sz w:val="24"/>
          <w:highlight w:val="none"/>
        </w:rPr>
        <w:t>kg/d人计，生产天数为240d，则生活垃圾产生量为1.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t/a。生活垃圾在厂内集中收集后，交由当地环卫部门清运，统一处置</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固体废物是被人们忽视丢弃的可用物资，如果消极的燃烧、填埋、投弃，可能会造成大气、水体和地下水的污染，同时也会占用土地、污染和破坏土壤以及传播病原菌和感官污染，对环境造成的影响是很大的。</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通过以上分析可知，本工程产生的固体废物，均以做了相应的处理，减轻了对环境空气、水和土壤环境的影响：</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1）环境空气</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工程产生固体废物量较小，并且有专门的一般固废和危险废物存放设施，设施密闭，因此对环境空气影响较小。</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2）水环境</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本工程固体废物均为临时性储存，同时作了相应的防渗漏处理，避免渗漏液下渗到地下水，不会对水环境带来影响。</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3）土壤</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工程所有固废都有各自的堆放场所，地面与裙脚用坚固、防渗的材料建造，建筑材料与危险废物相容。同时作日常防雨措施，使得其不会对土壤环境造成影响。</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综上所述，本工程对固体废物的处置可做到不直接外排至环境。另外对于固废运输车辆噪声、扬尘等污染应注意加强管理，要求运输车辆车况必须良好，禁止鸣笛，采用密封或半密封车辆进行运输，同时设有专人管理，不得随意丢弃，避免废弃物对环境的污染。</w:t>
      </w:r>
    </w:p>
    <w:p>
      <w:pPr>
        <w:pStyle w:val="5"/>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rPr>
      </w:pPr>
      <w:bookmarkStart w:id="298" w:name="_Toc16396"/>
      <w:bookmarkStart w:id="299" w:name="_Toc7735"/>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土壤环境影响分析</w:t>
      </w:r>
      <w:bookmarkEnd w:id="298"/>
      <w:bookmarkEnd w:id="299"/>
    </w:p>
    <w:p>
      <w:pPr>
        <w:pStyle w:val="6"/>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rPr>
      </w:pPr>
      <w:bookmarkStart w:id="300" w:name="_Toc8091"/>
      <w:bookmarkStart w:id="301" w:name="_Toc46421143"/>
      <w:bookmarkStart w:id="302" w:name="_Toc18052327"/>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环境影响识别</w:t>
      </w:r>
      <w:bookmarkEnd w:id="300"/>
      <w:bookmarkEnd w:id="30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rPr>
        <w:t>5.</w:t>
      </w:r>
      <w:r>
        <w:rPr>
          <w:rFonts w:hint="default" w:ascii="Times New Roman" w:hAnsi="Times New Roman" w:eastAsia="宋体" w:cs="Times New Roman"/>
          <w:color w:val="auto"/>
          <w:sz w:val="24"/>
          <w:szCs w:val="32"/>
          <w:lang w:val="en-US" w:eastAsia="zh-CN"/>
        </w:rPr>
        <w:t>6.1</w:t>
      </w:r>
      <w:r>
        <w:rPr>
          <w:rFonts w:hint="default" w:ascii="Times New Roman" w:hAnsi="Times New Roman" w:eastAsia="宋体" w:cs="Times New Roman"/>
          <w:color w:val="auto"/>
          <w:sz w:val="24"/>
          <w:szCs w:val="32"/>
        </w:rPr>
        <w:t>.1项目</w:t>
      </w:r>
      <w:r>
        <w:rPr>
          <w:rFonts w:hint="default" w:ascii="Times New Roman" w:hAnsi="Times New Roman" w:eastAsia="宋体" w:cs="Times New Roman"/>
          <w:color w:val="auto"/>
          <w:sz w:val="24"/>
          <w:szCs w:val="32"/>
          <w:lang w:eastAsia="zh-CN"/>
        </w:rPr>
        <w:t>土壤环境评价等级判断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本项目属于《环境影响评价技术导则 土壤环境》（HJ964- 2018）中</w:t>
      </w:r>
      <w:r>
        <w:rPr>
          <w:rFonts w:hint="default" w:ascii="Times New Roman" w:hAnsi="Times New Roman" w:eastAsia="宋体" w:cs="Times New Roman"/>
          <w:color w:val="auto"/>
          <w:sz w:val="24"/>
          <w:szCs w:val="32"/>
          <w:highlight w:val="none"/>
          <w:lang w:eastAsia="zh-CN"/>
        </w:rPr>
        <w:t>Ⅲ</w:t>
      </w:r>
      <w:r>
        <w:rPr>
          <w:rFonts w:hint="default" w:ascii="Times New Roman" w:hAnsi="Times New Roman" w:eastAsia="宋体" w:cs="Times New Roman"/>
          <w:color w:val="auto"/>
          <w:sz w:val="24"/>
          <w:szCs w:val="32"/>
          <w:highlight w:val="none"/>
        </w:rPr>
        <w:t>类土壤环境影响评价项目类别，占地规模属小型规模，土壤环境敏感程度属“敏感”，本项目土壤环境评价工作等级为三级。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lang w:val="en-US" w:eastAsia="zh-CN"/>
        </w:rPr>
        <w:t>5.6.1.2</w:t>
      </w:r>
      <w:r>
        <w:rPr>
          <w:rFonts w:hint="default" w:ascii="Times New Roman" w:hAnsi="Times New Roman" w:eastAsia="宋体" w:cs="Times New Roman"/>
          <w:color w:val="auto"/>
          <w:sz w:val="24"/>
          <w:szCs w:val="32"/>
        </w:rPr>
        <w:t>影响类型及途径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营运期粪污废水在事故状况下将下渗会对土壤造成垂直入渗影响，项目不涉及酸、碱、盐类物质，不会造成土壤酸化、碱化和盐化。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表5.</w:t>
      </w:r>
      <w:r>
        <w:rPr>
          <w:rFonts w:hint="default" w:ascii="Times New Roman" w:hAnsi="Times New Roman" w:eastAsia="宋体" w:cs="Times New Roman"/>
          <w:b/>
          <w:bCs/>
          <w:color w:val="auto"/>
          <w:sz w:val="24"/>
          <w:szCs w:val="32"/>
          <w:lang w:val="en-US" w:eastAsia="zh-CN"/>
        </w:rPr>
        <w:t>6</w:t>
      </w:r>
      <w:r>
        <w:rPr>
          <w:rFonts w:hint="default" w:ascii="Times New Roman" w:hAnsi="Times New Roman" w:eastAsia="宋体" w:cs="Times New Roman"/>
          <w:b/>
          <w:bCs/>
          <w:color w:val="auto"/>
          <w:sz w:val="24"/>
          <w:szCs w:val="32"/>
        </w:rPr>
        <w:t>-1    建设项目土壤环境影响类型与影响途径表</w:t>
      </w:r>
    </w:p>
    <w:tbl>
      <w:tblPr>
        <w:tblStyle w:val="90"/>
        <w:tblW w:w="82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00"/>
        <w:gridCol w:w="1211"/>
        <w:gridCol w:w="1211"/>
        <w:gridCol w:w="1211"/>
        <w:gridCol w:w="628"/>
        <w:gridCol w:w="627"/>
        <w:gridCol w:w="628"/>
        <w:gridCol w:w="628"/>
        <w:gridCol w:w="6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3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不同时段</w:t>
            </w:r>
          </w:p>
        </w:tc>
        <w:tc>
          <w:tcPr>
            <w:tcW w:w="4636"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污染影响型</w:t>
            </w:r>
          </w:p>
        </w:tc>
        <w:tc>
          <w:tcPr>
            <w:tcW w:w="2732"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生态影响型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3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大气沉降</w:t>
            </w: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地面漫流</w:t>
            </w: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垂直入渗</w:t>
            </w: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其他</w:t>
            </w:r>
          </w:p>
        </w:tc>
        <w:tc>
          <w:tcPr>
            <w:tcW w:w="6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盐化</w:t>
            </w: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碱化</w:t>
            </w: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酸化</w:t>
            </w:r>
          </w:p>
        </w:tc>
        <w:tc>
          <w:tcPr>
            <w:tcW w:w="6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建设期</w:t>
            </w: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运营期</w:t>
            </w: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服务期满后</w:t>
            </w: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131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c>
          <w:tcPr>
            <w:tcW w:w="6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由上表可知，拟建项目影响途径主要为运营期大气沉降污染，因此拟建项目土壤环境影响途径为“污染影响型”。</w:t>
      </w:r>
    </w:p>
    <w:bookmarkEnd w:id="302"/>
    <w:p>
      <w:pPr>
        <w:pStyle w:val="6"/>
        <w:bidi w:val="0"/>
        <w:spacing w:line="360" w:lineRule="auto"/>
        <w:rPr>
          <w:rFonts w:hint="default" w:ascii="Times New Roman" w:hAnsi="Times New Roman" w:eastAsia="宋体" w:cs="Times New Roman"/>
          <w:color w:val="auto"/>
        </w:rPr>
      </w:pPr>
      <w:bookmarkStart w:id="303" w:name="_Toc29794"/>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土壤环境影响评价</w:t>
      </w:r>
      <w:bookmarkEnd w:id="30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rPr>
        <w:t>5.</w:t>
      </w:r>
      <w:r>
        <w:rPr>
          <w:rFonts w:hint="default" w:ascii="Times New Roman" w:hAnsi="Times New Roman" w:eastAsia="宋体" w:cs="Times New Roman"/>
          <w:color w:val="auto"/>
          <w:sz w:val="24"/>
          <w:szCs w:val="32"/>
          <w:lang w:val="en-US" w:eastAsia="zh-CN"/>
        </w:rPr>
        <w:t>6</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val="en-US" w:eastAsia="zh-CN"/>
        </w:rPr>
        <w:t>2.1</w:t>
      </w:r>
      <w:r>
        <w:rPr>
          <w:rFonts w:hint="default" w:ascii="Times New Roman" w:hAnsi="Times New Roman" w:eastAsia="宋体" w:cs="Times New Roman"/>
          <w:color w:val="auto"/>
          <w:sz w:val="24"/>
          <w:szCs w:val="32"/>
          <w:lang w:eastAsia="zh-CN"/>
        </w:rPr>
        <w:t>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项目施工期属于短期局部影响，待施工结束后，对周围土壤环境的影响随之结束。对建设项目占地范围内及周边土壤影响较大的为运营期，根据建设项目土壤环境影响识别分析结果确定预测时段为项目的运营期</w:t>
      </w:r>
      <w:r>
        <w:rPr>
          <w:rFonts w:hint="default" w:ascii="Times New Roman" w:hAnsi="Times New Roman" w:eastAsia="宋体" w:cs="Times New Roman"/>
          <w:color w:val="auto"/>
          <w:sz w:val="24"/>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本项目运营期对土壤环境影响主要为烟气中的</w:t>
      </w:r>
      <w:r>
        <w:rPr>
          <w:rFonts w:hint="default" w:ascii="Times New Roman" w:hAnsi="Times New Roman" w:eastAsia="宋体" w:cs="Times New Roman"/>
          <w:color w:val="auto"/>
          <w:sz w:val="24"/>
          <w:szCs w:val="32"/>
          <w:highlight w:val="none"/>
          <w:lang w:eastAsia="zh-CN"/>
        </w:rPr>
        <w:t>颗粒物</w:t>
      </w:r>
      <w:r>
        <w:rPr>
          <w:rFonts w:hint="default" w:ascii="Times New Roman" w:hAnsi="Times New Roman" w:eastAsia="宋体" w:cs="Times New Roman"/>
          <w:color w:val="auto"/>
          <w:sz w:val="24"/>
          <w:szCs w:val="32"/>
          <w:highlight w:val="none"/>
        </w:rPr>
        <w:t>发生大气沉降进入土壤环境对土壤造成的影响；一般固废暂存间、危废暂存间、</w:t>
      </w:r>
      <w:r>
        <w:rPr>
          <w:rFonts w:hint="default" w:ascii="Times New Roman" w:hAnsi="Times New Roman" w:eastAsia="宋体" w:cs="Times New Roman"/>
          <w:color w:val="auto"/>
          <w:sz w:val="24"/>
          <w:highlight w:val="none"/>
          <w:lang w:eastAsia="zh-CN"/>
        </w:rPr>
        <w:t>三级沉淀池、冷却水池</w:t>
      </w:r>
      <w:r>
        <w:rPr>
          <w:rFonts w:hint="default" w:ascii="Times New Roman" w:hAnsi="Times New Roman" w:eastAsia="宋体" w:cs="Times New Roman"/>
          <w:color w:val="auto"/>
          <w:sz w:val="24"/>
          <w:szCs w:val="32"/>
          <w:highlight w:val="none"/>
        </w:rPr>
        <w:t>、化粪池等发生渗漏，污染物进入土壤环境对土壤造成的影响。项目一般固废暂存间、危废暂存间、</w:t>
      </w:r>
      <w:r>
        <w:rPr>
          <w:rFonts w:hint="default" w:ascii="Times New Roman" w:hAnsi="Times New Roman" w:eastAsia="宋体" w:cs="Times New Roman"/>
          <w:color w:val="auto"/>
          <w:sz w:val="24"/>
          <w:highlight w:val="none"/>
          <w:lang w:eastAsia="zh-CN"/>
        </w:rPr>
        <w:t>三级沉淀池、冷却水池</w:t>
      </w:r>
      <w:r>
        <w:rPr>
          <w:rFonts w:hint="default" w:ascii="Times New Roman" w:hAnsi="Times New Roman" w:eastAsia="宋体" w:cs="Times New Roman"/>
          <w:color w:val="auto"/>
          <w:sz w:val="24"/>
          <w:szCs w:val="32"/>
          <w:highlight w:val="none"/>
        </w:rPr>
        <w:t>、化粪池等均按照要求进行了基础防渗，正常情况下不会发生污染物渗漏。</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32"/>
        </w:rPr>
        <w:t>5.</w:t>
      </w:r>
      <w:r>
        <w:rPr>
          <w:rFonts w:hint="default" w:ascii="Times New Roman" w:hAnsi="Times New Roman" w:eastAsia="宋体" w:cs="Times New Roman"/>
          <w:color w:val="auto"/>
          <w:sz w:val="24"/>
          <w:szCs w:val="32"/>
          <w:lang w:val="en-US" w:eastAsia="zh-CN"/>
        </w:rPr>
        <w:t>6</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val="en-US" w:eastAsia="zh-CN"/>
        </w:rPr>
        <w:t>2.2</w:t>
      </w:r>
      <w:r>
        <w:rPr>
          <w:rFonts w:hint="default" w:ascii="Times New Roman" w:hAnsi="Times New Roman" w:eastAsia="宋体" w:cs="Times New Roman"/>
          <w:color w:val="auto"/>
          <w:sz w:val="24"/>
          <w:szCs w:val="24"/>
          <w:highlight w:val="none"/>
        </w:rPr>
        <w:t>土壤环境污染防护措施</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土壤污染防治措施按照“源头控制、过程防控、跟踪监测、应急响应”相结合的原则，从污染物的产生、运移、扩散、应急响应全阶段进行控制。本项目主要土壤污染防护措施包括源头控制措施及过程控制措施。</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源头控制措施</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1）工程对产生的废污水进行综合利用，尽可能从源头上减少废污水的产生；</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2）对所产生的废气采取相应的</w:t>
      </w:r>
      <w:r>
        <w:rPr>
          <w:rFonts w:hint="default" w:ascii="Times New Roman" w:hAnsi="Times New Roman" w:eastAsia="宋体" w:cs="Times New Roman"/>
          <w:color w:val="auto"/>
          <w:sz w:val="24"/>
          <w:szCs w:val="24"/>
          <w:highlight w:val="none"/>
          <w:lang w:eastAsia="zh-CN"/>
        </w:rPr>
        <w:t>污染防治措施</w:t>
      </w:r>
      <w:r>
        <w:rPr>
          <w:rFonts w:hint="default" w:ascii="Times New Roman" w:hAnsi="Times New Roman" w:eastAsia="宋体" w:cs="Times New Roman"/>
          <w:color w:val="auto"/>
          <w:sz w:val="24"/>
          <w:szCs w:val="24"/>
          <w:highlight w:val="none"/>
        </w:rPr>
        <w:t>，减少废气的排放量；</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3）对本项目涉及的</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val="en-US"/>
        </w:rPr>
        <w:t>车间、</w:t>
      </w:r>
      <w:r>
        <w:rPr>
          <w:rFonts w:hint="default" w:ascii="Times New Roman" w:hAnsi="Times New Roman" w:eastAsia="宋体" w:cs="Times New Roman"/>
          <w:color w:val="auto"/>
          <w:sz w:val="24"/>
          <w:szCs w:val="32"/>
          <w:highlight w:val="none"/>
        </w:rPr>
        <w:t>一般固废暂存间、危废暂存间、</w:t>
      </w:r>
      <w:r>
        <w:rPr>
          <w:rFonts w:hint="default" w:ascii="Times New Roman" w:hAnsi="Times New Roman" w:eastAsia="宋体" w:cs="Times New Roman"/>
          <w:color w:val="auto"/>
          <w:sz w:val="24"/>
          <w:highlight w:val="none"/>
          <w:lang w:eastAsia="zh-CN"/>
        </w:rPr>
        <w:t>三级沉淀池、冷却水池</w:t>
      </w:r>
      <w:r>
        <w:rPr>
          <w:rFonts w:hint="default" w:ascii="Times New Roman" w:hAnsi="Times New Roman" w:eastAsia="宋体" w:cs="Times New Roman"/>
          <w:color w:val="auto"/>
          <w:sz w:val="24"/>
          <w:szCs w:val="32"/>
          <w:highlight w:val="none"/>
        </w:rPr>
        <w:t>、化粪池</w:t>
      </w:r>
      <w:r>
        <w:rPr>
          <w:rFonts w:hint="default" w:ascii="Times New Roman" w:hAnsi="Times New Roman" w:eastAsia="宋体" w:cs="Times New Roman"/>
          <w:color w:val="auto"/>
          <w:sz w:val="24"/>
          <w:szCs w:val="32"/>
          <w:highlight w:val="none"/>
          <w:lang w:eastAsia="zh-CN"/>
        </w:rPr>
        <w:t>等</w:t>
      </w:r>
      <w:r>
        <w:rPr>
          <w:rFonts w:hint="default" w:ascii="Times New Roman" w:hAnsi="Times New Roman" w:eastAsia="宋体" w:cs="Times New Roman"/>
          <w:color w:val="auto"/>
          <w:sz w:val="24"/>
          <w:szCs w:val="24"/>
          <w:highlight w:val="none"/>
          <w:lang w:val="en-US"/>
        </w:rPr>
        <w:t>采取防渗漏措施，避免或减少污水的跑、冒、滴、漏，将废水泄漏的环境风险事故降低到最低程度；</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4）进行质量体系认证，实现“质量、安全、环境”三位一体的全面质量管理；</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5）建立有关规章制度和岗位责任制，制定风险预警方案，设立应急设施减轻环境污染影响。</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过程控制措施</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1）本项目营运期大气污染物通过</w:t>
      </w:r>
      <w:r>
        <w:rPr>
          <w:rFonts w:hint="default" w:ascii="Times New Roman" w:hAnsi="Times New Roman" w:eastAsia="宋体" w:cs="Times New Roman"/>
          <w:bCs/>
          <w:color w:val="auto"/>
          <w:sz w:val="24"/>
          <w:szCs w:val="24"/>
          <w:highlight w:val="none"/>
          <w:lang w:eastAsia="zh-CN"/>
        </w:rPr>
        <w:t>排气筒</w:t>
      </w:r>
      <w:r>
        <w:rPr>
          <w:rFonts w:hint="default" w:ascii="Times New Roman" w:hAnsi="Times New Roman" w:eastAsia="宋体" w:cs="Times New Roman"/>
          <w:bCs/>
          <w:color w:val="auto"/>
          <w:sz w:val="24"/>
          <w:szCs w:val="24"/>
          <w:highlight w:val="none"/>
        </w:rPr>
        <w:t xml:space="preserve">排放，在车间、生活区周边采取绿化等措施，以种植具有较强吸附能力的植物为主；同时对堆场周边进行定时洒水。 </w:t>
      </w:r>
    </w:p>
    <w:p>
      <w:pPr>
        <w:pStyle w:val="154"/>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2）</w:t>
      </w:r>
      <w:r>
        <w:rPr>
          <w:rFonts w:hint="default" w:ascii="Times New Roman" w:hAnsi="Times New Roman" w:eastAsia="宋体" w:cs="Times New Roman"/>
          <w:color w:val="auto"/>
          <w:sz w:val="24"/>
          <w:szCs w:val="24"/>
          <w:highlight w:val="none"/>
        </w:rPr>
        <w:t>本项目运营期不产生生产废水；本项目不新增工作人员，故无新增生活污水。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危险废物暂存间采取防渗措施，防渗层渗透性能达到等效黏土防渗层Mb≥6.0m，K≤1×10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cm/s，或大于2mm厚的人工材料，防渗系数不高于10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cm/s；筛分车间、粉料车间、缓冲仓、防渗旱厕采用抗渗等级为P8的防水混凝土结构，并在表面刷涂环氧自流平，渗透性能达到等效黏土防渗层Mb≥1.5m，K≤1×10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w:t>
      </w:r>
      <w:r>
        <w:rPr>
          <w:rFonts w:hint="default" w:ascii="Times New Roman" w:hAnsi="Times New Roman" w:eastAsia="宋体" w:cs="Times New Roman"/>
          <w:color w:val="auto"/>
          <w:sz w:val="24"/>
          <w:szCs w:val="24"/>
        </w:rPr>
        <w:t>。</w:t>
      </w:r>
    </w:p>
    <w:p>
      <w:pPr>
        <w:pStyle w:val="6"/>
        <w:bidi w:val="0"/>
        <w:spacing w:line="360" w:lineRule="auto"/>
        <w:rPr>
          <w:rFonts w:hint="default" w:ascii="Times New Roman" w:hAnsi="Times New Roman" w:eastAsia="宋体" w:cs="Times New Roman"/>
          <w:color w:val="auto"/>
        </w:rPr>
      </w:pPr>
      <w:bookmarkStart w:id="304" w:name="_Toc29477"/>
      <w:bookmarkStart w:id="305" w:name="_Toc46421146"/>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土壤影响评价结论</w:t>
      </w:r>
      <w:bookmarkEnd w:id="304"/>
      <w:bookmarkEnd w:id="305"/>
    </w:p>
    <w:p>
      <w:pP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正常工况下，不会有泄漏情况发生，也不会对土壤环境造成影响。本项目采取合格防渗的措施，对土壤和下水造成污染的可能性更低。因此，可以推测本项目正常工况下不会对周围土壤环境造成不良影响。事故状态下，假设污水泄露，相关污染物持续进入土壤中，则随着污染物持续泄漏，污染范围逐渐增大。故应做好日常土壤防护工作，环保设施及相关防渗系统应定时进行检修维护，一旦发现污染物泄漏应立即采取应急响应，截断污染源并根据污染情况采取土壤保护措施。</w:t>
      </w:r>
    </w:p>
    <w:p>
      <w:pP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综上，项目土壤环境影响可接受。</w:t>
      </w:r>
    </w:p>
    <w:p>
      <w:pP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建设项目土壤环境影响评价自查表见下表。</w:t>
      </w:r>
    </w:p>
    <w:p>
      <w:pPr>
        <w:bidi w:val="0"/>
        <w:spacing w:line="240" w:lineRule="auto"/>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表5.</w:t>
      </w:r>
      <w:r>
        <w:rPr>
          <w:rFonts w:hint="default" w:ascii="Times New Roman" w:hAnsi="Times New Roman" w:eastAsia="宋体" w:cs="Times New Roman"/>
          <w:b/>
          <w:bCs/>
          <w:color w:val="auto"/>
          <w:sz w:val="24"/>
          <w:szCs w:val="32"/>
          <w:lang w:val="en-US" w:eastAsia="zh-CN"/>
        </w:rPr>
        <w:t>6</w:t>
      </w: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bCs/>
          <w:color w:val="auto"/>
          <w:sz w:val="24"/>
          <w:szCs w:val="32"/>
          <w:lang w:val="en-US" w:eastAsia="zh-CN"/>
        </w:rPr>
        <w:t>2</w:t>
      </w:r>
      <w:r>
        <w:rPr>
          <w:rFonts w:hint="default" w:ascii="Times New Roman" w:hAnsi="Times New Roman" w:eastAsia="宋体" w:cs="Times New Roman"/>
          <w:b/>
          <w:bCs/>
          <w:color w:val="auto"/>
          <w:sz w:val="24"/>
          <w:szCs w:val="32"/>
        </w:rPr>
        <w:t xml:space="preserve">    土壤环境影响评价自查表</w:t>
      </w:r>
    </w:p>
    <w:tbl>
      <w:tblPr>
        <w:tblStyle w:val="90"/>
        <w:tblW w:w="8277"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79"/>
        <w:gridCol w:w="1495"/>
        <w:gridCol w:w="1263"/>
        <w:gridCol w:w="1367"/>
        <w:gridCol w:w="1449"/>
        <w:gridCol w:w="582"/>
        <w:gridCol w:w="719"/>
        <w:gridCol w:w="102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工作内容</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完成情况</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影响识别</w:t>
            </w: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影响类型</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污染影响型</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；生态影响型□；两种兼有□</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土地利用类型</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建设用地</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lang w:eastAsia="zh-CN"/>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；农用地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；未利用地□）</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占地规模</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（0.7056）hm</w:t>
            </w:r>
            <w:r>
              <w:rPr>
                <w:rFonts w:hint="default" w:ascii="Times New Roman" w:hAnsi="Times New Roman" w:eastAsia="宋体" w:cs="Times New Roman"/>
                <w:color w:val="auto"/>
                <w:position w:val="6"/>
                <w:sz w:val="21"/>
                <w:szCs w:val="21"/>
                <w:highlight w:val="none"/>
                <w:vertAlign w:val="superscript"/>
              </w:rPr>
              <w:t>2</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敏感目标信息</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敏感目标（</w:t>
            </w:r>
            <w:r>
              <w:rPr>
                <w:rFonts w:hint="default" w:ascii="Times New Roman" w:hAnsi="Times New Roman" w:eastAsia="宋体" w:cs="Times New Roman"/>
                <w:color w:val="auto"/>
                <w:sz w:val="21"/>
                <w:szCs w:val="21"/>
                <w:highlight w:val="none"/>
                <w:lang w:eastAsia="zh-CN"/>
              </w:rPr>
              <w:t>林地</w:t>
            </w:r>
            <w:r>
              <w:rPr>
                <w:rFonts w:hint="default" w:ascii="Times New Roman" w:hAnsi="Times New Roman" w:eastAsia="宋体" w:cs="Times New Roman"/>
                <w:color w:val="auto"/>
                <w:sz w:val="21"/>
                <w:szCs w:val="21"/>
                <w:highlight w:val="none"/>
              </w:rPr>
              <w:t>）、方位（四周）、距离（50m）</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影响途径</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大气沉降</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rPr>
              <w:t>；地面漫流□；垂直入渗</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；地下水位□；其他（）</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全部污染物</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bidi="ar"/>
              </w:rPr>
              <w:t>颗粒物、非甲烷总烃、</w:t>
            </w:r>
            <w:r>
              <w:rPr>
                <w:rFonts w:hint="default" w:ascii="Times New Roman" w:hAnsi="Times New Roman" w:eastAsia="宋体" w:cs="Times New Roman"/>
                <w:color w:val="auto"/>
                <w:sz w:val="21"/>
                <w:szCs w:val="21"/>
                <w:highlight w:val="none"/>
                <w:lang w:val="en-US" w:eastAsia="zh-CN" w:bidi="ar"/>
              </w:rPr>
              <w:t>COD、氨氮</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特征因子</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bidi="ar"/>
              </w:rPr>
              <w:t>颗粒物</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所属土壤环境影响评价项目类别</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Ⅰ类□；Ⅱ类□；Ⅲ类</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；Ⅳ类□</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敏感程度</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敏感</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；较敏感□；不敏感□</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一级□；二级□；三级</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现状调查内容</w:t>
            </w: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资料收集</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；b）</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；d）</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理化特性</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同附录 C</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现状监测点位</w:t>
            </w:r>
          </w:p>
        </w:tc>
        <w:tc>
          <w:tcPr>
            <w:tcW w:w="13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w:t>
            </w:r>
          </w:p>
        </w:tc>
        <w:tc>
          <w:tcPr>
            <w:tcW w:w="221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占地范围外</w:t>
            </w: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深度</w:t>
            </w:r>
          </w:p>
        </w:tc>
        <w:tc>
          <w:tcPr>
            <w:tcW w:w="111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点位布置图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表层样点数</w:t>
            </w: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21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0.2m</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柱状样点数</w:t>
            </w: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221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现状监测因子</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砷、镉、铬（六价）、铜、铅、汞、镍、四氯化碳、氯仿、氯甲烷、1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1-二氯乙烷、1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1-二氯乙烯、顺-1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2-二氯乙烯、反-1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2-二氯乙烯、二氯甲烷、1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2-四氯乙烷、1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2-四氯乙烷、四氯乙烯、1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1-三氯乙烷、1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2-三氯乙烷、三氯乙烯、1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3-三氯丙烷、氯乙烯、苯、氯苯、1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4-二氯苯、乙苯、苯乙烯、甲苯、间二甲苯+对二甲苯、邻二甲苯、硝基苯、苯胺、2-氯酚、苯并[a]蒽、苯并[a]芘、苯并[b]荧蒽、苯并[k]荧蒽、䓛、二苯并[a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h]蒽、茚并[1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3-cd]芘、萘，共计45项</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w:t>
            </w:r>
          </w:p>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价</w:t>
            </w: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砷、镉、铬（六价）、铜、铅、汞、镍、四氯化碳、氯仿、氯甲烷、1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1-二氯乙烷、1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1-二氯乙烯、顺-1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2-二氯乙烯、反-1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2-二氯乙烯、二氯甲烷、1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2-四氯乙烷、1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2-四氯乙烷、四氯乙烯、1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1-三氯乙烷、1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2-三氯乙烷、三氯乙烯、1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3-三氯丙烷、氯乙烯、苯、氯苯、1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2-二氯苯、1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4-二氯苯、乙苯、苯乙烯、甲苯、间二甲苯+对二甲苯、邻二甲苯、硝基苯、苯胺、2-氯酚、苯并[a]蒽、苯并[a]芘、苯并[b]荧蒽、苯并[k]荧蒽、䓛、二苯并[a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h]蒽、茚并[1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3-cd]芘、萘，共计45项</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 15618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 36600</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lang w:eastAsia="zh-CN"/>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；表D.1□；表 D.2□；其他（）</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现状评价结论</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满足《土壤环境质量  建设用地土壤污染风险管控标准》（GB36600-2018）表1建设用地土壤污染风险筛选值和管制值中管制值</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影响预测</w:t>
            </w: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预测因子</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预测方法</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附录</w:t>
            </w:r>
            <w:r>
              <w:rPr>
                <w:rFonts w:hint="default" w:ascii="Times New Roman" w:hAnsi="Times New Roman" w:eastAsia="宋体" w:cs="Times New Roman"/>
                <w:color w:val="auto"/>
                <w:spacing w:val="-46"/>
                <w:sz w:val="21"/>
                <w:szCs w:val="21"/>
                <w:highlight w:val="none"/>
              </w:rPr>
              <w:t xml:space="preserve"> </w:t>
            </w:r>
            <w:r>
              <w:rPr>
                <w:rFonts w:hint="default" w:ascii="Times New Roman" w:hAnsi="Times New Roman" w:eastAsia="宋体" w:cs="Times New Roman"/>
                <w:color w:val="auto"/>
                <w:sz w:val="21"/>
                <w:szCs w:val="21"/>
                <w:highlight w:val="none"/>
              </w:rPr>
              <w:t>E</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rPr>
              <w:t>；附录</w:t>
            </w:r>
            <w:r>
              <w:rPr>
                <w:rFonts w:hint="default" w:ascii="Times New Roman" w:hAnsi="Times New Roman" w:eastAsia="宋体" w:cs="Times New Roman"/>
                <w:color w:val="auto"/>
                <w:spacing w:val="-45"/>
                <w:sz w:val="21"/>
                <w:szCs w:val="21"/>
                <w:highlight w:val="none"/>
              </w:rPr>
              <w:t xml:space="preserve"> </w:t>
            </w:r>
            <w:r>
              <w:rPr>
                <w:rFonts w:hint="default" w:ascii="Times New Roman" w:hAnsi="Times New Roman" w:eastAsia="宋体" w:cs="Times New Roman"/>
                <w:color w:val="auto"/>
                <w:sz w:val="21"/>
                <w:szCs w:val="21"/>
                <w:highlight w:val="none"/>
              </w:rPr>
              <w:t>F□；其他（定性分析）</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预测分析内容</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影响范围（</w:t>
            </w:r>
            <w:r>
              <w:rPr>
                <w:rFonts w:hint="default" w:ascii="Times New Roman" w:hAnsi="Times New Roman" w:eastAsia="宋体" w:cs="Times New Roman"/>
                <w:color w:val="auto"/>
                <w:sz w:val="21"/>
                <w:szCs w:val="21"/>
                <w:highlight w:val="none"/>
                <w:lang w:eastAsia="zh-CN"/>
              </w:rPr>
              <w:t>厂区外</w:t>
            </w:r>
            <w:r>
              <w:rPr>
                <w:rFonts w:hint="default" w:ascii="Times New Roman" w:hAnsi="Times New Roman" w:eastAsia="宋体" w:cs="Times New Roman"/>
                <w:color w:val="auto"/>
                <w:sz w:val="21"/>
                <w:szCs w:val="21"/>
                <w:highlight w:val="none"/>
                <w:lang w:val="en-US" w:eastAsia="zh-CN"/>
              </w:rPr>
              <w:t>50m范围</w:t>
            </w:r>
            <w:r>
              <w:rPr>
                <w:rFonts w:hint="default" w:ascii="Times New Roman" w:hAnsi="Times New Roman" w:eastAsia="宋体" w:cs="Times New Roman"/>
                <w:color w:val="auto"/>
                <w:sz w:val="21"/>
                <w:szCs w:val="21"/>
                <w:highlight w:val="none"/>
              </w:rPr>
              <w:t>内）</w:t>
            </w:r>
          </w:p>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影响程度（较小）</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预测结论</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达标结论：a）</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；b）□；c）□</w:t>
            </w:r>
          </w:p>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不达标结论：a）□；b）□</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防治措</w:t>
            </w:r>
          </w:p>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w:t>
            </w: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防控措施</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土壤环境质量现状保障</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；源头控制</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；过程防控</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eq \o\ac(</w:instrText>
            </w:r>
            <w:r>
              <w:rPr>
                <w:rFonts w:hint="default" w:ascii="Times New Roman" w:hAnsi="Times New Roman" w:eastAsia="宋体" w:cs="Times New Roman"/>
                <w:color w:val="auto"/>
                <w:position w:val="-4"/>
                <w:sz w:val="31"/>
                <w:szCs w:val="21"/>
                <w:highlight w:val="none"/>
              </w:rPr>
              <w:instrText xml:space="preserve">□</w:instrText>
            </w:r>
            <w:r>
              <w:rPr>
                <w:rFonts w:hint="default" w:ascii="Times New Roman" w:hAnsi="Times New Roman" w:eastAsia="宋体" w:cs="Times New Roman"/>
                <w:color w:val="auto"/>
                <w:position w:val="0"/>
                <w:sz w:val="21"/>
                <w:szCs w:val="21"/>
                <w:highlight w:val="none"/>
              </w:rPr>
              <w:instrText xml:space="preserve">,√)</w:instrTex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；其他（）</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跟踪监测</w:t>
            </w:r>
          </w:p>
        </w:tc>
        <w:tc>
          <w:tcPr>
            <w:tcW w:w="286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监测点数</w:t>
            </w:r>
          </w:p>
        </w:tc>
        <w:tc>
          <w:tcPr>
            <w:tcW w:w="15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监测指标</w:t>
            </w:r>
          </w:p>
        </w:tc>
        <w:tc>
          <w:tcPr>
            <w:tcW w:w="141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111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286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1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c>
          <w:tcPr>
            <w:tcW w:w="16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信息公开指标</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项目土壤监测计划</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评价结论</w:t>
            </w:r>
          </w:p>
        </w:tc>
        <w:tc>
          <w:tcPr>
            <w:tcW w:w="585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本项目对土壤环境影响较小，在可接受范围内，建设可行</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3"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 1：“□”为勾选项，可√；“（ ）”为内容填写项；“备注”为其他补充内容。</w:t>
            </w:r>
          </w:p>
          <w:p>
            <w:pPr>
              <w:keepNext w:val="0"/>
              <w:keepLines w:val="0"/>
              <w:pageBreakBefore w:val="0"/>
              <w:widowControl w:val="0"/>
              <w:kinsoku/>
              <w:wordWrap/>
              <w:overflowPunct/>
              <w:topLinePunct/>
              <w:autoSpaceDE w:val="0"/>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 2：需要分别开展土壤环境影响评级工作的，分别填写自查表。</w:t>
            </w:r>
          </w:p>
        </w:tc>
      </w:tr>
      <w:bookmarkEnd w:id="297"/>
    </w:tbl>
    <w:p>
      <w:pPr>
        <w:pStyle w:val="5"/>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rPr>
      </w:pPr>
      <w:bookmarkStart w:id="306" w:name="_Toc32022"/>
      <w:bookmarkStart w:id="307" w:name="_Toc464475430"/>
      <w:bookmarkStart w:id="308" w:name="_Toc5801123"/>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7生态</w:t>
      </w:r>
      <w:r>
        <w:rPr>
          <w:rFonts w:hint="default" w:ascii="Times New Roman" w:hAnsi="Times New Roman" w:eastAsia="宋体" w:cs="Times New Roman"/>
          <w:color w:val="auto"/>
        </w:rPr>
        <w:t>环境影响分析</w:t>
      </w:r>
      <w:bookmarkEnd w:id="3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lang w:eastAsia="zh-CN"/>
        </w:rPr>
        <w:t>本项目位于乌拉特前旗额尔登布拉格苏木旧乡政府院内，施工过程对天然植被的影响主要表现在运营期永久性占地，建设过程的施工对厂区范围内植被产生的影响均为毁灭性的，原生植被在遭到破坏后第一个生长期内将全部消失。区域内植物以人工植被为主，场地内的植物类型单一，主要为人工植被，就其生态系统来讲，植被的自然更新将较为困难，如果本工程建成后，不进行人工生态恢复，那么该区的生态环境将更加恶劣，引起风蚀现象的概率会更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lang w:eastAsia="zh-CN"/>
        </w:rPr>
        <w:t>本项目建成运营后，工程装置区内的各种车辆及活动仅限于工程厂址区内，项目建设过程中遭到破坏的植被，在建设完成后将逐步恢复。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lang w:eastAsia="zh-CN"/>
        </w:rPr>
        <w:t>项目建成后，通过选择适当的苗木进行绿化，通过树木的吸收和阻挡作用，可进一步减少大气污染物向厂外扩散，同时可减少厂界噪声，通过人为栽培，区域生态可得到有效补偿，项目的建设对厂区及附近植被产生的负面影响是暂时和有限的。施工结束后，被永久性构筑物代替的地表，这部分土地的地表被固定，其余地表通过绿化，地表土壤处于稳定状态，发生水土流失的影响很小</w:t>
      </w:r>
      <w:r>
        <w:rPr>
          <w:rFonts w:hint="default" w:ascii="Times New Roman" w:hAnsi="Times New Roman" w:eastAsia="宋体" w:cs="Times New Roman"/>
          <w:color w:val="auto"/>
          <w:sz w:val="24"/>
          <w:szCs w:val="32"/>
          <w:highlight w:val="none"/>
        </w:rPr>
        <w:t>。</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sz w:val="24"/>
          <w:szCs w:val="24"/>
          <w:highlight w:val="none"/>
        </w:rPr>
        <w:t>本项目占地为建设用地，且本项目生产使用的大部分建筑物为现有厂房，项目建设未改变评价区域土地利用类型，其地面天然植被及野生动植物的种类和数量相对较少，同时项目厂区在建设完成后会进行相应的绿化和地面硬化措施，因此，尽管项目建设会使原有植被遭到局部损失，但不会使评价区植物群落的种类组成发生变化，也不会造成某种植物的消失。项目投入运营后，将加强厂区及其周围的绿化和植被的恢复及补偿工作，项目在生产过程中不存在破化植被的工业活动，运营期不会对植物资源产生不利影响；评价区现有的野生动物多为一些常见的鸟类、啮齿类及昆虫等。通过加强施工人员的宣传教育和管理，可减少在建设初期对野生动物的影响，对生态环境的影响有限</w:t>
      </w:r>
      <w:r>
        <w:rPr>
          <w:rFonts w:hint="default" w:ascii="Times New Roman" w:hAnsi="Times New Roman" w:eastAsia="宋体" w:cs="Times New Roman"/>
          <w:color w:val="auto"/>
          <w:sz w:val="24"/>
          <w:szCs w:val="24"/>
          <w:highlight w:val="none"/>
        </w:rPr>
        <w:t>。</w:t>
      </w:r>
    </w:p>
    <w:p>
      <w:pPr>
        <w:pStyle w:val="5"/>
        <w:bidi w:val="0"/>
        <w:rPr>
          <w:rFonts w:hint="default" w:ascii="Times New Roman" w:hAnsi="Times New Roman" w:eastAsia="宋体" w:cs="Times New Roman"/>
          <w:color w:val="auto"/>
        </w:rPr>
      </w:pPr>
      <w:bookmarkStart w:id="309" w:name="_Toc21111"/>
      <w:r>
        <w:rPr>
          <w:rFonts w:hint="default" w:ascii="Times New Roman" w:hAnsi="Times New Roman" w:eastAsia="宋体" w:cs="Times New Roman"/>
          <w:color w:val="auto"/>
        </w:rPr>
        <w:t>5.</w:t>
      </w:r>
      <w:bookmarkEnd w:id="307"/>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环境风险分析</w:t>
      </w:r>
      <w:bookmarkEnd w:id="308"/>
      <w:bookmarkEnd w:id="309"/>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.1 评价依据</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（1）风险调查</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项目在生产过程中使用的原辅料主要为聚乙烯，根据《危险化学品重大危险源辨识》（GB18218-2018）</w:t>
      </w:r>
      <w:r>
        <w:rPr>
          <w:rFonts w:hint="default" w:ascii="Times New Roman" w:hAnsi="Times New Roman" w:eastAsia="宋体" w:cs="Times New Roman"/>
          <w:color w:val="auto"/>
          <w:sz w:val="24"/>
          <w:szCs w:val="24"/>
          <w:highlight w:val="none"/>
          <w:lang w:eastAsia="zh-CN"/>
        </w:rPr>
        <w:t>和</w:t>
      </w:r>
      <w:r>
        <w:rPr>
          <w:rFonts w:hint="default" w:ascii="Times New Roman" w:hAnsi="Times New Roman" w:eastAsia="宋体" w:cs="Times New Roman"/>
          <w:color w:val="auto"/>
          <w:sz w:val="24"/>
          <w:szCs w:val="24"/>
          <w:highlight w:val="none"/>
        </w:rPr>
        <w:t>《建设项目环境风险评价技术导则》（HJ169-2018）目录，该物质未被列入其中，故项目生产过程中未使用有毒物质，但为可燃物质。不属于《建设项目环境影响评价分类管理名录》中规定的需特殊保护地区、生态敏感与脆弱区及生活关注区。</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）风险潜势初判</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1）环境风险潜势划分</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根据《建设项目环境风险评价技术导则》（HJ169-2018），建设项目环境风险潜势划分为Ⅰ、Ⅱ、Ⅲ、Ⅳ/Ⅳ+级。</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根据建设项目涉及的物质和工艺系统的危险性及其所在地的环境敏感程度，结合事故情环境影响途径，对建设项目潜在环境危害程度进行概化分析，进而确定环境风险潜势，确定依据见表5.</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-1。</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-1  项目环境风险潜势划分依据一览表</w:t>
      </w:r>
    </w:p>
    <w:tbl>
      <w:tblPr>
        <w:tblStyle w:val="90"/>
        <w:tblW w:w="8260" w:type="dxa"/>
        <w:jc w:val="center"/>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1"/>
        <w:gridCol w:w="1563"/>
        <w:gridCol w:w="1785"/>
        <w:gridCol w:w="1728"/>
        <w:gridCol w:w="1843"/>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41" w:type="dxa"/>
            <w:vMerge w:val="restart"/>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环境敏感</w:t>
            </w:r>
          </w:p>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程度</w:t>
            </w:r>
          </w:p>
        </w:tc>
        <w:tc>
          <w:tcPr>
            <w:tcW w:w="6919" w:type="dxa"/>
            <w:gridSpan w:val="4"/>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危险物质及工艺系统危险性P</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41" w:type="dxa"/>
            <w:vMerge w:val="continue"/>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563"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极高危害（P1）</w:t>
            </w:r>
          </w:p>
        </w:tc>
        <w:tc>
          <w:tcPr>
            <w:tcW w:w="178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高度危害（P2）</w:t>
            </w:r>
          </w:p>
        </w:tc>
        <w:tc>
          <w:tcPr>
            <w:tcW w:w="1728"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中度危害（P3）</w:t>
            </w:r>
          </w:p>
        </w:tc>
        <w:tc>
          <w:tcPr>
            <w:tcW w:w="1843"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轻度危害（P4）</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41"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环境敏感区（E1）</w:t>
            </w:r>
          </w:p>
        </w:tc>
        <w:tc>
          <w:tcPr>
            <w:tcW w:w="1563"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w:t>
            </w:r>
          </w:p>
        </w:tc>
        <w:tc>
          <w:tcPr>
            <w:tcW w:w="178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Ⅳ</w:t>
            </w:r>
          </w:p>
        </w:tc>
        <w:tc>
          <w:tcPr>
            <w:tcW w:w="17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z w:val="21"/>
                <w:szCs w:val="21"/>
                <w:highlight w:val="none"/>
              </w:rPr>
              <w:t>Ⅲ</w:t>
            </w:r>
          </w:p>
        </w:tc>
        <w:tc>
          <w:tcPr>
            <w:tcW w:w="1843"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41"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环境敏感区（E2）</w:t>
            </w:r>
          </w:p>
        </w:tc>
        <w:tc>
          <w:tcPr>
            <w:tcW w:w="1563"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w:t>
            </w:r>
          </w:p>
        </w:tc>
        <w:tc>
          <w:tcPr>
            <w:tcW w:w="178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7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z w:val="21"/>
                <w:szCs w:val="21"/>
                <w:highlight w:val="none"/>
              </w:rPr>
              <w:t>Ⅲ</w:t>
            </w:r>
          </w:p>
        </w:tc>
        <w:tc>
          <w:tcPr>
            <w:tcW w:w="1843"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41"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环境敏感区（E3）</w:t>
            </w:r>
          </w:p>
        </w:tc>
        <w:tc>
          <w:tcPr>
            <w:tcW w:w="1563"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78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7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z w:val="21"/>
                <w:szCs w:val="21"/>
                <w:highlight w:val="none"/>
              </w:rPr>
              <w:t>Ⅱ</w:t>
            </w:r>
          </w:p>
        </w:tc>
        <w:tc>
          <w:tcPr>
            <w:tcW w:w="1843"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260" w:type="dxa"/>
            <w:gridSpan w:val="5"/>
            <w:tcBorders>
              <w:top w:val="single" w:color="auto" w:sz="4" w:space="0"/>
              <w:left w:val="single" w:color="auto" w:sz="4" w:space="0"/>
              <w:bottom w:val="single" w:color="auto" w:sz="4" w:space="0"/>
              <w:right w:val="single" w:color="auto" w:sz="4" w:space="0"/>
            </w:tcBorders>
            <w:vAlign w:val="center"/>
          </w:tcPr>
          <w:p>
            <w:pPr>
              <w:shd w:val="clea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w:t>
            </w:r>
            <w:r>
              <w:rPr>
                <w:rFonts w:hint="default" w:ascii="Times New Roman" w:hAnsi="Times New Roman" w:eastAsia="宋体" w:cs="Times New Roman"/>
                <w:color w:val="auto"/>
                <w:sz w:val="21"/>
                <w:szCs w:val="21"/>
                <w:highlight w:val="none"/>
                <w:lang w:eastAsia="zh-CN"/>
              </w:rPr>
              <w:t>Ⅳ</w:t>
            </w:r>
            <w:r>
              <w:rPr>
                <w:rFonts w:hint="default" w:ascii="Times New Roman" w:hAnsi="Times New Roman" w:eastAsia="宋体" w:cs="Times New Roman"/>
                <w:color w:val="auto"/>
                <w:sz w:val="21"/>
                <w:szCs w:val="21"/>
                <w:highlight w:val="none"/>
              </w:rPr>
              <w:t>+为极高环境风险</w:t>
            </w:r>
          </w:p>
        </w:tc>
      </w:tr>
    </w:tbl>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2）P的分级确定</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建设项目危险物质及工艺系统危险性（P）由危险物质数量与临界量比值（Q）和所属行业及生产工艺特点（M）确定。</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首先根据《建设项目环境风险评价技术导则》（HJ169-2018）附录C中“C.1.1危险物质数量与临界量比值”，计算本项目的危险物质数量与临界量比值，计算方法如下：</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计算所涉及的每种危险物质在厂界内的最大存在总量与其在附录B中对应临界量的比值Q，在不同厂区的同一种物质，按其在厂界内的最大存在总量计算。</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当只涉及一种危险物质时，计算该物质的总量与其临界量比值，即为Q；</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当存在多种危险物质时，则按下式计算物质总量与其临界量比值（Q）；</w:t>
      </w:r>
    </w:p>
    <w:p>
      <w:pPr>
        <w:shd w:val="clear"/>
        <w:adjustRightInd w:val="0"/>
        <w:snapToGrid w:val="0"/>
        <w:spacing w:line="36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41" o:spt="75" type="#_x0000_t75" style="height:41.3pt;width:128.95pt;" o:ole="t" filled="f" o:preferrelative="t" stroked="f" coordsize="21600,21600">
            <v:path/>
            <v:fill on="f" focussize="0,0"/>
            <v:stroke on="f" joinstyle="miter"/>
            <v:imagedata r:id="rId63" o:title=""/>
            <o:lock v:ext="edit" aspectratio="t"/>
            <w10:wrap type="none"/>
            <w10:anchorlock/>
          </v:shape>
          <o:OLEObject Type="Embed" ProgID="Equation.3" ShapeID="_x0000_i1041" DrawAspect="Content" ObjectID="_1468075741" r:id="rId62">
            <o:LockedField>false</o:LockedField>
          </o:OLEObject>
        </w:objec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式中：q1，q2，.....qn—每种危险物质的最大存在总量，t；</w:t>
      </w:r>
    </w:p>
    <w:p>
      <w:pPr>
        <w:shd w:val="clear"/>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Q1，Q2，........Qn—每种危险物质的临界量，t。</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当Q＜1时，该项目环境风险潜势为</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I</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当Q≥1时，将Q值划分为：（1）1≤Q＜10；（2）10≤Q＜100；（3）Q≥100。</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不涉及</w:t>
      </w:r>
      <w:r>
        <w:rPr>
          <w:rFonts w:hint="default" w:ascii="Times New Roman" w:hAnsi="Times New Roman" w:eastAsia="宋体" w:cs="Times New Roman"/>
          <w:color w:val="auto"/>
          <w:sz w:val="24"/>
          <w:szCs w:val="24"/>
          <w:highlight w:val="none"/>
        </w:rPr>
        <w:t>危险物质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，因此，该项目环境风险潜势为</w:t>
      </w:r>
      <w:r>
        <w:rPr>
          <w:rFonts w:hint="default" w:ascii="Times New Roman" w:hAnsi="Times New Roman" w:eastAsia="宋体" w:cs="Times New Roman"/>
          <w:color w:val="auto"/>
          <w:sz w:val="24"/>
          <w:szCs w:val="24"/>
          <w:highlight w:val="none"/>
          <w:lang w:eastAsia="zh-CN"/>
        </w:rPr>
        <w:t>Ⅰ</w:t>
      </w:r>
      <w:r>
        <w:rPr>
          <w:rFonts w:hint="default" w:ascii="Times New Roman" w:hAnsi="Times New Roman" w:eastAsia="宋体" w:cs="Times New Roman"/>
          <w:color w:val="auto"/>
          <w:sz w:val="24"/>
          <w:szCs w:val="24"/>
          <w:highlight w:val="none"/>
        </w:rPr>
        <w:t>。</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由于已确定风险潜势为</w:t>
      </w:r>
      <w:r>
        <w:rPr>
          <w:rFonts w:hint="default" w:ascii="Times New Roman" w:hAnsi="Times New Roman" w:eastAsia="宋体" w:cs="Times New Roman"/>
          <w:color w:val="auto"/>
          <w:sz w:val="24"/>
          <w:szCs w:val="24"/>
          <w:highlight w:val="none"/>
          <w:lang w:eastAsia="zh-CN"/>
        </w:rPr>
        <w:t>Ⅰ</w:t>
      </w:r>
      <w:r>
        <w:rPr>
          <w:rFonts w:hint="default" w:ascii="Times New Roman" w:hAnsi="Times New Roman" w:eastAsia="宋体" w:cs="Times New Roman"/>
          <w:color w:val="auto"/>
          <w:sz w:val="24"/>
          <w:szCs w:val="24"/>
          <w:highlight w:val="none"/>
        </w:rPr>
        <w:t>，因此，无需进行行业及生产工艺（M）及环境敏感度（E）的辨识，可直接确定环境风险评价等级。</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）评价等级</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169-2018）规定：“环境风险评价工作是依据建设项目涉及的物质及工艺系统危险性和所在地的环境敏感性确定环境风险潜势进行分级，环境影响评价工作等级划分为一级、二级、三级”，其具体分级判据见表5.</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-2。</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-2  项目环境影响评价等级判据一览表</w:t>
      </w:r>
    </w:p>
    <w:tbl>
      <w:tblPr>
        <w:tblStyle w:val="90"/>
        <w:tblW w:w="8260" w:type="dxa"/>
        <w:jc w:val="center"/>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5"/>
        <w:gridCol w:w="1121"/>
        <w:gridCol w:w="1784"/>
        <w:gridCol w:w="1727"/>
        <w:gridCol w:w="1843"/>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7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环境风险潜势</w:t>
            </w:r>
          </w:p>
        </w:tc>
        <w:tc>
          <w:tcPr>
            <w:tcW w:w="1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Ⅳ</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eastAsia="zh-CN"/>
              </w:rPr>
              <w:t>Ⅳ</w:t>
            </w:r>
            <w:r>
              <w:rPr>
                <w:rFonts w:hint="default" w:ascii="Times New Roman" w:hAnsi="Times New Roman" w:eastAsia="宋体" w:cs="Times New Roman"/>
                <w:color w:val="auto"/>
                <w:szCs w:val="21"/>
                <w:highlight w:val="none"/>
              </w:rPr>
              <w:t>+</w:t>
            </w:r>
          </w:p>
        </w:tc>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Ⅲ</w:t>
            </w:r>
          </w:p>
        </w:tc>
        <w:tc>
          <w:tcPr>
            <w:tcW w:w="1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6"/>
                <w:szCs w:val="21"/>
                <w:highlight w:val="none"/>
                <w:lang w:eastAsia="zh-CN"/>
              </w:rPr>
            </w:pPr>
            <w:r>
              <w:rPr>
                <w:rFonts w:hint="default" w:ascii="Times New Roman" w:hAnsi="Times New Roman" w:eastAsia="宋体" w:cs="Times New Roman"/>
                <w:color w:val="auto"/>
                <w:szCs w:val="21"/>
                <w:highlight w:val="none"/>
                <w:lang w:eastAsia="zh-CN"/>
              </w:rPr>
              <w:t>Ⅱ</w:t>
            </w: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Ⅰ</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7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环境风险评价等级</w:t>
            </w:r>
          </w:p>
        </w:tc>
        <w:tc>
          <w:tcPr>
            <w:tcW w:w="1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w:t>
            </w:r>
          </w:p>
        </w:tc>
        <w:tc>
          <w:tcPr>
            <w:tcW w:w="17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p>
        </w:tc>
        <w:tc>
          <w:tcPr>
            <w:tcW w:w="1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6"/>
                <w:szCs w:val="21"/>
                <w:highlight w:val="none"/>
              </w:rPr>
            </w:pPr>
            <w:r>
              <w:rPr>
                <w:rFonts w:hint="default" w:ascii="Times New Roman" w:hAnsi="Times New Roman" w:eastAsia="宋体" w:cs="Times New Roman"/>
                <w:color w:val="auto"/>
                <w:spacing w:val="-6"/>
                <w:szCs w:val="21"/>
                <w:highlight w:val="none"/>
              </w:rPr>
              <w:t>三</w:t>
            </w:r>
          </w:p>
        </w:tc>
        <w:tc>
          <w:tcPr>
            <w:tcW w:w="18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简单分析</w:t>
            </w:r>
          </w:p>
        </w:tc>
      </w:tr>
    </w:tbl>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根据表5.</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-2分析结果显示，本项目的环境风险潜势为</w:t>
      </w:r>
      <w:r>
        <w:rPr>
          <w:rFonts w:hint="default" w:ascii="Times New Roman" w:hAnsi="Times New Roman" w:eastAsia="宋体" w:cs="Times New Roman"/>
          <w:color w:val="auto"/>
          <w:sz w:val="24"/>
          <w:highlight w:val="none"/>
          <w:lang w:eastAsia="zh-CN"/>
        </w:rPr>
        <w:t>Ⅰ</w:t>
      </w:r>
      <w:r>
        <w:rPr>
          <w:rFonts w:hint="default" w:ascii="Times New Roman" w:hAnsi="Times New Roman" w:eastAsia="宋体" w:cs="Times New Roman"/>
          <w:color w:val="auto"/>
          <w:sz w:val="24"/>
          <w:highlight w:val="none"/>
        </w:rPr>
        <w:t>级，本项目仅进行简单分析，对项目危险物质、环境影响途径、环境危害后果、风险防范措施等方面给出定性说明。</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.2 环境</w:t>
      </w:r>
      <w:r>
        <w:rPr>
          <w:rFonts w:hint="default" w:ascii="Times New Roman" w:hAnsi="Times New Roman" w:eastAsia="宋体" w:cs="Times New Roman"/>
          <w:color w:val="auto"/>
          <w:lang w:val="en-US" w:eastAsia="zh-CN"/>
        </w:rPr>
        <w:t>保护</w:t>
      </w:r>
      <w:r>
        <w:rPr>
          <w:rFonts w:hint="default" w:ascii="Times New Roman" w:hAnsi="Times New Roman" w:eastAsia="宋体" w:cs="Times New Roman"/>
          <w:color w:val="auto"/>
        </w:rPr>
        <w:t>目标</w:t>
      </w:r>
    </w:p>
    <w:p>
      <w:pPr>
        <w:shd w:val="clea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（1）大气环境风险评价范围</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本项目风险评价等级定为简单分析，无需设置大气环境风险评价范围。</w:t>
      </w:r>
    </w:p>
    <w:p>
      <w:pPr>
        <w:shd w:val="clear"/>
        <w:spacing w:line="360" w:lineRule="auto"/>
        <w:ind w:firstLine="482"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（2）地表水环境风险评价范围</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参照《环境影响评价技术导则 地表水环境》（HJ2.3-2018）确定，本项目地表水评价等级为三级B，不需设置地表水评价范围，因此，本项目无需设置地表水环境风险评价范围。</w:t>
      </w:r>
    </w:p>
    <w:p>
      <w:pPr>
        <w:shd w:val="clear"/>
        <w:spacing w:line="360" w:lineRule="auto"/>
        <w:ind w:firstLine="482"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（3）地下水环境风险评价范围</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参照《环境影响评价技术导则.地下水环境》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HJ610-2016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确定，本项目地下水环境影响评价范围为以本项目场址为中心，周围6km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区域内的地下水环境作为地下水保护目标。</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.3环境风险识别</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（1）物质识别</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项目在生产过程中使用的原辅材料主要为聚乙烯，根据《危险化学品重大危险源辨识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GB18218-2018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》目录，该物质未被列入其中。</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）环境风险识别</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1）运输过程风险分析</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在营运过程中所购买的原辅材料在运输到工厂的过程中，存在交通事故风险。如发生交通事故，废塑料散落到水体、公路上，若不能及时回收，将造成一定的环境污染。另外，如果由于交通事故而造成起火，将对大气环境造成污染，废塑料燃烧产生的高温、烟尘和有机废气也会对人畜和环境造成较大影响。</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2）储存过程风险分析</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项目原料基本不贮存，仅少量临时堆放在</w:t>
      </w:r>
      <w:r>
        <w:rPr>
          <w:rFonts w:hint="default" w:ascii="Times New Roman" w:hAnsi="Times New Roman" w:eastAsia="宋体" w:cs="Times New Roman"/>
          <w:color w:val="auto"/>
          <w:sz w:val="24"/>
          <w:highlight w:val="none"/>
          <w:lang w:eastAsia="zh-CN"/>
        </w:rPr>
        <w:t>原材料库</w:t>
      </w:r>
      <w:r>
        <w:rPr>
          <w:rFonts w:hint="default" w:ascii="Times New Roman" w:hAnsi="Times New Roman" w:eastAsia="宋体" w:cs="Times New Roman"/>
          <w:color w:val="auto"/>
          <w:sz w:val="24"/>
          <w:highlight w:val="none"/>
        </w:rPr>
        <w:t>，储存量不大。塑料燃烧特性如表5.</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-3所示。</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-3   塑料燃烧特性鉴别</w:t>
      </w:r>
    </w:p>
    <w:tbl>
      <w:tblPr>
        <w:tblStyle w:val="90"/>
        <w:tblW w:w="826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688"/>
        <w:gridCol w:w="1511"/>
        <w:gridCol w:w="1786"/>
        <w:gridCol w:w="1373"/>
        <w:gridCol w:w="156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1" w:type="dxa"/>
            <w:tcBorders>
              <w:top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塑料名称</w:t>
            </w:r>
          </w:p>
        </w:tc>
        <w:tc>
          <w:tcPr>
            <w:tcW w:w="688" w:type="dxa"/>
            <w:tcBorders>
              <w:top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燃烧难易</w:t>
            </w:r>
          </w:p>
        </w:tc>
        <w:tc>
          <w:tcPr>
            <w:tcW w:w="1511" w:type="dxa"/>
            <w:tcBorders>
              <w:top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高火后是否自熄</w:t>
            </w:r>
          </w:p>
        </w:tc>
        <w:tc>
          <w:tcPr>
            <w:tcW w:w="1786" w:type="dxa"/>
            <w:tcBorders>
              <w:top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火焰状态</w:t>
            </w:r>
          </w:p>
        </w:tc>
        <w:tc>
          <w:tcPr>
            <w:tcW w:w="1373" w:type="dxa"/>
            <w:tcBorders>
              <w:top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塑料变化状态</w:t>
            </w:r>
          </w:p>
        </w:tc>
        <w:tc>
          <w:tcPr>
            <w:tcW w:w="1561" w:type="dxa"/>
            <w:tcBorders>
              <w:top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气味</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1" w:type="dxa"/>
            <w:tcBorders>
              <w:bottom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聚乙烯</w:t>
            </w:r>
          </w:p>
        </w:tc>
        <w:tc>
          <w:tcPr>
            <w:tcW w:w="688" w:type="dxa"/>
            <w:tcBorders>
              <w:bottom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可燃</w:t>
            </w:r>
          </w:p>
        </w:tc>
        <w:tc>
          <w:tcPr>
            <w:tcW w:w="1511" w:type="dxa"/>
            <w:tcBorders>
              <w:bottom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继续燃烧</w:t>
            </w:r>
          </w:p>
        </w:tc>
        <w:tc>
          <w:tcPr>
            <w:tcW w:w="1786" w:type="dxa"/>
            <w:tcBorders>
              <w:bottom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上端黄色，下端蓝色</w:t>
            </w:r>
          </w:p>
        </w:tc>
        <w:tc>
          <w:tcPr>
            <w:tcW w:w="1373" w:type="dxa"/>
            <w:tcBorders>
              <w:bottom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熔融滴落</w:t>
            </w:r>
          </w:p>
        </w:tc>
        <w:tc>
          <w:tcPr>
            <w:tcW w:w="1561" w:type="dxa"/>
            <w:tcBorders>
              <w:bottom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石蜡燃烧的气味</w:t>
            </w:r>
          </w:p>
        </w:tc>
      </w:tr>
    </w:tbl>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可见，本项目储存的塑料原料和产品均为可燃塑料，原料棚和产品区存放塑料最大量分别为</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00t和250t，故报告对于贮存过程中的风险分析如下：</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塑料、再生塑料颗粒、产品的贮存过程在正常情况下的环境风险很小，但堆存时遇热源，塑料会因受到外来的热量且相互传热，而分解出可燃性有机气体，对周围大气环境造成一定程度的污染。如果贮存过程管理不善，与空气中的氧气相混合而着火，有可能发生火灾事故，塑料燃烧产生的高温、烟尘和有机废气对人畜和环境造成较大危害。</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）生产过程中风险分析</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方在生产操作过程中必须加强安全管理，提高事故防范措施。突发性污染事故，特别是废气处理设施发生故障将对事故现场人员的生命和健康造成严重危害，此外还将造成巨大的经济损失，以及社会不安定因素，同时对生态环境也会造成严重的破坏。因此，做好突发性环境污染事故的预防，提高对突发性污染事故的应急处理和处置能力，对企业具有重要的意义。</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发生突发性污染事故的诱发因素很多，其中被认为重要的因素有：</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设计上存在缺陷；</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设备质量差，或过度超时、超负荷运转；</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3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管理或指挥失误；</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4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违章操作；</w:t>
      </w:r>
    </w:p>
    <w:p>
      <w:pPr>
        <w:shd w:val="clea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5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rPr>
        <w:t>⑤</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废气处理设施出现故障或是长时间没有经过整修清理。</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对突发性污染事故的防治对策，应从以上几点严格控制和管理，加强事故措施和事故应急处理的技能，懂得紧急救援的知识。将“预防为主，安全第一”的理念作为减少事故发生、降低污染事故损害的主要保障。</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）环境危害</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本项目可能发生的事故风险类型有以下几种。</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1）火灾</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塑料生产车间、仓库等设施内存放的可燃塑料制品，如果遇到火源容易发生火灾事故。发生火灾事故原因主要为：可燃原辅料贮运和使用过程中管理不严、人员操作不当等。</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2）环境污染及人员伤害</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如果发生火灾事故，部分原辅料在火灾过程中会产生有毒有害的气体，造成次生污染，从而对周围环境空气造成污染以及人员健康造成伤害。</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生产过程中主要的潜在事故风险为火灾危险，一旦发生意外事故将造成对人员、财产、环境的危害。当发生火灾事故时，在发生事故地点较近的范围内将受到严重影响和破坏，存在人员伤亡的可能性。火灾事故一方面可能对财产造成损失，对人员可能有伤害，另一方面事故引发的其它物质的燃烧会产生大量的有毒有害烟雾。随着气流飘散至周边区域，使区域的大气环境质量急剧恶化，发生大气环境污染事故。</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.4环境风险分析</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）源项分析</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述风险识别和事故分析结果表明，本项目主要风险事故为原材料和产品在贮运和使用过程中因操作不当引起火灾事故。本项目营运过程中，厂区堆放存储的塑料量较大，聚乙烯为可燃物质。因此，本次评价火灾事故的假定为聚乙烯燃烧后造成火灾事故。</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）火灾事故后果分析</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生产过程中使用的聚乙烯塑料，当遇见明火或高温时易发生火灾事故。火灾会带来生产设施的重大破坏和人员伤亡，火灾时在起火后火势逐渐蔓延扩大，随着时间的延续，损失数量迅速增长，损失大约与时间的平方成正比，如火灾时间延长一倍，损失可能增加4倍。同时，在火灾过程中，塑料的燃烧会产生有毒有害的气体，造成次生污染，从而对周围环境空气造成污染以及人员健康造成伤害。</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）燃烧释放有毒气体对环境的影响分析</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1）燃烧释放有毒气体分析</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火灾条件下，任何塑料燃烧都会产生有毒气体，其有毒成分主要是一氧化碳。但是化学成分不同的塑料燃烧时产生的有毒气体种类不同：以碳、氢或碳、氢、氧为主要组成元素的塑料燃烧产生的有毒气体是一氧化碳，在火势猛烈时，这种气体最具危险性；含氮的塑料，如三聚氰胺甲醛和聚氨酯等，燃烧时能产生一氧化碳、氧化氮和氰化氢，这种混合气体毒性极大；含氯的塑料，如聚氯乙烯，在火焰中或过分加热会产生氯化氢，达到一定浓度时会致人死亡；含氟的塑料，如聚四氟乙烯，在火灾中或过分受热会产生氟化氢气体，该气体具有腐蚀性、毒性。本项目营运过程中使用原辅材料中，塑料类型主要有PE。有研究表明，PE燃烧时主要的大气污染物为CO，其具体的大气污染物产物如表5.</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4所示。</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-4   塑料意外燃烧排放的污染物</w:t>
      </w:r>
    </w:p>
    <w:tbl>
      <w:tblPr>
        <w:tblStyle w:val="90"/>
        <w:tblW w:w="826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924"/>
        <w:gridCol w:w="3699"/>
        <w:gridCol w:w="156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op w:val="single" w:color="auto" w:sz="4" w:space="0"/>
            </w:tcBorders>
            <w:vAlign w:val="center"/>
          </w:tcPr>
          <w:p>
            <w:pPr>
              <w:shd w:val="clea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1924" w:type="dxa"/>
            <w:tcBorders>
              <w:top w:val="single" w:color="auto" w:sz="4" w:space="0"/>
            </w:tcBorders>
            <w:vAlign w:val="center"/>
          </w:tcPr>
          <w:p>
            <w:pPr>
              <w:shd w:val="clea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塑料种类</w:t>
            </w:r>
          </w:p>
        </w:tc>
        <w:tc>
          <w:tcPr>
            <w:tcW w:w="3699" w:type="dxa"/>
            <w:tcBorders>
              <w:top w:val="single" w:color="auto" w:sz="4" w:space="0"/>
            </w:tcBorders>
            <w:vAlign w:val="center"/>
          </w:tcPr>
          <w:p>
            <w:pPr>
              <w:shd w:val="clea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燃烧的主要产物</w:t>
            </w:r>
          </w:p>
        </w:tc>
        <w:tc>
          <w:tcPr>
            <w:tcW w:w="1564" w:type="dxa"/>
            <w:tcBorders>
              <w:top w:val="single" w:color="auto" w:sz="4" w:space="0"/>
            </w:tcBorders>
            <w:vAlign w:val="center"/>
          </w:tcPr>
          <w:p>
            <w:pPr>
              <w:shd w:val="clea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风险类型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bottom w:val="single" w:color="auto" w:sz="4" w:space="0"/>
            </w:tcBorders>
            <w:vAlign w:val="center"/>
          </w:tcPr>
          <w:p>
            <w:pPr>
              <w:shd w:val="clea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924" w:type="dxa"/>
            <w:tcBorders>
              <w:bottom w:val="single" w:color="auto" w:sz="4" w:space="0"/>
            </w:tcBorders>
            <w:vAlign w:val="center"/>
          </w:tcPr>
          <w:p>
            <w:pPr>
              <w:shd w:val="clea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聚乙烯</w:t>
            </w:r>
          </w:p>
        </w:tc>
        <w:tc>
          <w:tcPr>
            <w:tcW w:w="3699" w:type="dxa"/>
            <w:tcBorders>
              <w:bottom w:val="single" w:color="auto" w:sz="4" w:space="0"/>
            </w:tcBorders>
            <w:vAlign w:val="center"/>
          </w:tcPr>
          <w:p>
            <w:pPr>
              <w:shd w:val="clea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CO、CO</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、C3～C5的醛类</w:t>
            </w:r>
          </w:p>
        </w:tc>
        <w:tc>
          <w:tcPr>
            <w:tcW w:w="1564" w:type="dxa"/>
            <w:tcBorders>
              <w:bottom w:val="single" w:color="auto" w:sz="4" w:space="0"/>
            </w:tcBorders>
            <w:vAlign w:val="center"/>
          </w:tcPr>
          <w:p>
            <w:pPr>
              <w:shd w:val="clea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中毒</w:t>
            </w:r>
          </w:p>
        </w:tc>
      </w:tr>
    </w:tbl>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2）有毒气体对环境的影响分析</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发生火灾对环境的污染影响主要来自原辅材料及成品燃烧释放的大量的有害气体，由于燃烧产生的有害气体释放量难以定量，本次评价主要定性分析火灾发生时产生的有害气体对周围环境的影响。在正常情况下，空气的组成主要有氮气、氧气、氩气、二氧化碳及氢、氖、臭氧、氪、氙和尘等，而火灾所产生烟雾的成分主要为二氧化碳和水蒸汽，这两种物质约占所有烟雾的90%〜95%；另外还有乙烯、一氧化碳、碳氢化合物及微粒物质等，约占5%〜10%，对环境和人体健康产生较大危害是 CO、烟尘等有害物质。</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一氧化碳产生量相对较大，危害也较大，一氧化碳的浓度过高或持续时间过长都会使人室息或死亡。一般情况下，火场附近的一氧化碳的浓度较高</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浓度可达0.02%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，而距火场30m处，一氧化碳的浓度逐渐降低</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0.001%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。因此，近距离靠近火场会有造成一氧化碳中毒的危险。据以往报道，在火灾而造成的人员死亡中，3/4的人死于有害气体，而且有害气体中一氧化碳是主要的有毒物质。</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有毒的烟气能在极端的时间内快速进入密闭空间，可以使人窒息死亡。CO的LC50（大鼠吸入4h）为2069mg/m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（来源于《危险化学品安全技术全书》，化学工业出版社），IDLH的浓度为1500mg/m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（1200ppm）（来源于美国疾控中心网站的最新数据http://www.cdc.gov/niosh/idlh/intridl4.html）。</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塑料燃烧时产生的烟气中含有大量的CO，CO随空气进入人体后，经肺泡进入血液循环，能与血液中红细胞里的血红蛋白、血液外的肌红蛋白和含二价铁的细胞呼吸酶等形成可逆性结合。高浓度CO可引起急性中毒，中毒者常出现脉弱、呼吸变慢等症状，最后衰竭致死；慢性CO中毒会出现头痛，头晕、记忆力降低等神经衰弱症状。燃烧事故发生后，对近距离目标影响较大，且危害程度也大，随着时间的推移，逐渐对远处产生影响，但危害程度逐渐减小。</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空气中含有大量的氮气，无论对植物还是对人类均没有危害作用。当空气中的氮 被转化成氮氧化物和氮氢化物</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如二氧化氮、一氧化氮、氨气等</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时，其危害作用显著增加。二氧化氮具有强烈的刺激性，能引起哮喘、支气管炎、肺水肿等多种疾病。当空气中二氧化氮浓度达 0.05%时，就会使人致死。在火场之外的幵阔的空间内，由于烟雾扩散，二氧化氮的浓度被迅速稀释，不会对人体健康造成危害。</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烟尘是燃烧的主要排放物，烟尘对空气污染的影响主要取决于颗粒的大小，颗粒越小危害越大。烟尘对人体的影响主要体现在吸入效应上。烟尘微粒可吸附有害气体，引起人的呼吸疾病。在火场之外的空间内，由于新鲜空气与烟雾之间的对流，烟的浓度被稀释，对人体的伤害较小。</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因此，火灾发生时将不可避免的对厂区内人员安全与生产设施产生不利影响。</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.5 环境风险防范措施及应急要求</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针对本项目可能产生的风险事故隐患，本项目应考虑采取一系列防范措施，为进一步减少风险事故可能产生的环境影响，建议在采取预防措施基础上加强以下风险防范和管理措施。</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根据国家环保部的相关要求，通过对污染事故的风险评价，各有关企业单位应加强安全生产管理，制订重大环境事故发生的应急工作计划，消除事故隐患的实施及突发性事故应急办法等。</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围绕危险物质的运输、储存及使用过程存在风险进行管理，具体措施有：</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1）运输过程的风险减缓措施</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加大宣传力度和提出要求，在运输废塑料至项目区过程应包装牢固并压制打捆。在输送环节上尽可能的减少人为的不安全行为，如不遵守交通规则，误操作等。最大程度减少交通事导致废塑料散落或引起火灾的可能。</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2）储存、使用过程的风险减缓措施</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对储存过程的环境风险进行了一系列的管理，具体如下：①塑料原料应封闭堆存，贮放设置明显标志。②对各类塑料按计划采购、分期分批入库，严格控制贮存量。③对各类火种、火源和有散发火花危险的机械设备、作业活动，以及可燃物品的控制和管理。④实行安全检查制度，各类安全设施、消防器材，进行各种日常的、定期的、专业的防火安全检查，并将发现的问题定人、限期落实整改。⑤制定各种操作规范，加强监督管理，严格看管检查制度，避免事故的发生。⑥制定、落实事故风险应急预案和环境监测计划。</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3）有毒气体的防范措施</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①加强安全教育培训和宣传：塑料燃烧产生各种毒害气体，企业应加强对从业人员的专题教育，进一步提高企业管理者、操作人员的安全意识防范知识和应急救援的水平。</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加大安全生产的投入：在强化安全教育、提高安全意识的同时，企业必须加大安全生产的投入。一是在可能产生有毒气体的场所设置报警仪；二是采取通风、检测等安全措施；三是为操作人员配备呼吸器、救护带、有害气体检测仪器等安全设备。</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建立健全有毒气体中毒事故应急救援预案：塑料燃烧可能产生各种有毒气体中毒事故，企业应建立健全有毒气体中毒等事故专项应急救援预案，确认可能发生有毒气体中毒事故的场所，要落实针对性的应急救援组织、救援人员、救援器材。企业应根据实际情况，不断充实和完善应急预案的各项措施，并定期组织演练。</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4）消防废水防范措施</w:t>
      </w:r>
    </w:p>
    <w:p>
      <w:pPr>
        <w:shd w:val="clear"/>
        <w:spacing w:line="360" w:lineRule="auto"/>
        <w:ind w:firstLine="482"/>
        <w:rPr>
          <w:rFonts w:hint="default" w:ascii="Times New Roman" w:hAnsi="Times New Roman" w:eastAsia="宋体" w:cs="Times New Roman"/>
          <w:color w:val="auto"/>
          <w:sz w:val="30"/>
          <w:highlight w:val="none"/>
        </w:rPr>
      </w:pPr>
      <w:r>
        <w:rPr>
          <w:rFonts w:hint="default" w:ascii="Times New Roman" w:hAnsi="Times New Roman" w:eastAsia="宋体" w:cs="Times New Roman"/>
          <w:color w:val="auto"/>
          <w:sz w:val="24"/>
          <w:highlight w:val="none"/>
        </w:rPr>
        <w:t>厂区消防水采用独立稳定的消防供水系统，并配备有消防栓及固定式泡沫灭火器材。由于本项目事故排放废水主要为SS，因事故等产生的事故废水、消防废水产生后直接排放，基本不会对项目所在区域地表水环境质量产生污染影响。</w:t>
      </w:r>
      <w:r>
        <w:rPr>
          <w:rStyle w:val="104"/>
          <w:rFonts w:hint="default" w:ascii="Times New Roman" w:hAnsi="Times New Roman" w:eastAsia="宋体" w:cs="Times New Roman"/>
          <w:color w:val="auto"/>
          <w:lang w:val="en-US" w:eastAsia="zh-CN"/>
        </w:rPr>
        <w:t>5.8.6 风险评价结论</w:t>
      </w:r>
    </w:p>
    <w:p>
      <w:pPr>
        <w:shd w:val="clea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分析结果，该项目生产中使用的PE为可燃物质。虽然危害性较小，但仍具有潜在的危险性，主要的环境风险主要为火灾，风险评价等级确定为简单分析。建设单位在建设过程中应落实本项目提出的风险防范对策措施，并编制应急预案，并定期演练，确保防范措施的运行。在落实风险防范对策措施、作好应急预案后，本项目的风险处于可接受水平。</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表5.</w:t>
      </w:r>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 xml:space="preserve">  建设项目环境风险简单分析内容表</w:t>
      </w:r>
    </w:p>
    <w:tbl>
      <w:tblPr>
        <w:tblStyle w:val="403"/>
        <w:tblW w:w="826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4"/>
        <w:gridCol w:w="998"/>
        <w:gridCol w:w="187"/>
        <w:gridCol w:w="1231"/>
        <w:gridCol w:w="514"/>
        <w:gridCol w:w="708"/>
        <w:gridCol w:w="563"/>
        <w:gridCol w:w="656"/>
        <w:gridCol w:w="122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4" w:type="dxa"/>
            <w:tcBorders>
              <w:top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建设项目名称</w:t>
            </w:r>
          </w:p>
        </w:tc>
        <w:tc>
          <w:tcPr>
            <w:tcW w:w="6086" w:type="dxa"/>
            <w:gridSpan w:val="8"/>
            <w:tcBorders>
              <w:top w:val="single" w:color="auto" w:sz="4" w:space="0"/>
            </w:tcBorders>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内蒙古华伟泽农业有限公司高新滴灌带（管）、PE管材管件、地膜、再生资源回收利用建设项目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4" w:type="dxa"/>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建设地点</w:t>
            </w:r>
          </w:p>
        </w:tc>
        <w:tc>
          <w:tcPr>
            <w:tcW w:w="1185" w:type="dxa"/>
            <w:gridSpan w:val="2"/>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内蒙古自治区</w:t>
            </w:r>
          </w:p>
        </w:tc>
        <w:tc>
          <w:tcPr>
            <w:tcW w:w="1231" w:type="dxa"/>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（巴彦淖尔）市</w:t>
            </w:r>
          </w:p>
        </w:tc>
        <w:tc>
          <w:tcPr>
            <w:tcW w:w="1222" w:type="dxa"/>
            <w:gridSpan w:val="2"/>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（/）区</w:t>
            </w:r>
          </w:p>
        </w:tc>
        <w:tc>
          <w:tcPr>
            <w:tcW w:w="1219" w:type="dxa"/>
            <w:gridSpan w:val="2"/>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（乌拉特前旗）县</w:t>
            </w:r>
          </w:p>
        </w:tc>
        <w:tc>
          <w:tcPr>
            <w:tcW w:w="1229" w:type="dxa"/>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4" w:type="dxa"/>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地理坐标</w:t>
            </w:r>
          </w:p>
        </w:tc>
        <w:tc>
          <w:tcPr>
            <w:tcW w:w="998" w:type="dxa"/>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经度</w:t>
            </w:r>
          </w:p>
        </w:tc>
        <w:tc>
          <w:tcPr>
            <w:tcW w:w="1932" w:type="dxa"/>
            <w:gridSpan w:val="3"/>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108°54'46.66"</w:t>
            </w:r>
          </w:p>
        </w:tc>
        <w:tc>
          <w:tcPr>
            <w:tcW w:w="1271" w:type="dxa"/>
            <w:gridSpan w:val="2"/>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纬度</w:t>
            </w:r>
          </w:p>
        </w:tc>
        <w:tc>
          <w:tcPr>
            <w:tcW w:w="1885" w:type="dxa"/>
            <w:gridSpan w:val="2"/>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40°51'25.55"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4" w:type="dxa"/>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主要危险物质及分布</w:t>
            </w:r>
          </w:p>
        </w:tc>
        <w:tc>
          <w:tcPr>
            <w:tcW w:w="6086" w:type="dxa"/>
            <w:gridSpan w:val="8"/>
            <w:vAlign w:val="center"/>
          </w:tcPr>
          <w:p>
            <w:pPr>
              <w:shd w:val="clear"/>
              <w:adjustRightInd w:val="0"/>
              <w:snapToGrid w:val="0"/>
              <w:spacing w:line="240" w:lineRule="auto"/>
              <w:ind w:firstLine="4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聚乙烯，</w:t>
            </w:r>
            <w:r>
              <w:rPr>
                <w:rFonts w:hint="default" w:ascii="Times New Roman" w:hAnsi="Times New Roman" w:eastAsia="宋体" w:cs="Times New Roman"/>
                <w:color w:val="auto"/>
                <w:szCs w:val="21"/>
                <w:highlight w:val="none"/>
                <w:lang w:eastAsia="zh-CN"/>
              </w:rPr>
              <w:t>储存于</w:t>
            </w:r>
            <w:r>
              <w:rPr>
                <w:rFonts w:hint="default" w:ascii="Times New Roman" w:hAnsi="Times New Roman" w:eastAsia="宋体" w:cs="Times New Roman"/>
                <w:color w:val="auto"/>
                <w:szCs w:val="21"/>
                <w:highlight w:val="none"/>
              </w:rPr>
              <w:t>原材料库</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4" w:type="dxa"/>
            <w:vAlign w:val="center"/>
          </w:tcPr>
          <w:p>
            <w:pPr>
              <w:shd w:val="clea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环境影响途径及危害后果（大气、地表水、地下水等）</w:t>
            </w:r>
          </w:p>
        </w:tc>
        <w:tc>
          <w:tcPr>
            <w:tcW w:w="6086" w:type="dxa"/>
            <w:gridSpan w:val="8"/>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（1）大气</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聚乙烯遇火发生火灾，急剧燃烧所需的供氧量不足，属于典型的不完全燃烧，会因不完全燃烧产生CO，使局部环境空气中CO浓度猛增，造成空气污染，对附近居民健康造成不利影响。</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（2）地表水</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火灾发生后，灭火产生的消防废水会携带一定量的有害物质。若事故废水不能及时得到有效收集和处置，将可能随雨水排入附近地表水体，对地表水水质造成污染。</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4" w:type="dxa"/>
            <w:vAlign w:val="center"/>
          </w:tcPr>
          <w:p>
            <w:pPr>
              <w:shd w:val="clear"/>
              <w:adjustRightInd w:val="0"/>
              <w:snapToGrid w:val="0"/>
              <w:spacing w:line="240" w:lineRule="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风险防范措施要求</w:t>
            </w:r>
          </w:p>
        </w:tc>
        <w:tc>
          <w:tcPr>
            <w:tcW w:w="6086" w:type="dxa"/>
            <w:gridSpan w:val="8"/>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（1）运输过程的风险减缓措施</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建设单位加大宣传力度和提出要求，在运输废塑料至项目区过程应包装牢固并压制打捆。在输送环节上尽可能的减少人为的不安全行为，如不遵守交通规则，误操作等。最大程度减少交通事导致废塑料散落或引起火灾的可能。</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（2）储存、使用过程的风险减缓措施</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本项目对储存过程的环境风险进行了一系列的管理，具体如下：①塑料原料应封闭堆存，贮放设置明显标志。②对各类塑料按计划采购、分期分批入库，严格控制贮存量。③对各类火种、火源和有散发火花危险的机械设备、作业活动，以及可燃物品的控制和管理。④实行安全检查制度，各类安全设施、消防器材，进行各种日常的、定期的、专业的防火安全检查，并将发现的问题定人、限期落实整改。⑤制定各种操作规范，加强监督管理，严格看管检查制度，避免事故的发生。⑥制定、落实事故风险应急预案和环境监测计划。</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（3）生产装置区及储存区风险防范措施</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①加强防火防爆；②配备完善的消防措施；③加强安全管理</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（4）有毒气体的防范措施</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iCs/>
                <w:color w:val="auto"/>
                <w:szCs w:val="21"/>
                <w:highlight w:val="none"/>
              </w:rPr>
            </w:pPr>
            <w:r>
              <w:rPr>
                <w:rFonts w:hint="default" w:ascii="Times New Roman" w:hAnsi="Times New Roman" w:eastAsia="宋体" w:cs="Times New Roman"/>
                <w:iCs/>
                <w:color w:val="auto"/>
                <w:szCs w:val="21"/>
                <w:highlight w:val="none"/>
              </w:rPr>
              <w:t>①加强安全教育培训和宣传；②加大安全生产的投入；③建立健全有毒气体中毒事故应急救援预案。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0" w:type="dxa"/>
            <w:gridSpan w:val="9"/>
            <w:tcBorders>
              <w:bottom w:val="single" w:color="auto" w:sz="4" w:space="0"/>
            </w:tcBorders>
            <w:vAlign w:val="center"/>
          </w:tcPr>
          <w:p>
            <w:pPr>
              <w:shd w:val="clear"/>
              <w:adjustRightInd w:val="0"/>
              <w:snapToGrid w:val="0"/>
              <w:spacing w:line="240" w:lineRule="auto"/>
              <w:ind w:firstLine="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填表说明（列出项目相关信息及评价说明）</w:t>
            </w:r>
          </w:p>
          <w:p>
            <w:pPr>
              <w:shd w:val="clear"/>
              <w:adjustRightInd w:val="0"/>
              <w:snapToGrid w:val="0"/>
              <w:spacing w:line="240" w:lineRule="auto"/>
              <w:rPr>
                <w:rFonts w:hint="default" w:ascii="Times New Roman" w:hAnsi="Times New Roman" w:eastAsia="宋体" w:cs="Times New Roman"/>
                <w:color w:val="auto"/>
                <w:szCs w:val="21"/>
                <w:highlight w:val="none"/>
              </w:rPr>
            </w:pPr>
          </w:p>
        </w:tc>
      </w:tr>
    </w:tbl>
    <w:p>
      <w:pPr>
        <w:shd w:val="clear"/>
        <w:spacing w:line="360" w:lineRule="auto"/>
        <w:ind w:firstLine="482"/>
        <w:rPr>
          <w:rFonts w:hint="default" w:ascii="Times New Roman" w:hAnsi="Times New Roman" w:eastAsia="宋体" w:cs="Times New Roman"/>
          <w:color w:val="auto"/>
          <w:sz w:val="24"/>
          <w:highlight w:val="none"/>
        </w:rPr>
      </w:pPr>
    </w:p>
    <w:p>
      <w:pPr>
        <w:pStyle w:val="4"/>
        <w:keepNext w:val="0"/>
        <w:pageBreakBefore/>
        <w:shd w:val="clear"/>
        <w:spacing w:before="120" w:after="120" w:line="360" w:lineRule="auto"/>
        <w:rPr>
          <w:rFonts w:hint="default" w:ascii="Times New Roman" w:hAnsi="Times New Roman" w:eastAsia="宋体" w:cs="Times New Roman"/>
          <w:color w:val="auto"/>
          <w:szCs w:val="28"/>
          <w:highlight w:val="none"/>
        </w:rPr>
      </w:pPr>
      <w:bookmarkStart w:id="310" w:name="_Toc85339407"/>
      <w:bookmarkStart w:id="311" w:name="_Toc84754968"/>
      <w:bookmarkStart w:id="312" w:name="_Toc84754823"/>
      <w:bookmarkStart w:id="313" w:name="_Toc243119373"/>
      <w:bookmarkStart w:id="314" w:name="_Toc327383146"/>
      <w:bookmarkStart w:id="315" w:name="_Toc464475431"/>
      <w:bookmarkStart w:id="316" w:name="_Toc3459"/>
      <w:r>
        <w:rPr>
          <w:rFonts w:hint="default" w:ascii="Times New Roman" w:hAnsi="Times New Roman" w:eastAsia="宋体" w:cs="Times New Roman"/>
          <w:color w:val="auto"/>
          <w:szCs w:val="28"/>
          <w:highlight w:val="none"/>
        </w:rPr>
        <w:t>6环保措施</w:t>
      </w:r>
      <w:bookmarkEnd w:id="310"/>
      <w:bookmarkEnd w:id="311"/>
      <w:bookmarkEnd w:id="312"/>
      <w:r>
        <w:rPr>
          <w:rFonts w:hint="default" w:ascii="Times New Roman" w:hAnsi="Times New Roman" w:eastAsia="宋体" w:cs="Times New Roman"/>
          <w:color w:val="auto"/>
          <w:szCs w:val="28"/>
          <w:highlight w:val="none"/>
        </w:rPr>
        <w:t>及</w:t>
      </w:r>
      <w:bookmarkEnd w:id="313"/>
      <w:bookmarkEnd w:id="314"/>
      <w:bookmarkEnd w:id="315"/>
      <w:r>
        <w:rPr>
          <w:rFonts w:hint="default" w:ascii="Times New Roman" w:hAnsi="Times New Roman" w:eastAsia="宋体" w:cs="Times New Roman"/>
          <w:color w:val="auto"/>
          <w:szCs w:val="28"/>
          <w:highlight w:val="none"/>
        </w:rPr>
        <w:t>其可行性论证</w:t>
      </w:r>
      <w:bookmarkEnd w:id="316"/>
    </w:p>
    <w:p>
      <w:pPr>
        <w:pStyle w:val="5"/>
        <w:bidi w:val="0"/>
        <w:rPr>
          <w:rFonts w:hint="default" w:ascii="Times New Roman" w:hAnsi="Times New Roman" w:eastAsia="宋体" w:cs="Times New Roman"/>
          <w:color w:val="auto"/>
        </w:rPr>
      </w:pPr>
      <w:bookmarkStart w:id="317" w:name="_Toc464475439"/>
      <w:bookmarkStart w:id="318" w:name="_Toc18629"/>
      <w:bookmarkStart w:id="319" w:name="_Toc327383149"/>
      <w:r>
        <w:rPr>
          <w:rFonts w:hint="default" w:ascii="Times New Roman" w:hAnsi="Times New Roman" w:eastAsia="宋体" w:cs="Times New Roman"/>
          <w:color w:val="auto"/>
        </w:rPr>
        <w:t>6.1</w:t>
      </w:r>
      <w:bookmarkEnd w:id="317"/>
      <w:r>
        <w:rPr>
          <w:rFonts w:hint="default" w:ascii="Times New Roman" w:hAnsi="Times New Roman" w:eastAsia="宋体" w:cs="Times New Roman"/>
          <w:color w:val="auto"/>
        </w:rPr>
        <w:t>施工期防治措施可行性分析</w:t>
      </w:r>
      <w:bookmarkEnd w:id="318"/>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6.1.1施工期大气环境保护措施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施工期大气污染源主要为施工扬尘。</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施工区扬尘防护措施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①施工场地设置在项目永久占地内，施工四周设置围挡；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②开挖、钻孔等过程，应洒水使作业面保持一定的湿度；对施工场地内松散、干涸的表土，经常洒水防止扬尘；</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③加强回填土方堆放场的管理，采取土方表面压实、定期喷水、覆盖等措施；不需要的泥土、建筑材料弃渣应及时运走；</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④施工单位必须加强施工区域的管理。建筑材料的堆场应在施工区域内定点定位，不宜设在居住区的上风向；根据风速，采取相应的防尘措施，对散料堆场采用水喷淋防尘，或用蓬布遮盖散料堆；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⑤合理安排施工计划，根据平面布局，</w:t>
      </w:r>
      <w:r>
        <w:rPr>
          <w:rFonts w:hint="default" w:ascii="Times New Roman" w:hAnsi="Times New Roman" w:eastAsia="宋体" w:cs="Times New Roman"/>
          <w:color w:val="auto"/>
          <w:sz w:val="24"/>
          <w:highlight w:val="none"/>
          <w:lang w:eastAsia="zh-CN"/>
        </w:rPr>
        <w:t>将</w:t>
      </w:r>
      <w:r>
        <w:rPr>
          <w:rFonts w:hint="default" w:ascii="Times New Roman" w:hAnsi="Times New Roman" w:eastAsia="宋体" w:cs="Times New Roman"/>
          <w:bCs/>
          <w:color w:val="auto"/>
          <w:sz w:val="24"/>
          <w:shd w:val="clear" w:color="auto" w:fill="auto"/>
          <w:lang w:val="en-US" w:eastAsia="zh-CN"/>
        </w:rPr>
        <w:t>开挖</w:t>
      </w:r>
      <w:r>
        <w:rPr>
          <w:rFonts w:hint="default" w:ascii="Times New Roman" w:hAnsi="Times New Roman" w:eastAsia="宋体" w:cs="Times New Roman"/>
          <w:color w:val="auto"/>
          <w:sz w:val="24"/>
          <w:szCs w:val="24"/>
          <w:shd w:val="clear" w:color="auto" w:fill="auto"/>
        </w:rPr>
        <w:t>土方</w:t>
      </w:r>
      <w:r>
        <w:rPr>
          <w:rFonts w:hint="default" w:ascii="Times New Roman" w:hAnsi="Times New Roman" w:eastAsia="宋体" w:cs="Times New Roman"/>
          <w:color w:val="auto"/>
          <w:sz w:val="24"/>
          <w:szCs w:val="24"/>
          <w:shd w:val="clear" w:color="auto" w:fill="auto"/>
          <w:lang w:eastAsia="zh-CN"/>
        </w:rPr>
        <w:t>和</w:t>
      </w:r>
      <w:r>
        <w:rPr>
          <w:rFonts w:hint="default" w:ascii="Times New Roman" w:hAnsi="Times New Roman" w:eastAsia="宋体" w:cs="Times New Roman"/>
          <w:bCs/>
          <w:color w:val="auto"/>
          <w:sz w:val="24"/>
          <w:shd w:val="clear" w:color="auto" w:fill="auto"/>
          <w:lang w:eastAsia="zh-CN"/>
        </w:rPr>
        <w:t>建筑材料</w:t>
      </w:r>
      <w:r>
        <w:rPr>
          <w:rFonts w:hint="default" w:ascii="Times New Roman" w:hAnsi="Times New Roman" w:eastAsia="宋体" w:cs="Times New Roman"/>
          <w:color w:val="auto"/>
          <w:sz w:val="24"/>
          <w:szCs w:val="24"/>
          <w:shd w:val="clear" w:color="auto" w:fill="auto"/>
        </w:rPr>
        <w:t>堆放</w:t>
      </w:r>
      <w:r>
        <w:rPr>
          <w:rFonts w:hint="default" w:ascii="Times New Roman" w:hAnsi="Times New Roman" w:eastAsia="宋体" w:cs="Times New Roman"/>
          <w:color w:val="auto"/>
          <w:sz w:val="24"/>
          <w:szCs w:val="24"/>
          <w:shd w:val="clear" w:color="auto" w:fill="auto"/>
          <w:lang w:eastAsia="zh-CN"/>
        </w:rPr>
        <w:t>于厂区北侧，远离敏感点处，并进行</w:t>
      </w:r>
      <w:r>
        <w:rPr>
          <w:rFonts w:hint="default" w:ascii="Times New Roman" w:hAnsi="Times New Roman" w:eastAsia="宋体" w:cs="Times New Roman"/>
          <w:bCs/>
          <w:color w:val="auto"/>
          <w:sz w:val="24"/>
          <w:shd w:val="clear" w:color="auto" w:fill="auto"/>
          <w:lang w:eastAsia="zh-CN"/>
        </w:rPr>
        <w:t>覆盖苫布，通过对堆场进行洒水</w:t>
      </w:r>
      <w:r>
        <w:rPr>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⑥挖掘土石方过程要遵守施工建筑规定及有关水土保持规定，尽力减轻植被破坏，减少扬尘，保护环境。</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施工运输车辆扬尘防治措施分析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①施工前对现有进厂道路路面进行硬化，同时应限制车速，施工场地出口设水池，车辆驶出施工场地时经过水清洗后可清除车轮上所沾泥土，减少行驶产生的扬尘；</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加强运输管理，如散货车不得超高超载、使用有盖的运输车辆，以免车辆颠簸物料洒出。土方等易起尘物料运输过程加盖苫布；水泥使用密封罐装运输车，装卸应有除尘装置，防止扬尘污染；化学物质的运输要防止泄漏；坚持文明装卸；</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③材料运输路线要选择人流少的线路。</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经上述措施处理后，施工期扬尘对厂区及周边环境影响较小。</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6.1.2施工期水环境保护措施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施工期产生的废水主要为</w:t>
      </w:r>
      <w:r>
        <w:rPr>
          <w:rFonts w:hint="default" w:ascii="Times New Roman" w:hAnsi="Times New Roman" w:eastAsia="宋体" w:cs="Times New Roman"/>
          <w:color w:val="auto"/>
          <w:sz w:val="24"/>
          <w:szCs w:val="22"/>
          <w:highlight w:val="none"/>
        </w:rPr>
        <w:t>施工废水和生活污水。</w:t>
      </w:r>
      <w:r>
        <w:rPr>
          <w:rFonts w:hint="default" w:ascii="Times New Roman" w:hAnsi="Times New Roman" w:eastAsia="宋体" w:cs="Times New Roman"/>
          <w:color w:val="auto"/>
          <w:sz w:val="24"/>
          <w:highlight w:val="none"/>
        </w:rPr>
        <w:t>为了防止建筑施工对周围地下水体产生的石油类污染，建设单位与施工单位密切配合，采取以下措施：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定期清洁建筑施工机械表面不必要的润滑油及其它油废，对废油应妥善处置；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加强施工机械设备的维修保养，避免在施工过程中燃料油的跑、冒、滴、漏；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施工时产生的泥浆水未经处理不得随意排放，不得污染现场及周围环境；</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不得随意在施工区域内冲洗汽车，对施工机械进行检修和清洗时必须定点，检修和清洗场地必须经水泥硬化。</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）生活污水排入防渗化粪池，定期清掏</w:t>
      </w:r>
      <w:r>
        <w:rPr>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2"/>
          <w:highlight w:val="none"/>
        </w:rPr>
        <w:t>采取以上措施后，施工期废水对环境影响较小。</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6.1.3施工期固体废弃物环境保护措施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2"/>
          <w:highlight w:val="none"/>
        </w:rPr>
        <w:t>施工期固体废物主要包括工程弃土、施工垃圾、生活垃圾。全部按照执法局指定路线拉运至指定倾倒地点倾倒，为了降低施工期固体废弃物对环境产生的影响，项目拟采取下列措施：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根据施工产生的工程垃圾和渣土的量，分类管理，可利用的渣土尽量在场内周转，就地利用，以防污染周围水体水质和影响周围环境卫生；</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车辆运输散体物料和废弃物时，必须密闭、包扎、覆盖，不得沿途漏撒；运载土方的车辆必须在规定时间内，按指定路段行驶；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在工程竣工以后，及时将工地的剩余建筑垃圾、工程渣土处理干净。</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生活垃圾由环卫统一清运。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施工期固体废弃物全部妥善处置，对环境影响较小。</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6.1.4施工期声环境环境保护措施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施工单位拟严格执行建筑施工噪声申报登记制度，填写《建筑施工场地噪声管理审批表》</w:t>
      </w:r>
      <w:r>
        <w:rPr>
          <w:rFonts w:hint="default" w:ascii="Times New Roman" w:hAnsi="Times New Roman" w:eastAsia="宋体" w:cs="Times New Roman"/>
          <w:color w:val="auto"/>
          <w:sz w:val="24"/>
          <w:highlight w:val="none"/>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（1）施工现场合理布局，以避免局部声级过高，尽可能将施工阶段的噪声减至最小。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rPr>
        <w:t>（2）现场施工人员要严加管理，在施工建设时要防止互相撞击噪声，要文明施工</w:t>
      </w:r>
      <w:r>
        <w:rPr>
          <w:rFonts w:hint="default" w:ascii="Times New Roman" w:hAnsi="Times New Roman" w:eastAsia="宋体" w:cs="Times New Roman"/>
          <w:color w:val="auto"/>
          <w:sz w:val="24"/>
          <w:shd w:val="clear" w:color="auto" w:fill="auto"/>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3</w:t>
      </w:r>
      <w:r>
        <w:rPr>
          <w:rFonts w:hint="default" w:ascii="Times New Roman" w:hAnsi="Times New Roman" w:eastAsia="宋体" w:cs="Times New Roman"/>
          <w:color w:val="auto"/>
          <w:sz w:val="24"/>
          <w:shd w:val="clear" w:color="auto" w:fill="auto"/>
          <w:lang w:eastAsia="zh-CN"/>
        </w:rPr>
        <w:t>）合理安排作业时间，严禁中午和晚上施工。</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4</w:t>
      </w:r>
      <w:r>
        <w:rPr>
          <w:rFonts w:hint="default" w:ascii="Times New Roman" w:hAnsi="Times New Roman" w:eastAsia="宋体" w:cs="Times New Roman"/>
          <w:color w:val="auto"/>
          <w:sz w:val="24"/>
          <w:shd w:val="clear" w:color="auto" w:fill="auto"/>
          <w:lang w:eastAsia="zh-CN"/>
        </w:rPr>
        <w:t>）及时保养维修施工机械，严格按照操作规程使用各类机械。</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5</w:t>
      </w:r>
      <w:r>
        <w:rPr>
          <w:rFonts w:hint="default" w:ascii="Times New Roman" w:hAnsi="Times New Roman" w:eastAsia="宋体" w:cs="Times New Roman"/>
          <w:color w:val="auto"/>
          <w:sz w:val="24"/>
          <w:shd w:val="clear" w:color="auto" w:fill="auto"/>
          <w:lang w:eastAsia="zh-CN"/>
        </w:rPr>
        <w:t>）在施工场地周围设置挡板。</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严格执行《建筑施工厂界环境噪声排放标准》（GB12523-2011）中各施工阶段噪声限值的规定后，施工期对周边敏感目标声环境影响较小</w:t>
      </w:r>
      <w:r>
        <w:rPr>
          <w:rFonts w:hint="default" w:ascii="Times New Roman" w:hAnsi="Times New Roman" w:eastAsia="宋体" w:cs="Times New Roman"/>
          <w:color w:val="auto"/>
          <w:sz w:val="24"/>
          <w:highlight w:val="none"/>
          <w:lang w:eastAsia="zh-CN"/>
        </w:rPr>
        <w:t>。</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6.1.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施工期</w:t>
      </w:r>
      <w:r>
        <w:rPr>
          <w:rFonts w:hint="default" w:ascii="Times New Roman" w:hAnsi="Times New Roman" w:eastAsia="宋体" w:cs="Times New Roman"/>
          <w:color w:val="auto"/>
          <w:lang w:eastAsia="zh-CN"/>
        </w:rPr>
        <w:t>生态</w:t>
      </w:r>
      <w:r>
        <w:rPr>
          <w:rFonts w:hint="default" w:ascii="Times New Roman" w:hAnsi="Times New Roman" w:eastAsia="宋体" w:cs="Times New Roman"/>
          <w:color w:val="auto"/>
        </w:rPr>
        <w:t>环境保护措施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1</w:t>
      </w:r>
      <w:r>
        <w:rPr>
          <w:rFonts w:hint="default" w:ascii="Times New Roman" w:hAnsi="Times New Roman" w:eastAsia="宋体" w:cs="Times New Roman"/>
          <w:color w:val="auto"/>
          <w:sz w:val="24"/>
          <w:szCs w:val="22"/>
          <w:highlight w:val="none"/>
          <w:lang w:eastAsia="zh-CN"/>
        </w:rPr>
        <w:t>）施工期生态保护措施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kern w:val="0"/>
          <w:sz w:val="24"/>
          <w:highlight w:val="none"/>
        </w:rPr>
        <w:t>本项目位于乌拉特前旗额尔登布拉格苏木旧乡政府院内，利用院内现有生产厂房进行建设，不新增占地</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szCs w:val="22"/>
          <w:highlight w:val="none"/>
        </w:rPr>
        <w:t>施工期</w:t>
      </w:r>
      <w:r>
        <w:rPr>
          <w:rFonts w:hint="default" w:ascii="Times New Roman" w:hAnsi="Times New Roman" w:eastAsia="宋体" w:cs="Times New Roman"/>
          <w:color w:val="auto"/>
          <w:sz w:val="24"/>
          <w:szCs w:val="22"/>
          <w:highlight w:val="none"/>
          <w:lang w:eastAsia="zh-CN"/>
        </w:rPr>
        <w:t>工程量较小，</w:t>
      </w:r>
      <w:r>
        <w:rPr>
          <w:rFonts w:hint="default" w:ascii="Times New Roman" w:hAnsi="Times New Roman" w:eastAsia="宋体" w:cs="Times New Roman"/>
          <w:color w:val="auto"/>
          <w:sz w:val="24"/>
          <w:szCs w:val="22"/>
          <w:highlight w:val="none"/>
        </w:rPr>
        <w:t>对生态环境的影响较小，但仍需采取如下措施：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1）在施工期间对施工人员加强施工区生态保护的宣传教育，以公告、宣传册发放等形式，教育施工人员，通过制度化禁止施工人员捕食蛙类、鸟类、兽类，以减轻施工对当地陆生动植物的影响。</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rPr>
        <w:t>2）工程施工结束后，场区内施工临时占地应采取绿化措施，进行植被恢复</w:t>
      </w:r>
      <w:r>
        <w:rPr>
          <w:rFonts w:hint="default" w:ascii="Times New Roman" w:hAnsi="Times New Roman" w:eastAsia="宋体" w:cs="Times New Roman"/>
          <w:color w:val="auto"/>
          <w:sz w:val="24"/>
          <w:szCs w:val="22"/>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eastAsia="zh-CN"/>
        </w:rPr>
        <w:t>）水土流失保护措施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本工程的建设对项目涉及区域水土保持的影响主要发生在施工期，由于表土的开挖、植被的破坏，使抵抗流失力强的表层土壤受到影响；遇到下雨天，将造成严重的水土流失。环评要求建设单位采取以下措施控制水土流失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①进一步优化主体工程设计，在既保证主体工程顺利施工的条件下，同时兼顾水土保持的要求。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②规范施工程序，优化施工组织和施工工艺。合理安排施工时序，尽量缩短施工工期，减少疏松地面的裸露时间；尽量避开雨季施工，适时开挖，减轻施工期造成的水土流失。增加土石方移动过程中临时处理措施，完善边坡挡土工程、护坡工程。修建临时性围墙封闭施工，将水土流失尽量控制在项目区内进行防治。既有利于阻挡水、土外流，防止对四周造成危害，又有利于施工管理。</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③增加临时排水措施和沉沙池工程。本工程全面扰动地表，施工建设期土体裸露面积大、裸露时间较长，雨季易产生严重水土流失，因此在采取永久性防治措施之前，应采取临时性措施，控制施工期水土流失。</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④划定表土临时堆置区。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⑤工程各处开挖裸露被建筑物、道路占用外，尽可能全部恢复植被，减少水土流失。</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rPr>
        <w:t>⑥项目建设应满足消防及交通要求，项目道路及给排水管网一次敷设到位，避免改沟改路，尤其应防止沟渠受截而使水流冲刷改道，造成水土流失</w:t>
      </w:r>
      <w:r>
        <w:rPr>
          <w:rFonts w:hint="default" w:ascii="Times New Roman" w:hAnsi="Times New Roman" w:eastAsia="宋体" w:cs="Times New Roman"/>
          <w:color w:val="auto"/>
          <w:sz w:val="24"/>
          <w:szCs w:val="22"/>
          <w:highlight w:val="none"/>
          <w:lang w:eastAsia="zh-CN"/>
        </w:rPr>
        <w:t>。</w:t>
      </w:r>
    </w:p>
    <w:p>
      <w:pPr>
        <w:pStyle w:val="5"/>
        <w:bidi w:val="0"/>
        <w:rPr>
          <w:rFonts w:hint="default" w:ascii="Times New Roman" w:hAnsi="Times New Roman" w:eastAsia="宋体" w:cs="Times New Roman"/>
          <w:color w:val="auto"/>
        </w:rPr>
      </w:pPr>
      <w:bookmarkStart w:id="320" w:name="_Toc14340"/>
      <w:r>
        <w:rPr>
          <w:rFonts w:hint="default" w:ascii="Times New Roman" w:hAnsi="Times New Roman" w:eastAsia="宋体" w:cs="Times New Roman"/>
          <w:color w:val="auto"/>
        </w:rPr>
        <w:t>6.2大气污染防治措施及可行性分析</w:t>
      </w:r>
      <w:bookmarkEnd w:id="320"/>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6.2.1有机废气</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zh-CN"/>
        </w:rPr>
        <w:t>达标分析</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w:t>
      </w:r>
      <w:r>
        <w:rPr>
          <w:rFonts w:hint="default" w:ascii="Times New Roman" w:hAnsi="Times New Roman" w:eastAsia="宋体" w:cs="Times New Roman"/>
          <w:color w:val="auto"/>
          <w:sz w:val="24"/>
          <w:highlight w:val="none"/>
          <w:lang w:eastAsia="zh-CN"/>
        </w:rPr>
        <w:t>挤塑、切粒、</w:t>
      </w:r>
      <w:r>
        <w:rPr>
          <w:rFonts w:hint="default" w:ascii="Times New Roman" w:hAnsi="Times New Roman" w:eastAsia="宋体" w:cs="Times New Roman"/>
          <w:color w:val="auto"/>
          <w:sz w:val="24"/>
          <w:szCs w:val="24"/>
          <w:highlight w:val="none"/>
        </w:rPr>
        <w:t>吹塑</w:t>
      </w:r>
      <w:r>
        <w:rPr>
          <w:rFonts w:hint="default" w:ascii="Times New Roman" w:hAnsi="Times New Roman" w:eastAsia="宋体" w:cs="Times New Roman"/>
          <w:color w:val="auto"/>
          <w:sz w:val="24"/>
          <w:highlight w:val="none"/>
          <w:lang w:val="zh-CN"/>
        </w:rPr>
        <w:t>过程中产生少量的非甲烷总烃。根据工程分析，本项目非甲烷总烃产生量为</w:t>
      </w:r>
      <w:r>
        <w:rPr>
          <w:rFonts w:hint="default" w:ascii="Times New Roman" w:hAnsi="Times New Roman" w:eastAsia="宋体" w:cs="Times New Roman"/>
          <w:color w:val="auto"/>
          <w:sz w:val="24"/>
          <w:highlight w:val="none"/>
          <w:lang w:val="en-US" w:eastAsia="zh-CN"/>
        </w:rPr>
        <w:t>16.65</w:t>
      </w:r>
      <w:r>
        <w:rPr>
          <w:rFonts w:hint="default" w:ascii="Times New Roman" w:hAnsi="Times New Roman" w:eastAsia="宋体" w:cs="Times New Roman"/>
          <w:color w:val="auto"/>
          <w:sz w:val="24"/>
          <w:highlight w:val="none"/>
          <w:lang w:val="zh-CN"/>
        </w:rPr>
        <w:t>t/a。根据《废塑料再生利用过程中对环境的影响分析》，为确保员工身体健康和有机废气非甲烷总烃达标排放。</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rPr>
        <w:t>造粒生产车间2台造粒线挤出机出口、2台切粒机出口上方各设置1套集气罩（共4套），废气收集后，由1套耐高温过滤棉（1#）</w:t>
      </w:r>
      <w:r>
        <w:rPr>
          <w:rFonts w:hint="eastAsia" w:cs="Times New Roman"/>
          <w:b w:val="0"/>
          <w:bCs w:val="0"/>
          <w:color w:val="auto"/>
          <w:sz w:val="24"/>
          <w:highlight w:val="none"/>
          <w:lang w:val="en-US" w:eastAsia="zh-CN"/>
        </w:rPr>
        <w:t>+UV光氧催化（1#）</w:t>
      </w:r>
      <w:r>
        <w:rPr>
          <w:rFonts w:hint="default" w:ascii="Times New Roman" w:hAnsi="Times New Roman" w:eastAsia="宋体" w:cs="Times New Roman"/>
          <w:color w:val="auto"/>
          <w:sz w:val="24"/>
          <w:highlight w:val="none"/>
          <w:lang w:val="zh-CN"/>
        </w:rPr>
        <w:t>+活性炭吸附装置（1#）处理后，通过1根15m高排气筒（P1）排放；</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rPr>
        <w:t>塑料制品生产车间6台滴灌带挤出机出口、4台PE管材管件挤出机出口和2台地膜挤出机出口上方各设置1套集气罩（共12套），废气收集后，由1套耐高温过滤棉（2#）</w:t>
      </w:r>
      <w:r>
        <w:rPr>
          <w:rFonts w:hint="eastAsia" w:cs="Times New Roman"/>
          <w:b w:val="0"/>
          <w:bCs w:val="0"/>
          <w:color w:val="auto"/>
          <w:sz w:val="24"/>
          <w:highlight w:val="none"/>
          <w:lang w:val="en-US" w:eastAsia="zh-CN"/>
        </w:rPr>
        <w:t>+UV光氧催化（2#）</w:t>
      </w:r>
      <w:r>
        <w:rPr>
          <w:rFonts w:hint="default" w:ascii="Times New Roman" w:hAnsi="Times New Roman" w:eastAsia="宋体" w:cs="Times New Roman"/>
          <w:color w:val="auto"/>
          <w:sz w:val="24"/>
          <w:highlight w:val="none"/>
          <w:lang w:val="zh-CN"/>
        </w:rPr>
        <w:t>+活性炭吸附装置（2#）处理后，通过1根15m高排气筒（P2）排放。</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集气罩收集效率按80%计算，根据</w:t>
      </w:r>
      <w:r>
        <w:rPr>
          <w:rFonts w:hint="default" w:ascii="Times New Roman" w:hAnsi="Times New Roman" w:eastAsia="宋体" w:cs="Times New Roman"/>
          <w:b w:val="0"/>
          <w:bCs w:val="0"/>
          <w:color w:val="auto"/>
          <w:kern w:val="0"/>
          <w:sz w:val="24"/>
          <w:szCs w:val="24"/>
          <w:lang w:val="en-US" w:eastAsia="zh-CN"/>
        </w:rPr>
        <w:t>《排放源统计调查产排污核算方法和系数手册》（公告2021年第24号）--42废弃资源综合利用行业系数手册--4220 非金属废料和碎屑加工处理行业系数表</w:t>
      </w:r>
      <w:r>
        <w:rPr>
          <w:rFonts w:hint="default" w:ascii="Times New Roman" w:hAnsi="Times New Roman" w:eastAsia="宋体" w:cs="Times New Roman"/>
          <w:color w:val="auto"/>
          <w:sz w:val="24"/>
          <w:highlight w:val="none"/>
          <w:lang w:val="zh-CN"/>
        </w:rPr>
        <w:t>--活性炭吸附效率按55%计算。</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highlight w:val="none"/>
          <w:lang w:val="zh-CN"/>
        </w:rPr>
        <w:t>则</w:t>
      </w:r>
      <w:r>
        <w:rPr>
          <w:rFonts w:hint="default" w:ascii="Times New Roman" w:hAnsi="Times New Roman" w:eastAsia="宋体" w:cs="Times New Roman"/>
          <w:color w:val="auto"/>
          <w:sz w:val="24"/>
          <w:szCs w:val="24"/>
          <w:highlight w:val="none"/>
          <w:lang w:eastAsia="zh-CN"/>
        </w:rPr>
        <w:t>造粒生产车间排气筒P1</w:t>
      </w:r>
      <w:r>
        <w:rPr>
          <w:rFonts w:hint="default"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zh-CN"/>
        </w:rPr>
        <w:t>非甲烷总烃排放量为</w:t>
      </w:r>
      <w:r>
        <w:rPr>
          <w:rFonts w:hint="default" w:ascii="Times New Roman" w:hAnsi="Times New Roman" w:eastAsia="宋体" w:cs="Times New Roman"/>
          <w:color w:val="auto"/>
          <w:kern w:val="0"/>
          <w:sz w:val="24"/>
          <w:szCs w:val="24"/>
          <w:highlight w:val="none"/>
          <w:lang w:val="en-US" w:eastAsia="zh-CN"/>
        </w:rPr>
        <w:t>1.13</w:t>
      </w:r>
      <w:r>
        <w:rPr>
          <w:rFonts w:hint="default" w:ascii="Times New Roman" w:hAnsi="Times New Roman" w:eastAsia="宋体" w:cs="Times New Roman"/>
          <w:color w:val="auto"/>
          <w:sz w:val="24"/>
          <w:szCs w:val="24"/>
          <w:highlight w:val="none"/>
          <w:lang w:val="zh-CN"/>
        </w:rPr>
        <w:t>t/a，排放速率为</w:t>
      </w:r>
      <w:r>
        <w:rPr>
          <w:rFonts w:hint="default" w:ascii="Times New Roman" w:hAnsi="Times New Roman" w:eastAsia="宋体" w:cs="Times New Roman"/>
          <w:color w:val="auto"/>
          <w:kern w:val="0"/>
          <w:sz w:val="24"/>
          <w:szCs w:val="24"/>
          <w:highlight w:val="none"/>
          <w:lang w:val="en-US" w:eastAsia="zh-CN"/>
        </w:rPr>
        <w:t>0.20</w:t>
      </w:r>
      <w:r>
        <w:rPr>
          <w:rFonts w:hint="default" w:ascii="Times New Roman" w:hAnsi="Times New Roman" w:eastAsia="宋体" w:cs="Times New Roman"/>
          <w:color w:val="auto"/>
          <w:sz w:val="24"/>
          <w:szCs w:val="24"/>
          <w:highlight w:val="none"/>
          <w:lang w:val="zh-CN"/>
        </w:rPr>
        <w:t>kg/h，排放浓度为20.0mg/m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；排放浓度满足</w:t>
      </w:r>
      <w:r>
        <w:rPr>
          <w:rFonts w:hint="default" w:ascii="Times New Roman" w:hAnsi="Times New Roman" w:eastAsia="宋体" w:cs="Times New Roman"/>
          <w:color w:val="auto"/>
          <w:sz w:val="24"/>
          <w:szCs w:val="24"/>
        </w:rPr>
        <w:t>《大气污染物综合排放标准》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GB16297－1996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中规定的“新污染源、二级标准”</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zh-CN"/>
        </w:rPr>
        <w:t>塑料制品生产车间排气筒P2</w:t>
      </w:r>
      <w:r>
        <w:rPr>
          <w:rFonts w:hint="default"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zh-CN"/>
        </w:rPr>
        <w:t>非甲烷总烃排放量为</w:t>
      </w:r>
      <w:r>
        <w:rPr>
          <w:rFonts w:hint="default" w:ascii="Times New Roman" w:hAnsi="Times New Roman" w:eastAsia="宋体" w:cs="Times New Roman"/>
          <w:color w:val="auto"/>
          <w:kern w:val="0"/>
          <w:sz w:val="24"/>
          <w:szCs w:val="24"/>
          <w:highlight w:val="none"/>
          <w:lang w:val="en-US" w:eastAsia="zh-CN"/>
        </w:rPr>
        <w:t>4.86</w:t>
      </w:r>
      <w:r>
        <w:rPr>
          <w:rFonts w:hint="default" w:ascii="Times New Roman" w:hAnsi="Times New Roman" w:eastAsia="宋体" w:cs="Times New Roman"/>
          <w:color w:val="auto"/>
          <w:sz w:val="24"/>
          <w:szCs w:val="24"/>
          <w:highlight w:val="none"/>
          <w:lang w:val="zh-CN"/>
        </w:rPr>
        <w:t>t/a，排放速率为</w:t>
      </w:r>
      <w:r>
        <w:rPr>
          <w:rFonts w:hint="default" w:ascii="Times New Roman" w:hAnsi="Times New Roman" w:eastAsia="宋体" w:cs="Times New Roman"/>
          <w:color w:val="auto"/>
          <w:kern w:val="0"/>
          <w:sz w:val="24"/>
          <w:szCs w:val="24"/>
          <w:highlight w:val="none"/>
          <w:lang w:val="en-US" w:eastAsia="zh-CN"/>
        </w:rPr>
        <w:t>0.84</w:t>
      </w:r>
      <w:r>
        <w:rPr>
          <w:rFonts w:hint="default" w:ascii="Times New Roman" w:hAnsi="Times New Roman" w:eastAsia="宋体" w:cs="Times New Roman"/>
          <w:color w:val="auto"/>
          <w:sz w:val="24"/>
          <w:szCs w:val="24"/>
          <w:highlight w:val="none"/>
          <w:lang w:val="zh-CN"/>
        </w:rPr>
        <w:t>kg/h，排放浓度为84.0mg/m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；排放浓度满足</w:t>
      </w:r>
      <w:r>
        <w:rPr>
          <w:rFonts w:hint="default" w:ascii="Times New Roman" w:hAnsi="Times New Roman" w:eastAsia="宋体" w:cs="Times New Roman"/>
          <w:color w:val="auto"/>
          <w:sz w:val="24"/>
        </w:rPr>
        <w:t>《合成树脂工业污染物排放标准》（GB31572-2015）</w:t>
      </w:r>
      <w:r>
        <w:rPr>
          <w:rFonts w:hint="default" w:ascii="Times New Roman" w:hAnsi="Times New Roman" w:eastAsia="宋体" w:cs="Times New Roman"/>
          <w:color w:val="auto"/>
          <w:sz w:val="24"/>
          <w:lang w:val="en-US" w:eastAsia="zh-CN"/>
        </w:rPr>
        <w:t>表4大气污染物排放限值</w:t>
      </w:r>
      <w:r>
        <w:rPr>
          <w:rFonts w:hint="default" w:ascii="Times New Roman" w:hAnsi="Times New Roman" w:eastAsia="宋体" w:cs="Times New Roman"/>
          <w:color w:val="auto"/>
          <w:sz w:val="24"/>
          <w:szCs w:val="24"/>
          <w:highlight w:val="none"/>
          <w:lang w:val="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zh-CN"/>
        </w:rPr>
        <w:t>措施可行性分析</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目前，国内处理这类有机废气主要有以下几种方式：</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①活性炭吸附法</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废气处理设备活性炭吸附法是利用活性炭内部的微孔，将废气中的一种或几种组分浓集在固体表面，从而与其它组分分开。对于挥发性有机组份的处理活性炭吸附是一种经济有效的工艺，它有高的吸附效率，大的适应范围。废气处理效率较高，但活性炭再生工艺较复杂，投资较高。</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②直接燃烧法</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废气处理设备用燃烧方法消除有害气体、蒸气或烟尘，使其变为无害物质的过程，称为燃烧净化，燃烧净化时所发生的化学作用高要是燃烧氧化作用及高温下的热分解。有机气态污染物燃烧氧化的结果，生成了CO</w:t>
      </w:r>
      <w:r>
        <w:rPr>
          <w:rFonts w:hint="default" w:ascii="Times New Roman" w:hAnsi="Times New Roman" w:eastAsia="宋体" w:cs="Times New Roman"/>
          <w:color w:val="auto"/>
          <w:sz w:val="24"/>
          <w:highlight w:val="none"/>
          <w:vertAlign w:val="subscript"/>
          <w:lang w:val="zh-CN"/>
        </w:rPr>
        <w:t>2</w:t>
      </w:r>
      <w:r>
        <w:rPr>
          <w:rFonts w:hint="default" w:ascii="Times New Roman" w:hAnsi="Times New Roman" w:eastAsia="宋体" w:cs="Times New Roman"/>
          <w:color w:val="auto"/>
          <w:sz w:val="24"/>
          <w:highlight w:val="none"/>
          <w:lang w:val="zh-CN"/>
        </w:rPr>
        <w:t>和H</w:t>
      </w:r>
      <w:r>
        <w:rPr>
          <w:rFonts w:hint="default" w:ascii="Times New Roman" w:hAnsi="Times New Roman" w:eastAsia="宋体" w:cs="Times New Roman"/>
          <w:color w:val="auto"/>
          <w:sz w:val="24"/>
          <w:highlight w:val="none"/>
          <w:vertAlign w:val="subscript"/>
          <w:lang w:val="zh-CN"/>
        </w:rPr>
        <w:t>2</w:t>
      </w:r>
      <w:r>
        <w:rPr>
          <w:rFonts w:hint="default" w:ascii="Times New Roman" w:hAnsi="Times New Roman" w:eastAsia="宋体" w:cs="Times New Roman"/>
          <w:color w:val="auto"/>
          <w:sz w:val="24"/>
          <w:highlight w:val="none"/>
          <w:lang w:val="zh-CN"/>
        </w:rPr>
        <w:t>O。但该方法需要有稳定且燃烧流动量较大的热源，易受用热稳定性的限值，若单独建设燃烧装置，则投资和运行费用会翻倍，甚至带来经济负效益。</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③催化燃烧法</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废气处理设备催化燃烧是典型的气-固相催化反应，其实质是活性氧参与的深度氧化作用。在催化燃烧过程中，催化剂的作用是降低活化能，同时催化剂表面具有吸附作用，使反应物分子富集于表面提高了反应速率，加快了反应的进行。借助催化剂可使有机废气在较低的起燃温度条件下，发生无焰燃烧，并氧化分解为CO</w:t>
      </w:r>
      <w:r>
        <w:rPr>
          <w:rFonts w:hint="default" w:ascii="Times New Roman" w:hAnsi="Times New Roman" w:eastAsia="宋体" w:cs="Times New Roman"/>
          <w:color w:val="auto"/>
          <w:sz w:val="24"/>
          <w:highlight w:val="none"/>
          <w:vertAlign w:val="subscript"/>
          <w:lang w:val="zh-CN"/>
        </w:rPr>
        <w:t>2</w:t>
      </w:r>
      <w:r>
        <w:rPr>
          <w:rFonts w:hint="default" w:ascii="Times New Roman" w:hAnsi="Times New Roman" w:eastAsia="宋体" w:cs="Times New Roman"/>
          <w:color w:val="auto"/>
          <w:sz w:val="24"/>
          <w:highlight w:val="none"/>
          <w:lang w:val="zh-CN"/>
        </w:rPr>
        <w:t>和H</w:t>
      </w:r>
      <w:r>
        <w:rPr>
          <w:rFonts w:hint="default" w:ascii="Times New Roman" w:hAnsi="Times New Roman" w:eastAsia="宋体" w:cs="Times New Roman"/>
          <w:color w:val="auto"/>
          <w:sz w:val="24"/>
          <w:highlight w:val="none"/>
          <w:vertAlign w:val="subscript"/>
          <w:lang w:val="zh-CN"/>
        </w:rPr>
        <w:t>2</w:t>
      </w:r>
      <w:r>
        <w:rPr>
          <w:rFonts w:hint="default" w:ascii="Times New Roman" w:hAnsi="Times New Roman" w:eastAsia="宋体" w:cs="Times New Roman"/>
          <w:color w:val="auto"/>
          <w:sz w:val="24"/>
          <w:highlight w:val="none"/>
          <w:lang w:val="zh-CN"/>
        </w:rPr>
        <w:t>O，同时放出大量热能。该工艺具有处理效率高，无二次污染。但该工艺投资较大，对有机废气的有机物的浓度有一定的要求及经营管理与操作水平要求较高等缺点。因此在选用中受到了相应的限制。</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本项目厂区选用较易操作的活性炭吸附法对非甲烷总烃有机废气进行吸附处理。对所有挤塑、吹塑设备均配套设置集气设施，将挥发的非甲烷总烃收集至车间活性炭吸附处理装置中，经吸附处理后，由15m高排放。</w:t>
      </w:r>
      <w:r>
        <w:rPr>
          <w:rFonts w:hint="default" w:ascii="Times New Roman" w:hAnsi="Times New Roman" w:eastAsia="宋体" w:cs="Times New Roman"/>
          <w:bCs/>
          <w:color w:val="auto"/>
          <w:kern w:val="0"/>
          <w:sz w:val="24"/>
          <w:szCs w:val="24"/>
          <w:highlight w:val="none"/>
          <w:lang w:val="en-US" w:eastAsia="zh-CN"/>
        </w:rPr>
        <w:t>属于《排污许可证申请与核法技术规范 废弃资源加工工业》（HJ1034-2019）--废塑料加工中可行技术。</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经配套集气设施风机抽引的非甲烷总烃废气直接送入活性炭吸附装置内，废气与活性炭充分接触，废气中的有害物质被截留在活性炭内，气体正常通过，从而起到净化作用，活性炭吸附具有吸附效率高，能力强，设备构造紧凑，占地面积小，维护管理简单方便，运转成本低，能够同时处理多种混合有机废气，采用自动化控制运转设计，操作简易、安全，全密闭型，室内外皆可使用等特点，具有很强的可操作和适用性。</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因此，本项目对有机废气采取的污染防治措施可行。</w:t>
      </w:r>
    </w:p>
    <w:p>
      <w:pPr>
        <w:pStyle w:val="6"/>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6.2.3</w:t>
      </w:r>
      <w:r>
        <w:rPr>
          <w:rFonts w:hint="default" w:ascii="Times New Roman" w:hAnsi="Times New Roman" w:eastAsia="宋体" w:cs="Times New Roman"/>
          <w:color w:val="auto"/>
          <w:lang w:val="en-US" w:eastAsia="zh-CN"/>
        </w:rPr>
        <w:t>颗粒物</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highlight w:val="none"/>
          <w:lang w:val="zh-CN"/>
        </w:rPr>
        <w:t>本项目</w:t>
      </w:r>
      <w:r>
        <w:rPr>
          <w:rFonts w:hint="default" w:ascii="Times New Roman" w:hAnsi="Times New Roman" w:eastAsia="宋体" w:cs="Times New Roman"/>
          <w:color w:val="auto"/>
          <w:sz w:val="24"/>
          <w:highlight w:val="none"/>
          <w:lang w:eastAsia="zh-CN"/>
        </w:rPr>
        <w:t>挤塑、切粒、</w:t>
      </w:r>
      <w:r>
        <w:rPr>
          <w:rFonts w:hint="default" w:ascii="Times New Roman" w:hAnsi="Times New Roman" w:eastAsia="宋体" w:cs="Times New Roman"/>
          <w:color w:val="auto"/>
          <w:sz w:val="24"/>
          <w:szCs w:val="24"/>
          <w:highlight w:val="none"/>
        </w:rPr>
        <w:t>吹塑</w:t>
      </w:r>
      <w:r>
        <w:rPr>
          <w:rFonts w:hint="default" w:ascii="Times New Roman" w:hAnsi="Times New Roman" w:eastAsia="宋体" w:cs="Times New Roman"/>
          <w:color w:val="auto"/>
          <w:sz w:val="24"/>
          <w:highlight w:val="none"/>
          <w:lang w:val="zh-CN"/>
        </w:rPr>
        <w:t>过程中产生少量的</w:t>
      </w:r>
      <w:r>
        <w:rPr>
          <w:rFonts w:hint="default" w:ascii="Times New Roman" w:hAnsi="Times New Roman" w:eastAsia="宋体" w:cs="Times New Roman"/>
          <w:color w:val="auto"/>
          <w:sz w:val="24"/>
          <w:highlight w:val="none"/>
          <w:lang w:val="en-US" w:eastAsia="zh-CN"/>
        </w:rPr>
        <w:t>颗粒物</w:t>
      </w:r>
      <w:r>
        <w:rPr>
          <w:rFonts w:hint="default" w:ascii="Times New Roman" w:hAnsi="Times New Roman" w:eastAsia="宋体" w:cs="Times New Roman"/>
          <w:color w:val="auto"/>
          <w:sz w:val="24"/>
          <w:highlight w:val="none"/>
          <w:lang w:val="zh-CN"/>
        </w:rPr>
        <w:t>。根据工程分析，本项目颗粒物产生量为1</w:t>
      </w:r>
      <w:r>
        <w:rPr>
          <w:rFonts w:hint="default" w:ascii="Times New Roman" w:hAnsi="Times New Roman" w:eastAsia="宋体" w:cs="Times New Roman"/>
          <w:color w:val="auto"/>
          <w:sz w:val="24"/>
          <w:highlight w:val="none"/>
          <w:lang w:val="en-US" w:eastAsia="zh-CN"/>
        </w:rPr>
        <w:t>3.76</w:t>
      </w:r>
      <w:r>
        <w:rPr>
          <w:rFonts w:hint="default" w:ascii="Times New Roman" w:hAnsi="Times New Roman" w:eastAsia="宋体" w:cs="Times New Roman"/>
          <w:color w:val="auto"/>
          <w:sz w:val="24"/>
          <w:highlight w:val="none"/>
          <w:lang w:val="zh-CN"/>
        </w:rPr>
        <w:t>t/a</w:t>
      </w:r>
      <w:r>
        <w:rPr>
          <w:rFonts w:hint="default" w:ascii="Times New Roman" w:hAnsi="Times New Roman" w:eastAsia="宋体" w:cs="Times New Roman"/>
          <w:color w:val="auto"/>
          <w:sz w:val="24"/>
          <w:szCs w:val="24"/>
          <w:highlight w:val="none"/>
          <w:lang w:val="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rPr>
        <w:t>造粒生产车间2台造粒线挤出机出口、2台切粒机出口上方各设置1套集气罩（共4套），废气收集后，由1套耐高温过滤棉（1#）</w:t>
      </w:r>
      <w:r>
        <w:rPr>
          <w:rFonts w:hint="eastAsia" w:cs="Times New Roman"/>
          <w:b w:val="0"/>
          <w:bCs w:val="0"/>
          <w:color w:val="auto"/>
          <w:sz w:val="24"/>
          <w:highlight w:val="none"/>
          <w:lang w:val="en-US" w:eastAsia="zh-CN"/>
        </w:rPr>
        <w:t>+UV光氧催化（1#）</w:t>
      </w:r>
      <w:r>
        <w:rPr>
          <w:rFonts w:hint="default" w:ascii="Times New Roman" w:hAnsi="Times New Roman" w:eastAsia="宋体" w:cs="Times New Roman"/>
          <w:color w:val="auto"/>
          <w:sz w:val="24"/>
          <w:highlight w:val="none"/>
          <w:lang w:val="zh-CN"/>
        </w:rPr>
        <w:t>+活性炭吸附装置（1#）处理后，通过1根15m高排气筒（P1）排放；</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rPr>
        <w:t>塑料制品生产车间6台滴灌带挤出机出口、4台PE管材管件挤出机出口和2台地膜挤出机出口上方各设置1套集气罩（共12套），废气收集后，由1套耐高温过滤棉（2#）</w:t>
      </w:r>
      <w:r>
        <w:rPr>
          <w:rFonts w:hint="eastAsia" w:cs="Times New Roman"/>
          <w:b w:val="0"/>
          <w:bCs w:val="0"/>
          <w:color w:val="auto"/>
          <w:sz w:val="24"/>
          <w:highlight w:val="none"/>
          <w:lang w:val="en-US" w:eastAsia="zh-CN"/>
        </w:rPr>
        <w:t>+UV光氧催化（2#）</w:t>
      </w:r>
      <w:r>
        <w:rPr>
          <w:rFonts w:hint="default" w:ascii="Times New Roman" w:hAnsi="Times New Roman" w:eastAsia="宋体" w:cs="Times New Roman"/>
          <w:color w:val="auto"/>
          <w:sz w:val="24"/>
          <w:highlight w:val="none"/>
          <w:lang w:val="zh-CN"/>
        </w:rPr>
        <w:t>+活性炭吸附装置（2#）处理后，通过1根15m高排气筒（P2）排放。</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集气罩收集效率按80%计算，耐高温过滤棉参考《淮安如旭新材料有限公司年产5200吨再生塑料及生产线搬迁项目竣工环境保护验收报告》中监测数据可知，耐高温过滤棉除尘效率为92.1%，本次环评按</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zh-CN"/>
        </w:rPr>
        <w:t>0%计算。</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eastAsia="zh-CN"/>
        </w:rPr>
        <w:t>则造粒生产车间排气筒P1</w:t>
      </w:r>
      <w:r>
        <w:rPr>
          <w:rFonts w:hint="default"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zh-CN"/>
        </w:rPr>
        <w:t>颗粒物排放量为</w:t>
      </w:r>
      <w:r>
        <w:rPr>
          <w:rFonts w:hint="default" w:ascii="Times New Roman" w:hAnsi="Times New Roman" w:eastAsia="宋体" w:cs="Times New Roman"/>
          <w:color w:val="auto"/>
          <w:kern w:val="0"/>
          <w:sz w:val="24"/>
          <w:szCs w:val="24"/>
          <w:highlight w:val="none"/>
          <w:lang w:val="en-US" w:eastAsia="zh-CN"/>
        </w:rPr>
        <w:t>1.59</w:t>
      </w:r>
      <w:r>
        <w:rPr>
          <w:rFonts w:hint="default" w:ascii="Times New Roman" w:hAnsi="Times New Roman" w:eastAsia="宋体" w:cs="Times New Roman"/>
          <w:color w:val="auto"/>
          <w:sz w:val="24"/>
          <w:szCs w:val="24"/>
          <w:highlight w:val="none"/>
          <w:lang w:val="zh-CN"/>
        </w:rPr>
        <w:t>t/a，排放速率为</w:t>
      </w:r>
      <w:r>
        <w:rPr>
          <w:rFonts w:hint="default" w:ascii="Times New Roman" w:hAnsi="Times New Roman" w:eastAsia="宋体" w:cs="Times New Roman"/>
          <w:color w:val="auto"/>
          <w:kern w:val="0"/>
          <w:sz w:val="24"/>
          <w:szCs w:val="24"/>
          <w:highlight w:val="none"/>
          <w:lang w:val="en-US" w:eastAsia="zh-CN"/>
        </w:rPr>
        <w:t>0.28</w:t>
      </w:r>
      <w:r>
        <w:rPr>
          <w:rFonts w:hint="default" w:ascii="Times New Roman" w:hAnsi="Times New Roman" w:eastAsia="宋体" w:cs="Times New Roman"/>
          <w:color w:val="auto"/>
          <w:sz w:val="24"/>
          <w:szCs w:val="24"/>
          <w:highlight w:val="none"/>
          <w:lang w:val="zh-CN"/>
        </w:rPr>
        <w:t>kg/h，排放浓度为</w:t>
      </w:r>
      <w:r>
        <w:rPr>
          <w:rFonts w:hint="default" w:ascii="Times New Roman" w:hAnsi="Times New Roman" w:eastAsia="宋体" w:cs="Times New Roman"/>
          <w:color w:val="auto"/>
          <w:sz w:val="24"/>
          <w:szCs w:val="24"/>
          <w:highlight w:val="none"/>
          <w:lang w:val="en-US" w:eastAsia="zh-CN"/>
        </w:rPr>
        <w:t>28.0</w:t>
      </w:r>
      <w:r>
        <w:rPr>
          <w:rFonts w:hint="default" w:ascii="Times New Roman" w:hAnsi="Times New Roman" w:eastAsia="宋体" w:cs="Times New Roman"/>
          <w:color w:val="auto"/>
          <w:sz w:val="24"/>
          <w:szCs w:val="24"/>
          <w:highlight w:val="none"/>
          <w:lang w:val="zh-CN"/>
        </w:rPr>
        <w:t>mg/m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；排放浓度满足</w:t>
      </w:r>
      <w:r>
        <w:rPr>
          <w:rFonts w:hint="default" w:ascii="Times New Roman" w:hAnsi="Times New Roman" w:eastAsia="宋体" w:cs="Times New Roman"/>
          <w:color w:val="auto"/>
          <w:sz w:val="24"/>
          <w:szCs w:val="24"/>
        </w:rPr>
        <w:t>《大气污染物综合排放标准》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GB16297－1996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中规定的“新污染源、二级标准”</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塑料制品生产车间排气筒P2</w:t>
      </w:r>
      <w:r>
        <w:rPr>
          <w:rFonts w:hint="default"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zh-CN"/>
        </w:rPr>
        <w:t>颗粒物排放量为</w:t>
      </w:r>
      <w:r>
        <w:rPr>
          <w:rFonts w:hint="default" w:ascii="Times New Roman" w:hAnsi="Times New Roman" w:eastAsia="宋体" w:cs="Times New Roman"/>
          <w:color w:val="auto"/>
          <w:kern w:val="0"/>
          <w:sz w:val="24"/>
          <w:szCs w:val="24"/>
          <w:highlight w:val="none"/>
          <w:lang w:val="en-US" w:eastAsia="zh-CN"/>
        </w:rPr>
        <w:t>0.61</w:t>
      </w:r>
      <w:r>
        <w:rPr>
          <w:rFonts w:hint="default" w:ascii="Times New Roman" w:hAnsi="Times New Roman" w:eastAsia="宋体" w:cs="Times New Roman"/>
          <w:color w:val="auto"/>
          <w:sz w:val="24"/>
          <w:szCs w:val="24"/>
          <w:highlight w:val="none"/>
          <w:lang w:val="zh-CN"/>
        </w:rPr>
        <w:t>t/a，排放速率为</w:t>
      </w:r>
      <w:r>
        <w:rPr>
          <w:rFonts w:hint="default" w:ascii="Times New Roman" w:hAnsi="Times New Roman" w:eastAsia="宋体" w:cs="Times New Roman"/>
          <w:color w:val="auto"/>
          <w:kern w:val="0"/>
          <w:sz w:val="24"/>
          <w:szCs w:val="24"/>
          <w:highlight w:val="none"/>
          <w:lang w:val="en-US" w:eastAsia="zh-CN"/>
        </w:rPr>
        <w:t>0.11</w:t>
      </w:r>
      <w:r>
        <w:rPr>
          <w:rFonts w:hint="default" w:ascii="Times New Roman" w:hAnsi="Times New Roman" w:eastAsia="宋体" w:cs="Times New Roman"/>
          <w:color w:val="auto"/>
          <w:sz w:val="24"/>
          <w:szCs w:val="24"/>
          <w:highlight w:val="none"/>
          <w:lang w:val="zh-CN"/>
        </w:rPr>
        <w:t>kg/h，排放浓度为</w:t>
      </w:r>
      <w:r>
        <w:rPr>
          <w:rFonts w:hint="default" w:ascii="Times New Roman" w:hAnsi="Times New Roman" w:eastAsia="宋体" w:cs="Times New Roman"/>
          <w:color w:val="auto"/>
          <w:sz w:val="24"/>
          <w:szCs w:val="24"/>
          <w:highlight w:val="none"/>
          <w:lang w:val="en-US" w:eastAsia="zh-CN"/>
        </w:rPr>
        <w:t>11.0</w:t>
      </w:r>
      <w:r>
        <w:rPr>
          <w:rFonts w:hint="default" w:ascii="Times New Roman" w:hAnsi="Times New Roman" w:eastAsia="宋体" w:cs="Times New Roman"/>
          <w:color w:val="auto"/>
          <w:sz w:val="24"/>
          <w:szCs w:val="24"/>
          <w:highlight w:val="none"/>
          <w:lang w:val="zh-CN"/>
        </w:rPr>
        <w:t>mg/m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；排放浓度满足《合成树脂工业污染物排放标准》（GB31572-2015）表4大气污染物排放限值。</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highlight w:val="none"/>
          <w:lang w:val="zh-CN"/>
        </w:rPr>
        <w:t>本项目</w:t>
      </w:r>
      <w:r>
        <w:rPr>
          <w:rFonts w:hint="default" w:ascii="Times New Roman" w:hAnsi="Times New Roman" w:eastAsia="宋体" w:cs="Times New Roman"/>
          <w:color w:val="auto"/>
          <w:kern w:val="0"/>
          <w:sz w:val="24"/>
          <w:szCs w:val="24"/>
          <w:highlight w:val="none"/>
          <w:lang w:val="en-US" w:eastAsia="zh-CN"/>
        </w:rPr>
        <w:t>混料过程中产生的颗粒物经</w:t>
      </w:r>
      <w:r>
        <w:rPr>
          <w:rFonts w:hint="default" w:ascii="Times New Roman" w:hAnsi="Times New Roman" w:eastAsia="宋体" w:cs="Times New Roman"/>
          <w:color w:val="auto"/>
          <w:sz w:val="24"/>
          <w:szCs w:val="24"/>
          <w:highlight w:val="none"/>
        </w:rPr>
        <w:t>除尘滤芯</w:t>
      </w:r>
      <w:r>
        <w:rPr>
          <w:rFonts w:hint="default" w:ascii="Times New Roman" w:hAnsi="Times New Roman" w:eastAsia="宋体" w:cs="Times New Roman"/>
          <w:color w:val="auto"/>
          <w:sz w:val="24"/>
          <w:szCs w:val="24"/>
          <w:highlight w:val="none"/>
          <w:lang w:val="en-US" w:eastAsia="zh-CN"/>
        </w:rPr>
        <w:t>处理，</w:t>
      </w:r>
      <w:r>
        <w:rPr>
          <w:rFonts w:hint="default" w:ascii="Times New Roman" w:hAnsi="Times New Roman" w:eastAsia="宋体" w:cs="Times New Roman"/>
          <w:color w:val="auto"/>
          <w:sz w:val="24"/>
          <w:highlight w:val="none"/>
        </w:rPr>
        <w:t>降尘效率按99%计算，粉尘的排放量为0.</w:t>
      </w:r>
      <w:r>
        <w:rPr>
          <w:rFonts w:hint="default" w:ascii="Times New Roman" w:hAnsi="Times New Roman" w:eastAsia="宋体" w:cs="Times New Roman"/>
          <w:color w:val="auto"/>
          <w:sz w:val="24"/>
          <w:highlight w:val="none"/>
          <w:lang w:val="en-US" w:eastAsia="zh-CN"/>
        </w:rPr>
        <w:t>54</w:t>
      </w:r>
      <w:r>
        <w:rPr>
          <w:rFonts w:hint="default" w:ascii="Times New Roman" w:hAnsi="Times New Roman" w:eastAsia="宋体" w:cs="Times New Roman"/>
          <w:color w:val="auto"/>
          <w:sz w:val="24"/>
          <w:highlight w:val="none"/>
        </w:rPr>
        <w:t>t/a，排放速率为0.0</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kg/h</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zh-CN"/>
        </w:rPr>
        <w:t>满足</w:t>
      </w:r>
      <w:r>
        <w:rPr>
          <w:rFonts w:hint="default" w:ascii="Times New Roman" w:hAnsi="Times New Roman" w:eastAsia="宋体" w:cs="Times New Roman"/>
          <w:color w:val="auto"/>
          <w:sz w:val="24"/>
        </w:rPr>
        <w:t>《合成树脂工业污染物排放标准》（GB31572-2015）</w:t>
      </w:r>
      <w:r>
        <w:rPr>
          <w:rFonts w:hint="default" w:ascii="Times New Roman" w:hAnsi="Times New Roman" w:eastAsia="宋体" w:cs="Times New Roman"/>
          <w:color w:val="auto"/>
          <w:sz w:val="24"/>
          <w:lang w:val="en-US" w:eastAsia="zh-CN"/>
        </w:rPr>
        <w:t>表4大气污染物排放限值</w:t>
      </w:r>
      <w:r>
        <w:rPr>
          <w:rFonts w:hint="default" w:ascii="Times New Roman" w:hAnsi="Times New Roman" w:eastAsia="宋体" w:cs="Times New Roman"/>
          <w:color w:val="auto"/>
          <w:sz w:val="24"/>
          <w:szCs w:val="24"/>
          <w:highlight w:val="none"/>
          <w:lang w:val="zh-CN"/>
        </w:rPr>
        <w:t>。</w:t>
      </w:r>
    </w:p>
    <w:p>
      <w:pPr>
        <w:pStyle w:val="5"/>
        <w:bidi w:val="0"/>
        <w:rPr>
          <w:rFonts w:hint="default" w:ascii="Times New Roman" w:hAnsi="Times New Roman" w:eastAsia="宋体" w:cs="Times New Roman"/>
          <w:color w:val="auto"/>
        </w:rPr>
      </w:pPr>
      <w:bookmarkStart w:id="321" w:name="_Toc464475440"/>
      <w:bookmarkStart w:id="322" w:name="_Toc5289"/>
      <w:r>
        <w:rPr>
          <w:rFonts w:hint="default" w:ascii="Times New Roman" w:hAnsi="Times New Roman" w:eastAsia="宋体" w:cs="Times New Roman"/>
          <w:color w:val="auto"/>
        </w:rPr>
        <w:t>6.3废水</w:t>
      </w:r>
      <w:bookmarkEnd w:id="319"/>
      <w:bookmarkEnd w:id="321"/>
      <w:r>
        <w:rPr>
          <w:rFonts w:hint="default" w:ascii="Times New Roman" w:hAnsi="Times New Roman" w:eastAsia="宋体" w:cs="Times New Roman"/>
          <w:color w:val="auto"/>
        </w:rPr>
        <w:t>污染防治措施及可行性分析</w:t>
      </w:r>
      <w:bookmarkEnd w:id="322"/>
    </w:p>
    <w:p>
      <w:pPr>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本项目运营期产生的废水主要有生产废水和生活废水，生产废水主要是湿法破碎废水、清洗废水</w:t>
      </w:r>
      <w:r>
        <w:rPr>
          <w:rFonts w:hint="default" w:ascii="Times New Roman" w:hAnsi="Times New Roman" w:eastAsia="宋体" w:cs="Times New Roman"/>
          <w:color w:val="auto"/>
          <w:sz w:val="24"/>
          <w:szCs w:val="24"/>
          <w:highlight w:val="none"/>
          <w:lang w:eastAsia="zh-CN"/>
        </w:rPr>
        <w:t>、甩干废水和冷却废水</w:t>
      </w:r>
      <w:r>
        <w:rPr>
          <w:rFonts w:hint="default" w:ascii="Times New Roman" w:hAnsi="Times New Roman" w:eastAsia="宋体" w:cs="Times New Roman"/>
          <w:color w:val="auto"/>
          <w:sz w:val="24"/>
          <w:szCs w:val="24"/>
          <w:highlight w:val="none"/>
        </w:rPr>
        <w:t>；生活废水主要是职工生活污水。</w:t>
      </w:r>
    </w:p>
    <w:p>
      <w:pPr>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根据工程分析，本项目生产过程中产生的湿法破碎废水、清洗废水</w:t>
      </w:r>
      <w:r>
        <w:rPr>
          <w:rFonts w:hint="default" w:ascii="Times New Roman" w:hAnsi="Times New Roman" w:eastAsia="宋体" w:cs="Times New Roman"/>
          <w:color w:val="auto"/>
          <w:sz w:val="24"/>
          <w:szCs w:val="24"/>
          <w:highlight w:val="none"/>
          <w:lang w:eastAsia="zh-CN"/>
        </w:rPr>
        <w:t>和甩干废水</w:t>
      </w:r>
      <w:r>
        <w:rPr>
          <w:rFonts w:hint="default" w:ascii="Times New Roman" w:hAnsi="Times New Roman" w:eastAsia="宋体" w:cs="Times New Roman"/>
          <w:color w:val="auto"/>
          <w:sz w:val="24"/>
          <w:szCs w:val="24"/>
          <w:highlight w:val="none"/>
        </w:rPr>
        <w:t>主要污染物为悬浮物，来源于回收的废旧棚膜和滴灌带表面附着的泥沙，本项目采用</w:t>
      </w:r>
      <w:r>
        <w:rPr>
          <w:rFonts w:hint="default" w:ascii="Times New Roman" w:hAnsi="Times New Roman" w:eastAsia="宋体" w:cs="Times New Roman"/>
          <w:color w:val="auto"/>
          <w:sz w:val="24"/>
          <w:szCs w:val="24"/>
          <w:highlight w:val="none"/>
          <w:lang w:eastAsia="zh-CN"/>
        </w:rPr>
        <w:t>沉淀</w:t>
      </w:r>
      <w:r>
        <w:rPr>
          <w:rFonts w:hint="default" w:ascii="Times New Roman" w:hAnsi="Times New Roman" w:eastAsia="宋体" w:cs="Times New Roman"/>
          <w:color w:val="auto"/>
          <w:sz w:val="24"/>
          <w:szCs w:val="24"/>
          <w:highlight w:val="none"/>
        </w:rPr>
        <w:t>方式处理，</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有效容积</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eastAsia="zh-CN"/>
        </w:rPr>
        <w:t>再三级沉淀池</w:t>
      </w:r>
      <w:r>
        <w:rPr>
          <w:rFonts w:hint="default" w:ascii="Times New Roman" w:hAnsi="Times New Roman" w:eastAsia="宋体" w:cs="Times New Roman"/>
          <w:color w:val="auto"/>
          <w:sz w:val="24"/>
          <w:szCs w:val="24"/>
          <w:highlight w:val="none"/>
        </w:rPr>
        <w:t>停留时间0.5h，</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废水处理能力可行。</w:t>
      </w:r>
    </w:p>
    <w:p>
      <w:pPr>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本项目生产车间内原料破碎采用湿法破碎，湿法破碎废水进入车间外</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进行沉淀后循环使用；清洗废水</w:t>
      </w:r>
      <w:r>
        <w:rPr>
          <w:rFonts w:hint="default" w:ascii="Times New Roman" w:hAnsi="Times New Roman" w:eastAsia="宋体" w:cs="Times New Roman"/>
          <w:color w:val="auto"/>
          <w:sz w:val="24"/>
          <w:szCs w:val="24"/>
          <w:highlight w:val="none"/>
          <w:lang w:eastAsia="zh-CN"/>
        </w:rPr>
        <w:t>和甩干废水</w:t>
      </w:r>
      <w:r>
        <w:rPr>
          <w:rFonts w:hint="default" w:ascii="Times New Roman" w:hAnsi="Times New Roman" w:eastAsia="宋体" w:cs="Times New Roman"/>
          <w:color w:val="auto"/>
          <w:sz w:val="24"/>
          <w:szCs w:val="24"/>
          <w:highlight w:val="none"/>
        </w:rPr>
        <w:t>进入车间外</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进行沉淀后循环使用；由于本项目湿法破碎及清洗用水对水质要求较低，且水中污染物成分简单，主要为悬浮物，不溶于水，故本项目采用</w:t>
      </w:r>
      <w:r>
        <w:rPr>
          <w:rFonts w:hint="default" w:ascii="Times New Roman" w:hAnsi="Times New Roman" w:eastAsia="宋体" w:cs="Times New Roman"/>
          <w:color w:val="auto"/>
          <w:sz w:val="24"/>
          <w:szCs w:val="24"/>
          <w:highlight w:val="none"/>
          <w:lang w:eastAsia="zh-CN"/>
        </w:rPr>
        <w:t>沉淀</w:t>
      </w:r>
      <w:r>
        <w:rPr>
          <w:rFonts w:hint="default" w:ascii="Times New Roman" w:hAnsi="Times New Roman" w:eastAsia="宋体" w:cs="Times New Roman"/>
          <w:color w:val="auto"/>
          <w:sz w:val="24"/>
          <w:szCs w:val="24"/>
          <w:highlight w:val="none"/>
        </w:rPr>
        <w:t>方式可保证处理后废水水质满足湿法破碎用水及清洗用水的要求，处理后的废水暂存于</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配套清水池内，湿法除尘系统直接由清水池内取水，破碎废水直接流入</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；同时水池与清洗水槽有水泵相连，当清洗水槽内水量不足时，通过水泵向清洗水槽内补水，保持水量稳定；当清洗水槽内水悬浮物过多，不能满足清洗要求时，打开排水阀门，通过管道流入</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，实现整个生产区的水循环利用。</w:t>
      </w:r>
    </w:p>
    <w:p>
      <w:pPr>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采用</w:t>
      </w:r>
      <w:r>
        <w:rPr>
          <w:rFonts w:hint="default" w:ascii="Times New Roman" w:hAnsi="Times New Roman" w:eastAsia="宋体" w:cs="Times New Roman"/>
          <w:color w:val="auto"/>
          <w:sz w:val="24"/>
          <w:szCs w:val="24"/>
          <w:highlight w:val="none"/>
          <w:lang w:val="en-US" w:eastAsia="zh-CN"/>
        </w:rPr>
        <w:t>沉淀</w:t>
      </w:r>
      <w:r>
        <w:rPr>
          <w:rFonts w:hint="default" w:ascii="Times New Roman" w:hAnsi="Times New Roman" w:eastAsia="宋体" w:cs="Times New Roman"/>
          <w:color w:val="auto"/>
          <w:sz w:val="24"/>
          <w:szCs w:val="24"/>
          <w:highlight w:val="none"/>
        </w:rPr>
        <w:t>处理项目破碎及清洗废水，</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为两级串联式钢结构，渗透系数小于1.0×10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cm/s，废水经</w:t>
      </w:r>
      <w:r>
        <w:rPr>
          <w:rFonts w:hint="default" w:ascii="Times New Roman" w:hAnsi="Times New Roman" w:eastAsia="宋体" w:cs="Times New Roman"/>
          <w:color w:val="auto"/>
          <w:sz w:val="24"/>
          <w:szCs w:val="24"/>
          <w:highlight w:val="none"/>
          <w:lang w:eastAsia="zh-CN"/>
        </w:rPr>
        <w:t>三级</w:t>
      </w:r>
      <w:r>
        <w:rPr>
          <w:rFonts w:hint="default" w:ascii="Times New Roman" w:hAnsi="Times New Roman" w:eastAsia="宋体" w:cs="Times New Roman"/>
          <w:color w:val="auto"/>
          <w:sz w:val="24"/>
          <w:szCs w:val="24"/>
          <w:highlight w:val="none"/>
        </w:rPr>
        <w:t>沉淀后，清水经泵打回到清洗工段循环使用不外排。</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由管道连通，便于流动，便于清掏底泥项目清洗废水经</w:t>
      </w:r>
      <w:r>
        <w:rPr>
          <w:rFonts w:hint="default" w:ascii="Times New Roman" w:hAnsi="Times New Roman" w:eastAsia="宋体" w:cs="Times New Roman"/>
          <w:color w:val="auto"/>
          <w:sz w:val="24"/>
          <w:szCs w:val="24"/>
          <w:highlight w:val="none"/>
          <w:lang w:eastAsia="zh-CN"/>
        </w:rPr>
        <w:t>三级</w:t>
      </w:r>
      <w:r>
        <w:rPr>
          <w:rFonts w:hint="default" w:ascii="Times New Roman" w:hAnsi="Times New Roman" w:eastAsia="宋体" w:cs="Times New Roman"/>
          <w:color w:val="auto"/>
          <w:sz w:val="24"/>
          <w:szCs w:val="24"/>
          <w:highlight w:val="none"/>
        </w:rPr>
        <w:t>沉淀后，</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中清水经泵打回到清洗工段循环使用不外排。均由管道连通，便于流动，便于清掏底泥。</w:t>
      </w:r>
    </w:p>
    <w:p>
      <w:pPr>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生活污水</w:t>
      </w:r>
      <w:r>
        <w:rPr>
          <w:rFonts w:hint="default" w:ascii="Times New Roman" w:hAnsi="Times New Roman" w:eastAsia="宋体" w:cs="Times New Roman"/>
          <w:color w:val="auto"/>
          <w:sz w:val="24"/>
          <w:szCs w:val="24"/>
          <w:highlight w:val="none"/>
          <w:lang w:eastAsia="zh-CN"/>
        </w:rPr>
        <w:t>排入防渗化粪池内</w:t>
      </w:r>
      <w:r>
        <w:rPr>
          <w:rFonts w:hint="default" w:ascii="Times New Roman" w:hAnsi="Times New Roman" w:eastAsia="宋体" w:cs="Times New Roman"/>
          <w:color w:val="auto"/>
          <w:sz w:val="24"/>
          <w:szCs w:val="24"/>
          <w:highlight w:val="none"/>
          <w:lang w:val="en-US" w:eastAsia="zh-CN"/>
        </w:rPr>
        <w:t>，定期清掏</w:t>
      </w:r>
      <w:r>
        <w:rPr>
          <w:rFonts w:hint="default" w:ascii="Times New Roman" w:hAnsi="Times New Roman" w:eastAsia="宋体" w:cs="Times New Roman"/>
          <w:color w:val="auto"/>
          <w:sz w:val="24"/>
          <w:szCs w:val="24"/>
          <w:highlight w:val="none"/>
        </w:rPr>
        <w:t>，因此，本项目废水排放对地表水影响在允许的范围之内。</w:t>
      </w:r>
    </w:p>
    <w:p>
      <w:pPr>
        <w:pStyle w:val="5"/>
        <w:bidi w:val="0"/>
        <w:rPr>
          <w:rFonts w:hint="default" w:ascii="Times New Roman" w:hAnsi="Times New Roman" w:eastAsia="宋体" w:cs="Times New Roman"/>
          <w:color w:val="auto"/>
        </w:rPr>
      </w:pPr>
      <w:bookmarkStart w:id="323" w:name="_Toc5955"/>
      <w:r>
        <w:rPr>
          <w:rFonts w:hint="default" w:ascii="Times New Roman" w:hAnsi="Times New Roman" w:eastAsia="宋体" w:cs="Times New Roman"/>
          <w:color w:val="auto"/>
        </w:rPr>
        <w:t>6.4地下水污染防治措施及可行性分析</w:t>
      </w:r>
      <w:bookmarkEnd w:id="323"/>
    </w:p>
    <w:p>
      <w:pPr>
        <w:shd w:val="clea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地下水环境保护措施与对策依据《中华人民共和国水污染防治法》和《中华人民共和国环境影响评价法》的相关规定，按照“源头控制、分区防控、污染监控、应急响应”且重点突出饮用水水质安全的原则确定。根据建设项目特点、调查评价区和场地环境水文地质条件，在建设项目可行性研究提出的污染防控对策的基础上，根据环境影响预测与评价结果，提出需要增加或完善的地下水环境保护措施和对策。</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6.4.1 源头控制措施  </w:t>
      </w:r>
    </w:p>
    <w:p>
      <w:pPr>
        <w:shd w:val="clea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源头控制主要包括在工艺、管道、设备、污水储存及处理构筑物采取相应措施，防止和降低污染物跑、冒、滴、漏，将污染物泄漏的环境风险事故降到最低程度。</w:t>
      </w:r>
    </w:p>
    <w:p>
      <w:pPr>
        <w:shd w:val="clea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对产生的废水进行合理的处理和综合利用，以先进工艺、管道、设备、污水储存，尽可能从源头上减少可能污染物的产生；严格按照国家相关规范要求，对工艺、管道、设备、污水储存及处理构筑物采取相应的措施，以防止和降低可能污染物的跑、冒、滴、漏，将废水泄漏的环境风险事故降低到最低程度。</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6.4.2 分区防渗措施</w:t>
      </w:r>
    </w:p>
    <w:p>
      <w:pPr>
        <w:shd w:val="clea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根据建设项目场地天然包气带防污性能、污染控制难易程度和污染物特性确定防渗级别。</w:t>
      </w:r>
    </w:p>
    <w:p>
      <w:pPr>
        <w:shd w:val="clear"/>
        <w:spacing w:line="360" w:lineRule="auto"/>
        <w:ind w:firstLine="48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污染控制难易程度分级和天然包气带防污性能分级参照表6.4-1和表6.4-2进行相关等级的确定。参照表6.4-3提出防渗技术要求。</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表6.4-1 污染控制难易程度分级参照表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85"/>
        <w:gridCol w:w="6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5" w:type="dxa"/>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污染控制难易程度</w:t>
            </w:r>
          </w:p>
        </w:tc>
        <w:tc>
          <w:tcPr>
            <w:tcW w:w="6475" w:type="dxa"/>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5" w:type="dxa"/>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难</w:t>
            </w:r>
          </w:p>
        </w:tc>
        <w:tc>
          <w:tcPr>
            <w:tcW w:w="6475" w:type="dxa"/>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5" w:type="dxa"/>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易</w:t>
            </w:r>
          </w:p>
        </w:tc>
        <w:tc>
          <w:tcPr>
            <w:tcW w:w="6475" w:type="dxa"/>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对地下水环境有污染的物料或污染物泄漏后，可及时发现和处理。</w:t>
            </w:r>
          </w:p>
        </w:tc>
      </w:tr>
    </w:tbl>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表6.4-2 天然包气带防污性能分级参照表</w:t>
      </w:r>
    </w:p>
    <w:tbl>
      <w:tblPr>
        <w:tblStyle w:val="90"/>
        <w:tblW w:w="8260" w:type="dxa"/>
        <w:jc w:val="center"/>
        <w:tblLayout w:type="fixed"/>
        <w:tblCellMar>
          <w:top w:w="0" w:type="dxa"/>
          <w:left w:w="0" w:type="dxa"/>
          <w:bottom w:w="0" w:type="dxa"/>
          <w:right w:w="0" w:type="dxa"/>
        </w:tblCellMar>
      </w:tblPr>
      <w:tblGrid>
        <w:gridCol w:w="708"/>
        <w:gridCol w:w="7552"/>
      </w:tblGrid>
      <w:tr>
        <w:tblPrEx>
          <w:tblCellMar>
            <w:top w:w="0" w:type="dxa"/>
            <w:left w:w="0" w:type="dxa"/>
            <w:bottom w:w="0" w:type="dxa"/>
            <w:right w:w="0" w:type="dxa"/>
          </w:tblCellMar>
        </w:tblPrEx>
        <w:trPr>
          <w:trHeight w:val="340" w:hRule="atLeast"/>
          <w:jc w:val="center"/>
        </w:trPr>
        <w:tc>
          <w:tcPr>
            <w:tcW w:w="708"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分级</w:t>
            </w:r>
          </w:p>
        </w:tc>
        <w:tc>
          <w:tcPr>
            <w:tcW w:w="7552"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包气带岩土的渗透性能</w:t>
            </w:r>
          </w:p>
        </w:tc>
      </w:tr>
      <w:tr>
        <w:tblPrEx>
          <w:tblCellMar>
            <w:top w:w="0" w:type="dxa"/>
            <w:left w:w="0" w:type="dxa"/>
            <w:bottom w:w="0" w:type="dxa"/>
            <w:right w:w="0" w:type="dxa"/>
          </w:tblCellMar>
        </w:tblPrEx>
        <w:trPr>
          <w:trHeight w:val="340" w:hRule="atLeast"/>
          <w:jc w:val="center"/>
        </w:trPr>
        <w:tc>
          <w:tcPr>
            <w:tcW w:w="708"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强</w:t>
            </w:r>
          </w:p>
        </w:tc>
        <w:tc>
          <w:tcPr>
            <w:tcW w:w="7552"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岩（土）层单层厚度Mb≥1.0m，渗透系数K≤1×10</w:t>
            </w:r>
            <w:r>
              <w:rPr>
                <w:rFonts w:hint="default" w:ascii="Times New Roman" w:hAnsi="Times New Roman" w:eastAsia="宋体" w:cs="Times New Roman"/>
                <w:color w:val="auto"/>
                <w:kern w:val="0"/>
                <w:position w:val="-2"/>
                <w:szCs w:val="21"/>
                <w:highlight w:val="none"/>
                <w:vertAlign w:val="superscript"/>
              </w:rPr>
              <w:t>-6</w:t>
            </w:r>
            <w:r>
              <w:rPr>
                <w:rFonts w:hint="default" w:ascii="Times New Roman" w:hAnsi="Times New Roman" w:eastAsia="宋体" w:cs="Times New Roman"/>
                <w:color w:val="auto"/>
                <w:kern w:val="0"/>
                <w:position w:val="-2"/>
                <w:szCs w:val="21"/>
                <w:highlight w:val="none"/>
              </w:rPr>
              <w:t>cm/s，且分布连续、稳定。</w:t>
            </w:r>
          </w:p>
        </w:tc>
      </w:tr>
      <w:tr>
        <w:tblPrEx>
          <w:tblCellMar>
            <w:top w:w="0" w:type="dxa"/>
            <w:left w:w="0" w:type="dxa"/>
            <w:bottom w:w="0" w:type="dxa"/>
            <w:right w:w="0" w:type="dxa"/>
          </w:tblCellMar>
        </w:tblPrEx>
        <w:trPr>
          <w:trHeight w:val="340" w:hRule="atLeast"/>
          <w:jc w:val="center"/>
        </w:trPr>
        <w:tc>
          <w:tcPr>
            <w:tcW w:w="708"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中</w:t>
            </w:r>
          </w:p>
        </w:tc>
        <w:tc>
          <w:tcPr>
            <w:tcW w:w="7552"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岩（土）层单层厚度0.5m≤Mb&lt;1.0m，渗透系数K≤1×10</w:t>
            </w:r>
            <w:r>
              <w:rPr>
                <w:rFonts w:hint="default" w:ascii="Times New Roman" w:hAnsi="Times New Roman" w:eastAsia="宋体" w:cs="Times New Roman"/>
                <w:color w:val="auto"/>
                <w:kern w:val="0"/>
                <w:position w:val="-2"/>
                <w:szCs w:val="21"/>
                <w:highlight w:val="none"/>
                <w:vertAlign w:val="superscript"/>
              </w:rPr>
              <w:t>-6</w:t>
            </w:r>
            <w:r>
              <w:rPr>
                <w:rFonts w:hint="default" w:ascii="Times New Roman" w:hAnsi="Times New Roman" w:eastAsia="宋体" w:cs="Times New Roman"/>
                <w:color w:val="auto"/>
                <w:kern w:val="0"/>
                <w:position w:val="-2"/>
                <w:szCs w:val="21"/>
                <w:highlight w:val="none"/>
              </w:rPr>
              <w:t>cm/s，且分布连续、稳定。</w:t>
            </w:r>
          </w:p>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岩（土）层单层厚度Mb≥1.0m，渗透系数1×10</w:t>
            </w:r>
            <w:r>
              <w:rPr>
                <w:rFonts w:hint="default" w:ascii="Times New Roman" w:hAnsi="Times New Roman" w:eastAsia="宋体" w:cs="Times New Roman"/>
                <w:color w:val="auto"/>
                <w:kern w:val="0"/>
                <w:position w:val="-2"/>
                <w:szCs w:val="21"/>
                <w:highlight w:val="none"/>
                <w:vertAlign w:val="superscript"/>
              </w:rPr>
              <w:t>-6</w:t>
            </w:r>
            <w:r>
              <w:rPr>
                <w:rFonts w:hint="default" w:ascii="Times New Roman" w:hAnsi="Times New Roman" w:eastAsia="宋体" w:cs="Times New Roman"/>
                <w:color w:val="auto"/>
                <w:kern w:val="0"/>
                <w:position w:val="-2"/>
                <w:szCs w:val="21"/>
                <w:highlight w:val="none"/>
              </w:rPr>
              <w:t>cm/s&lt;K≤1×10</w:t>
            </w:r>
            <w:r>
              <w:rPr>
                <w:rFonts w:hint="default" w:ascii="Times New Roman" w:hAnsi="Times New Roman" w:eastAsia="宋体" w:cs="Times New Roman"/>
                <w:color w:val="auto"/>
                <w:kern w:val="0"/>
                <w:position w:val="-2"/>
                <w:szCs w:val="21"/>
                <w:highlight w:val="none"/>
                <w:vertAlign w:val="superscript"/>
              </w:rPr>
              <w:t>-4</w:t>
            </w:r>
            <w:r>
              <w:rPr>
                <w:rFonts w:hint="default" w:ascii="Times New Roman" w:hAnsi="Times New Roman" w:eastAsia="宋体" w:cs="Times New Roman"/>
                <w:color w:val="auto"/>
                <w:kern w:val="0"/>
                <w:position w:val="-2"/>
                <w:szCs w:val="21"/>
                <w:highlight w:val="none"/>
              </w:rPr>
              <w:t>cm/s，且分布连续、稳定。</w:t>
            </w:r>
          </w:p>
        </w:tc>
      </w:tr>
      <w:tr>
        <w:tblPrEx>
          <w:tblCellMar>
            <w:top w:w="0" w:type="dxa"/>
            <w:left w:w="0" w:type="dxa"/>
            <w:bottom w:w="0" w:type="dxa"/>
            <w:right w:w="0" w:type="dxa"/>
          </w:tblCellMar>
        </w:tblPrEx>
        <w:trPr>
          <w:trHeight w:val="340" w:hRule="atLeast"/>
          <w:jc w:val="center"/>
        </w:trPr>
        <w:tc>
          <w:tcPr>
            <w:tcW w:w="708"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弱</w:t>
            </w:r>
          </w:p>
        </w:tc>
        <w:tc>
          <w:tcPr>
            <w:tcW w:w="7552"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岩（土）层不满足上述“强”和“中”条件。</w:t>
            </w:r>
          </w:p>
        </w:tc>
      </w:tr>
    </w:tbl>
    <w:p>
      <w:pPr>
        <w:bidi w:val="0"/>
        <w:jc w:val="center"/>
        <w:rPr>
          <w:rFonts w:hint="default" w:ascii="Times New Roman" w:hAnsi="Times New Roman" w:eastAsia="宋体" w:cs="Times New Roman"/>
          <w:color w:val="auto"/>
        </w:rPr>
      </w:pPr>
      <w:r>
        <w:rPr>
          <w:rFonts w:hint="default" w:ascii="Times New Roman" w:hAnsi="Times New Roman" w:eastAsia="宋体" w:cs="Times New Roman"/>
          <w:b/>
          <w:color w:val="auto"/>
          <w:sz w:val="24"/>
          <w:highlight w:val="none"/>
        </w:rPr>
        <w:t>表6.4-3 天然包气带防污性能分级参照表</w:t>
      </w:r>
    </w:p>
    <w:tbl>
      <w:tblPr>
        <w:tblStyle w:val="90"/>
        <w:tblW w:w="82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6"/>
        <w:gridCol w:w="1408"/>
        <w:gridCol w:w="1898"/>
        <w:gridCol w:w="1898"/>
        <w:gridCol w:w="14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场地名称</w:t>
            </w:r>
          </w:p>
        </w:tc>
        <w:tc>
          <w:tcPr>
            <w:tcW w:w="1408"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天然包气带防污性能</w:t>
            </w:r>
          </w:p>
        </w:tc>
        <w:tc>
          <w:tcPr>
            <w:tcW w:w="1898"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污染控制难易程度</w:t>
            </w:r>
          </w:p>
        </w:tc>
        <w:tc>
          <w:tcPr>
            <w:tcW w:w="1898"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污染物类型</w:t>
            </w:r>
          </w:p>
        </w:tc>
        <w:tc>
          <w:tcPr>
            <w:tcW w:w="1490"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防渗分区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三级沉淀池</w:t>
            </w:r>
          </w:p>
        </w:tc>
        <w:tc>
          <w:tcPr>
            <w:tcW w:w="1408"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中</w:t>
            </w:r>
          </w:p>
        </w:tc>
        <w:tc>
          <w:tcPr>
            <w:tcW w:w="1898"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难</w:t>
            </w:r>
          </w:p>
        </w:tc>
        <w:tc>
          <w:tcPr>
            <w:tcW w:w="1898"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其他类型</w:t>
            </w:r>
          </w:p>
        </w:tc>
        <w:tc>
          <w:tcPr>
            <w:tcW w:w="1490"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一般防渗区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危废暂存间</w:t>
            </w:r>
          </w:p>
        </w:tc>
        <w:tc>
          <w:tcPr>
            <w:tcW w:w="1408"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中</w:t>
            </w:r>
          </w:p>
        </w:tc>
        <w:tc>
          <w:tcPr>
            <w:tcW w:w="1898"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难</w:t>
            </w:r>
          </w:p>
        </w:tc>
        <w:tc>
          <w:tcPr>
            <w:tcW w:w="1898"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其他类型</w:t>
            </w:r>
          </w:p>
        </w:tc>
        <w:tc>
          <w:tcPr>
            <w:tcW w:w="1490" w:type="dxa"/>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重点</w:t>
            </w:r>
            <w:r>
              <w:rPr>
                <w:rFonts w:hint="default" w:ascii="Times New Roman" w:hAnsi="Times New Roman" w:eastAsia="宋体" w:cs="Times New Roman"/>
                <w:color w:val="auto"/>
                <w:kern w:val="0"/>
                <w:szCs w:val="21"/>
                <w:highlight w:val="none"/>
                <w:lang w:eastAsia="zh-TW"/>
              </w:rPr>
              <w:t>防渗区</w:t>
            </w:r>
          </w:p>
        </w:tc>
      </w:tr>
    </w:tbl>
    <w:p>
      <w:pPr>
        <w:shd w:val="clea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综上，按照《环境影响评价技术导则地下水环境》（HJ610-2016）对地下水污染防渗分区的要求（见表6.4-4），结合工程分析，将场区地下水污染防控划分为重点防渗区、一般防渗区和简单防渗区。危废暂存间为重点防渗区；</w:t>
      </w:r>
      <w:r>
        <w:rPr>
          <w:rFonts w:hint="default" w:ascii="Times New Roman" w:hAnsi="Times New Roman" w:eastAsia="宋体" w:cs="Times New Roman"/>
          <w:color w:val="auto"/>
          <w:sz w:val="24"/>
          <w:szCs w:val="32"/>
          <w:highlight w:val="none"/>
          <w:lang w:eastAsia="zh-CN"/>
        </w:rPr>
        <w:t>三级沉淀池</w:t>
      </w:r>
      <w:r>
        <w:rPr>
          <w:rFonts w:hint="default" w:ascii="Times New Roman" w:hAnsi="Times New Roman" w:eastAsia="宋体" w:cs="Times New Roman"/>
          <w:color w:val="auto"/>
          <w:sz w:val="24"/>
          <w:szCs w:val="32"/>
          <w:highlight w:val="none"/>
        </w:rPr>
        <w:t>及</w:t>
      </w:r>
      <w:r>
        <w:rPr>
          <w:rFonts w:hint="default" w:ascii="Times New Roman" w:hAnsi="Times New Roman" w:eastAsia="宋体" w:cs="Times New Roman"/>
          <w:color w:val="auto"/>
          <w:sz w:val="24"/>
          <w:szCs w:val="32"/>
          <w:highlight w:val="none"/>
          <w:lang w:eastAsia="zh-CN"/>
        </w:rPr>
        <w:t>防渗化粪池</w:t>
      </w:r>
      <w:r>
        <w:rPr>
          <w:rFonts w:hint="default" w:ascii="Times New Roman" w:hAnsi="Times New Roman" w:eastAsia="宋体" w:cs="Times New Roman"/>
          <w:color w:val="auto"/>
          <w:sz w:val="24"/>
          <w:szCs w:val="32"/>
          <w:highlight w:val="none"/>
        </w:rPr>
        <w:t>为一般防渗区；生产车间及原材料库为简单防渗区。</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表6.4-4  地下水污染防渗分区参照表</w:t>
      </w:r>
    </w:p>
    <w:tbl>
      <w:tblPr>
        <w:tblStyle w:val="90"/>
        <w:tblW w:w="8289" w:type="dxa"/>
        <w:jc w:val="center"/>
        <w:tblLayout w:type="fixed"/>
        <w:tblCellMar>
          <w:top w:w="0" w:type="dxa"/>
          <w:left w:w="0" w:type="dxa"/>
          <w:bottom w:w="0" w:type="dxa"/>
          <w:right w:w="0" w:type="dxa"/>
        </w:tblCellMar>
      </w:tblPr>
      <w:tblGrid>
        <w:gridCol w:w="1134"/>
        <w:gridCol w:w="4519"/>
        <w:gridCol w:w="2636"/>
      </w:tblGrid>
      <w:tr>
        <w:tblPrEx>
          <w:tblCellMar>
            <w:top w:w="0" w:type="dxa"/>
            <w:left w:w="0" w:type="dxa"/>
            <w:bottom w:w="0" w:type="dxa"/>
            <w:right w:w="0" w:type="dxa"/>
          </w:tblCellMar>
        </w:tblPrEx>
        <w:trPr>
          <w:trHeight w:val="340" w:hRule="atLeast"/>
          <w:jc w:val="center"/>
        </w:trPr>
        <w:tc>
          <w:tcPr>
            <w:tcW w:w="113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防渗分区</w:t>
            </w:r>
          </w:p>
        </w:tc>
        <w:tc>
          <w:tcPr>
            <w:tcW w:w="4519"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防渗技术要求</w:t>
            </w:r>
          </w:p>
        </w:tc>
        <w:tc>
          <w:tcPr>
            <w:tcW w:w="2636"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本项目防渗区划分</w:t>
            </w:r>
          </w:p>
        </w:tc>
      </w:tr>
      <w:tr>
        <w:tblPrEx>
          <w:tblCellMar>
            <w:top w:w="0" w:type="dxa"/>
            <w:left w:w="0" w:type="dxa"/>
            <w:bottom w:w="0" w:type="dxa"/>
            <w:right w:w="0" w:type="dxa"/>
          </w:tblCellMar>
        </w:tblPrEx>
        <w:trPr>
          <w:trHeight w:val="340" w:hRule="atLeast"/>
          <w:jc w:val="center"/>
        </w:trPr>
        <w:tc>
          <w:tcPr>
            <w:tcW w:w="113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重点防渗区</w:t>
            </w:r>
          </w:p>
        </w:tc>
        <w:tc>
          <w:tcPr>
            <w:tcW w:w="4519"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等效黏土防渗层Mb≥6.0m，K≤1×10</w:t>
            </w:r>
            <w:r>
              <w:rPr>
                <w:rFonts w:hint="default" w:ascii="Times New Roman" w:hAnsi="Times New Roman" w:eastAsia="宋体" w:cs="Times New Roman"/>
                <w:color w:val="auto"/>
                <w:kern w:val="0"/>
                <w:position w:val="-2"/>
                <w:szCs w:val="21"/>
                <w:highlight w:val="none"/>
                <w:vertAlign w:val="superscript"/>
              </w:rPr>
              <w:t>-10</w:t>
            </w:r>
            <w:r>
              <w:rPr>
                <w:rFonts w:hint="default" w:ascii="Times New Roman" w:hAnsi="Times New Roman" w:eastAsia="宋体" w:cs="Times New Roman"/>
                <w:color w:val="auto"/>
                <w:kern w:val="0"/>
                <w:position w:val="-2"/>
                <w:szCs w:val="21"/>
                <w:highlight w:val="none"/>
              </w:rPr>
              <w:t>cm/s；或参照GB18598执行</w:t>
            </w:r>
          </w:p>
        </w:tc>
        <w:tc>
          <w:tcPr>
            <w:tcW w:w="2636"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危废暂存间</w:t>
            </w:r>
          </w:p>
        </w:tc>
      </w:tr>
      <w:tr>
        <w:tblPrEx>
          <w:tblCellMar>
            <w:top w:w="0" w:type="dxa"/>
            <w:left w:w="0" w:type="dxa"/>
            <w:bottom w:w="0" w:type="dxa"/>
            <w:right w:w="0" w:type="dxa"/>
          </w:tblCellMar>
        </w:tblPrEx>
        <w:trPr>
          <w:trHeight w:val="340" w:hRule="atLeast"/>
          <w:jc w:val="center"/>
        </w:trPr>
        <w:tc>
          <w:tcPr>
            <w:tcW w:w="113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Cs w:val="21"/>
                <w:highlight w:val="none"/>
              </w:rPr>
              <w:t>一般防渗区</w:t>
            </w:r>
          </w:p>
        </w:tc>
        <w:tc>
          <w:tcPr>
            <w:tcW w:w="4519"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Cs w:val="21"/>
                <w:highlight w:val="none"/>
              </w:rPr>
              <w:t>等效黏土防渗层Mb≥1.5m，K≤1×10</w:t>
            </w:r>
            <w:r>
              <w:rPr>
                <w:rFonts w:hint="default" w:ascii="Times New Roman" w:hAnsi="Times New Roman" w:eastAsia="宋体" w:cs="Times New Roman"/>
                <w:color w:val="auto"/>
                <w:kern w:val="0"/>
                <w:position w:val="-2"/>
                <w:szCs w:val="21"/>
                <w:highlight w:val="none"/>
                <w:vertAlign w:val="superscript"/>
              </w:rPr>
              <w:t>-7</w:t>
            </w:r>
            <w:r>
              <w:rPr>
                <w:rFonts w:hint="default" w:ascii="Times New Roman" w:hAnsi="Times New Roman" w:eastAsia="宋体" w:cs="Times New Roman"/>
                <w:color w:val="auto"/>
                <w:kern w:val="0"/>
                <w:position w:val="-2"/>
                <w:szCs w:val="21"/>
                <w:highlight w:val="none"/>
              </w:rPr>
              <w:t>cm/s；或参照GB16889执行</w:t>
            </w:r>
          </w:p>
        </w:tc>
        <w:tc>
          <w:tcPr>
            <w:tcW w:w="2636"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Cs w:val="21"/>
                <w:highlight w:val="none"/>
              </w:rPr>
            </w:pPr>
            <w:r>
              <w:rPr>
                <w:rFonts w:hint="default" w:ascii="Times New Roman" w:hAnsi="Times New Roman" w:eastAsia="宋体" w:cs="Times New Roman"/>
                <w:color w:val="auto"/>
                <w:kern w:val="0"/>
                <w:position w:val="-2"/>
                <w:szCs w:val="21"/>
                <w:highlight w:val="none"/>
              </w:rPr>
              <w:t>生产车间、</w:t>
            </w:r>
            <w:r>
              <w:rPr>
                <w:rFonts w:hint="default" w:ascii="Times New Roman" w:hAnsi="Times New Roman" w:eastAsia="宋体" w:cs="Times New Roman"/>
                <w:color w:val="auto"/>
                <w:kern w:val="0"/>
                <w:position w:val="-2"/>
                <w:szCs w:val="21"/>
                <w:highlight w:val="none"/>
                <w:lang w:eastAsia="zh-CN"/>
              </w:rPr>
              <w:t>三级沉淀池</w:t>
            </w:r>
            <w:r>
              <w:rPr>
                <w:rFonts w:hint="default" w:ascii="Times New Roman" w:hAnsi="Times New Roman" w:eastAsia="宋体" w:cs="Times New Roman"/>
                <w:color w:val="auto"/>
                <w:kern w:val="0"/>
                <w:position w:val="-2"/>
                <w:szCs w:val="21"/>
                <w:highlight w:val="none"/>
              </w:rPr>
              <w:t>、</w:t>
            </w:r>
            <w:r>
              <w:rPr>
                <w:rFonts w:hint="default" w:ascii="Times New Roman" w:hAnsi="Times New Roman" w:eastAsia="宋体" w:cs="Times New Roman"/>
                <w:color w:val="auto"/>
                <w:kern w:val="0"/>
                <w:position w:val="-2"/>
                <w:szCs w:val="21"/>
                <w:highlight w:val="none"/>
                <w:lang w:eastAsia="zh-CN"/>
              </w:rPr>
              <w:t>防渗化粪池</w:t>
            </w:r>
            <w:r>
              <w:rPr>
                <w:rFonts w:hint="default" w:ascii="Times New Roman" w:hAnsi="Times New Roman" w:eastAsia="宋体" w:cs="Times New Roman"/>
                <w:color w:val="auto"/>
                <w:kern w:val="0"/>
                <w:position w:val="-2"/>
                <w:szCs w:val="21"/>
                <w:highlight w:val="none"/>
              </w:rPr>
              <w:t>、一般固废暂存间</w:t>
            </w:r>
          </w:p>
        </w:tc>
      </w:tr>
      <w:tr>
        <w:tblPrEx>
          <w:tblCellMar>
            <w:top w:w="0" w:type="dxa"/>
            <w:left w:w="0" w:type="dxa"/>
            <w:bottom w:w="0" w:type="dxa"/>
            <w:right w:w="0" w:type="dxa"/>
          </w:tblCellMar>
        </w:tblPrEx>
        <w:trPr>
          <w:trHeight w:val="340" w:hRule="atLeast"/>
          <w:jc w:val="center"/>
        </w:trPr>
        <w:tc>
          <w:tcPr>
            <w:tcW w:w="113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Cs w:val="21"/>
                <w:highlight w:val="none"/>
              </w:rPr>
              <w:t>简单防渗区</w:t>
            </w:r>
          </w:p>
        </w:tc>
        <w:tc>
          <w:tcPr>
            <w:tcW w:w="4519"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Cs w:val="21"/>
                <w:highlight w:val="none"/>
              </w:rPr>
              <w:t>一般地面硬化</w:t>
            </w:r>
          </w:p>
        </w:tc>
        <w:tc>
          <w:tcPr>
            <w:tcW w:w="2636"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Cs w:val="21"/>
                <w:highlight w:val="none"/>
              </w:rPr>
              <w:t>原材料库、成品库</w:t>
            </w:r>
            <w:r>
              <w:rPr>
                <w:rFonts w:hint="default" w:ascii="Times New Roman" w:hAnsi="Times New Roman" w:eastAsia="宋体" w:cs="Times New Roman"/>
                <w:color w:val="auto"/>
                <w:kern w:val="0"/>
                <w:position w:val="-2"/>
                <w:szCs w:val="21"/>
                <w:highlight w:val="none"/>
                <w:lang w:eastAsia="zh-CN"/>
              </w:rPr>
              <w:t>、办公室</w:t>
            </w:r>
          </w:p>
        </w:tc>
      </w:tr>
    </w:tbl>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6.4.3地下水环境监测与管理</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及时而准确的掌握项目厂区及周边地下水环境质量状况，发现问题及时解决，切实加强环境保护与环境管理，为此建议：在项目厂区建设过程中及投产运行期，建立地下水环境监控体系，包括建立地下水监控网点，建立完善监测制度。同时，企业委托当地环境监测站及社会化检测机构进行检测，并将检测数据及结论及时上报当地环保主管部门。根据《地下水环境监测技术规范》HJ/T164-2004之要求，在项目厂区及周边地区设置一定数量地下水质污染监控井，建立地下水质污染监控、预警体系。</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（1）监测点的布设：拟布1个点，即J1监测点。J1监测点布置在厂区</w:t>
      </w:r>
      <w:r>
        <w:rPr>
          <w:rFonts w:hint="default" w:ascii="Times New Roman" w:hAnsi="Times New Roman" w:eastAsia="宋体" w:cs="Times New Roman"/>
          <w:color w:val="auto"/>
          <w:sz w:val="24"/>
          <w:highlight w:val="none"/>
          <w:lang w:eastAsia="zh-CN"/>
        </w:rPr>
        <w:t>北</w:t>
      </w:r>
      <w:r>
        <w:rPr>
          <w:rFonts w:hint="default" w:ascii="Times New Roman" w:hAnsi="Times New Roman" w:eastAsia="宋体" w:cs="Times New Roman"/>
          <w:color w:val="auto"/>
          <w:sz w:val="24"/>
          <w:highlight w:val="none"/>
        </w:rPr>
        <w:t>侧地下水径流方向下游，作为污染监测井，监测井结构为水泥管井结构，井位坐标为N:40°51′</w:t>
      </w:r>
      <w:r>
        <w:rPr>
          <w:rFonts w:hint="default" w:ascii="Times New Roman" w:hAnsi="Times New Roman" w:eastAsia="宋体" w:cs="Times New Roman"/>
          <w:color w:val="auto"/>
          <w:sz w:val="24"/>
          <w:highlight w:val="none"/>
          <w:lang w:val="en-US" w:eastAsia="zh-CN"/>
        </w:rPr>
        <w:t>26.83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E:108°54′4</w:t>
      </w:r>
      <w:r>
        <w:rPr>
          <w:rFonts w:hint="default" w:ascii="Times New Roman" w:hAnsi="Times New Roman" w:eastAsia="宋体" w:cs="Times New Roman"/>
          <w:color w:val="auto"/>
          <w:sz w:val="24"/>
          <w:highlight w:val="none"/>
          <w:lang w:val="en-US" w:eastAsia="zh-CN"/>
        </w:rPr>
        <w:t>6.36</w:t>
      </w:r>
      <w:r>
        <w:rPr>
          <w:rFonts w:hint="default" w:ascii="Times New Roman" w:hAnsi="Times New Roman" w:eastAsia="宋体" w:cs="Times New Roman"/>
          <w:color w:val="auto"/>
          <w:sz w:val="24"/>
          <w:highlight w:val="none"/>
        </w:rPr>
        <w:t>′′，用于监测地下水污染状况。</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（2）监测层位及井深：潜水含水层，根据评价区水文地质条件，设计监测井深度为1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0m，其中，地表以下0~70m为实管，70m~1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0m为花管，监测井直径为800mm。</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（3）监测频率：在正常工况下，1次/年。发生事故后应加密监测，每月监测1次，直到污染消除。</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监测项目：根据工程分析，污染源产生的污水特征，确定地下水监测项目为：pH、总硬度、耗氧量、溶解性总固体、氟化物、氰化物、硫酸盐、亚硝酸盐氮、氨氮、硝酸盐氮、六价铬、挥发酚、总大肠菌群。同时监测地下水位、水温。</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上述监测结果应按项目有关规定及时建立档案，并定期向厂安全环保部门汇报。如发现异常或发生事故，加密监测频次，并分析污染原因，确定泄漏污染源，及时采取对应应急措施。地下水环境监测计划详见第8章-环境管理与监测计划。</w:t>
      </w:r>
    </w:p>
    <w:p>
      <w:pPr>
        <w:pStyle w:val="134"/>
        <w:keepLines w:val="0"/>
        <w:shd w:val="clear"/>
        <w:rPr>
          <w:rFonts w:hint="default" w:ascii="Times New Roman" w:hAnsi="Times New Roman" w:eastAsia="宋体" w:cs="Times New Roman"/>
          <w:color w:val="auto"/>
          <w:highlight w:val="none"/>
        </w:rPr>
      </w:pPr>
      <w:bookmarkStart w:id="324" w:name="_Toc327383154"/>
      <w:bookmarkStart w:id="325" w:name="_Toc16073"/>
      <w:bookmarkStart w:id="326" w:name="_Toc464475441"/>
      <w:r>
        <w:rPr>
          <w:rFonts w:hint="default" w:ascii="Times New Roman" w:hAnsi="Times New Roman" w:eastAsia="宋体" w:cs="Times New Roman"/>
          <w:color w:val="auto"/>
          <w:highlight w:val="none"/>
        </w:rPr>
        <w:t>6.</w:t>
      </w:r>
      <w:bookmarkEnd w:id="324"/>
      <w:bookmarkStart w:id="327" w:name="_Toc353361717"/>
      <w:r>
        <w:rPr>
          <w:rFonts w:hint="default" w:ascii="Times New Roman" w:hAnsi="Times New Roman" w:eastAsia="宋体" w:cs="Times New Roman"/>
          <w:color w:val="auto"/>
          <w:highlight w:val="none"/>
        </w:rPr>
        <w:t>5噪声防治措施及可行性分析</w:t>
      </w:r>
      <w:bookmarkEnd w:id="325"/>
    </w:p>
    <w:p>
      <w:pPr>
        <w:shd w:val="clea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项目主要噪声源为生产设备、水泵、风机等噪声，噪声源强为75-90dB</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A</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w:t>
      </w:r>
    </w:p>
    <w:p>
      <w:pPr>
        <w:pStyle w:val="147"/>
        <w:shd w:val="clea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6.5.1防治基本原则</w:t>
      </w:r>
    </w:p>
    <w:p>
      <w:pPr>
        <w:shd w:val="clear"/>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对噪声的防治首先从声源上进行控制，其次从传播途径上进行控制。</w:t>
      </w:r>
    </w:p>
    <w:p>
      <w:pPr>
        <w:pStyle w:val="147"/>
        <w:shd w:val="clea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6.5.2噪声污染防治原则性措施</w:t>
      </w:r>
    </w:p>
    <w:p>
      <w:pPr>
        <w:keepNext w:val="0"/>
        <w:keepLines w:val="0"/>
        <w:pageBreakBefore w:val="0"/>
        <w:widowControl w:val="0"/>
        <w:shd w:val="clea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zh-CN"/>
        </w:rPr>
        <w:t>（1）</w:t>
      </w:r>
      <w:r>
        <w:rPr>
          <w:rFonts w:hint="default" w:ascii="Times New Roman" w:hAnsi="Times New Roman" w:eastAsia="宋体" w:cs="Times New Roman"/>
          <w:color w:val="auto"/>
          <w:sz w:val="24"/>
          <w:szCs w:val="24"/>
          <w:highlight w:val="none"/>
        </w:rPr>
        <w:t>选用低噪声设备</w:t>
      </w:r>
    </w:p>
    <w:p>
      <w:pPr>
        <w:keepNext w:val="0"/>
        <w:keepLines w:val="0"/>
        <w:pageBreakBefore w:val="0"/>
        <w:widowControl w:val="0"/>
        <w:shd w:val="clea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在设备选型上，建设单位应优先选择低噪声设备。</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w:t>
      </w:r>
      <w:r>
        <w:rPr>
          <w:rFonts w:hint="default"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zh-CN"/>
        </w:rPr>
        <w:t>）隔声、消声</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1）</w:t>
      </w:r>
      <w:r>
        <w:rPr>
          <w:rFonts w:hint="default" w:ascii="Times New Roman" w:hAnsi="Times New Roman" w:eastAsia="宋体" w:cs="Times New Roman"/>
          <w:color w:val="auto"/>
          <w:kern w:val="0"/>
          <w:sz w:val="24"/>
          <w:szCs w:val="24"/>
          <w:highlight w:val="none"/>
          <w:lang w:val="zh-CN"/>
        </w:rPr>
        <w:t>本项目利用的旧的乡政府大院，厂房利用现有建筑物，</w:t>
      </w:r>
      <w:r>
        <w:rPr>
          <w:rFonts w:hint="default" w:ascii="Times New Roman" w:hAnsi="Times New Roman" w:eastAsia="宋体" w:cs="Times New Roman"/>
          <w:color w:val="auto"/>
          <w:kern w:val="0"/>
          <w:sz w:val="24"/>
          <w:szCs w:val="24"/>
          <w:highlight w:val="none"/>
          <w:lang w:val="en-US" w:eastAsia="zh-CN"/>
        </w:rPr>
        <w:t>生产过程中</w:t>
      </w:r>
      <w:r>
        <w:rPr>
          <w:rFonts w:hint="default" w:ascii="Times New Roman" w:hAnsi="Times New Roman" w:eastAsia="宋体" w:cs="Times New Roman"/>
          <w:color w:val="auto"/>
          <w:kern w:val="0"/>
          <w:sz w:val="24"/>
          <w:szCs w:val="24"/>
          <w:highlight w:val="none"/>
          <w:lang w:val="zh-CN"/>
        </w:rPr>
        <w:t>厂房可对噪声产生一定隔声效果，并对设备采取基础减震安装；</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2）风机与风道采用柔性连接；</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通过采取以上措施，车间内设备可降噪20-25dB（A）。</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zh-CN"/>
        </w:rPr>
        <w:t>）合理布局防治噪声</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1）调整布局，尽量将高噪声车间远离南侧敏感点；</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2）加强厂区绿化，可实施乔木落叶树与低矮的灌木病草坪构成的混合绿化屏障，这对降低厂区区噪声水平，有一定的辅助效果。</w:t>
      </w:r>
    </w:p>
    <w:p>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sz w:val="24"/>
          <w:szCs w:val="24"/>
          <w:highlight w:val="none"/>
        </w:rPr>
        <w:t>由预测结果可知：</w:t>
      </w:r>
      <w:r>
        <w:rPr>
          <w:rFonts w:hint="default" w:ascii="Times New Roman" w:hAnsi="Times New Roman" w:eastAsia="宋体" w:cs="Times New Roman"/>
          <w:color w:val="auto"/>
          <w:sz w:val="24"/>
          <w:highlight w:val="none"/>
        </w:rPr>
        <w:t>项目投入运行后，厂界昼</w:t>
      </w:r>
      <w:r>
        <w:rPr>
          <w:rFonts w:hint="default" w:ascii="Times New Roman" w:hAnsi="Times New Roman" w:eastAsia="宋体" w:cs="Times New Roman"/>
          <w:color w:val="auto"/>
          <w:sz w:val="24"/>
          <w:highlight w:val="none"/>
          <w:lang w:eastAsia="zh-CN"/>
        </w:rPr>
        <w:t>、夜</w:t>
      </w:r>
      <w:r>
        <w:rPr>
          <w:rFonts w:hint="default" w:ascii="Times New Roman" w:hAnsi="Times New Roman" w:eastAsia="宋体" w:cs="Times New Roman"/>
          <w:color w:val="auto"/>
          <w:sz w:val="24"/>
          <w:highlight w:val="none"/>
        </w:rPr>
        <w:t>间噪声贡献值在</w:t>
      </w:r>
      <w:r>
        <w:rPr>
          <w:rFonts w:hint="default" w:ascii="Times New Roman" w:hAnsi="Times New Roman" w:eastAsia="宋体" w:cs="Times New Roman"/>
          <w:color w:val="auto"/>
          <w:sz w:val="24"/>
          <w:highlight w:val="none"/>
          <w:lang w:val="en-US" w:eastAsia="zh-CN"/>
        </w:rPr>
        <w:t>38.6~48.1</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之间，均满足《工业企业厂界环境噪声排放标准》</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lang w:eastAsia="zh-CN"/>
        </w:rPr>
        <w:t>周边敏感点</w:t>
      </w:r>
      <w:r>
        <w:rPr>
          <w:rFonts w:hint="default" w:ascii="Times New Roman" w:hAnsi="Times New Roman" w:eastAsia="宋体" w:cs="Times New Roman"/>
          <w:color w:val="auto"/>
          <w:sz w:val="24"/>
          <w:highlight w:val="none"/>
        </w:rPr>
        <w:t>昼间噪声</w:t>
      </w:r>
      <w:r>
        <w:rPr>
          <w:rFonts w:hint="default" w:ascii="Times New Roman" w:hAnsi="Times New Roman" w:eastAsia="宋体" w:cs="Times New Roman"/>
          <w:color w:val="auto"/>
          <w:sz w:val="24"/>
          <w:highlight w:val="none"/>
          <w:lang w:eastAsia="zh-CN"/>
        </w:rPr>
        <w:t>预测值</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52.4</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53.2</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eastAsia="zh-CN"/>
        </w:rPr>
        <w:t>夜</w:t>
      </w:r>
      <w:r>
        <w:rPr>
          <w:rFonts w:hint="default" w:ascii="Times New Roman" w:hAnsi="Times New Roman" w:eastAsia="宋体" w:cs="Times New Roman"/>
          <w:color w:val="auto"/>
          <w:sz w:val="24"/>
          <w:highlight w:val="none"/>
        </w:rPr>
        <w:t>间噪声</w:t>
      </w:r>
      <w:r>
        <w:rPr>
          <w:rFonts w:hint="default" w:ascii="Times New Roman" w:hAnsi="Times New Roman" w:eastAsia="宋体" w:cs="Times New Roman"/>
          <w:color w:val="auto"/>
          <w:sz w:val="24"/>
          <w:highlight w:val="none"/>
          <w:lang w:eastAsia="zh-CN"/>
        </w:rPr>
        <w:t>预测值</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45.2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45.5</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满足《声环境质量标准》(GB3096-2008) 2类标准要求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因此，本</w:t>
      </w:r>
      <w:r>
        <w:rPr>
          <w:rFonts w:hint="default" w:ascii="Times New Roman" w:hAnsi="Times New Roman" w:eastAsia="宋体" w:cs="Times New Roman"/>
          <w:color w:val="auto"/>
          <w:sz w:val="24"/>
          <w:szCs w:val="24"/>
          <w:highlight w:val="none"/>
        </w:rPr>
        <w:t>项目建成后设备噪声对环境影响较小</w:t>
      </w:r>
      <w:r>
        <w:rPr>
          <w:rFonts w:hint="default" w:ascii="Times New Roman" w:hAnsi="Times New Roman" w:eastAsia="宋体" w:cs="Times New Roman"/>
          <w:color w:val="auto"/>
          <w:kern w:val="0"/>
          <w:sz w:val="24"/>
          <w:szCs w:val="24"/>
          <w:highlight w:val="none"/>
          <w:lang w:val="zh-CN"/>
        </w:rPr>
        <w:t>，噪声防治措施可行。</w:t>
      </w:r>
    </w:p>
    <w:p>
      <w:pPr>
        <w:pStyle w:val="134"/>
        <w:keepLines w:val="0"/>
        <w:shd w:val="clear"/>
        <w:rPr>
          <w:rFonts w:hint="default" w:ascii="Times New Roman" w:hAnsi="Times New Roman" w:eastAsia="宋体" w:cs="Times New Roman"/>
          <w:color w:val="auto"/>
          <w:highlight w:val="none"/>
        </w:rPr>
      </w:pPr>
      <w:bookmarkStart w:id="328" w:name="_Toc3948"/>
      <w:r>
        <w:rPr>
          <w:rFonts w:hint="default" w:ascii="Times New Roman" w:hAnsi="Times New Roman" w:eastAsia="宋体" w:cs="Times New Roman"/>
          <w:color w:val="auto"/>
          <w:highlight w:val="none"/>
        </w:rPr>
        <w:t>6.6固体废物污染防治措施</w:t>
      </w:r>
      <w:bookmarkEnd w:id="326"/>
      <w:bookmarkEnd w:id="327"/>
      <w:r>
        <w:rPr>
          <w:rFonts w:hint="default" w:ascii="Times New Roman" w:hAnsi="Times New Roman" w:eastAsia="宋体" w:cs="Times New Roman"/>
          <w:color w:val="auto"/>
          <w:highlight w:val="none"/>
        </w:rPr>
        <w:t>及可行性分析</w:t>
      </w:r>
      <w:bookmarkEnd w:id="328"/>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bookmarkStart w:id="329" w:name="_Toc108327457"/>
      <w:bookmarkStart w:id="330" w:name="_Toc175561647"/>
      <w:bookmarkStart w:id="331" w:name="_Toc299026031"/>
      <w:bookmarkStart w:id="332" w:name="_Toc205874986"/>
      <w:bookmarkStart w:id="333" w:name="_Toc181193671"/>
      <w:r>
        <w:rPr>
          <w:rFonts w:hint="default" w:ascii="Times New Roman" w:hAnsi="Times New Roman" w:eastAsia="宋体" w:cs="Times New Roman"/>
          <w:color w:val="auto"/>
          <w:sz w:val="24"/>
          <w:szCs w:val="24"/>
          <w:highlight w:val="none"/>
        </w:rPr>
        <w:t>本项目所排固体废物主要有两类：一般工业固废、危险废物。</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zh-CN"/>
        </w:rPr>
        <w:t>（1）</w:t>
      </w:r>
      <w:r>
        <w:rPr>
          <w:rFonts w:hint="default" w:ascii="Times New Roman" w:hAnsi="Times New Roman" w:eastAsia="宋体" w:cs="Times New Roman"/>
          <w:color w:val="auto"/>
          <w:sz w:val="24"/>
          <w:szCs w:val="24"/>
          <w:highlight w:val="none"/>
        </w:rPr>
        <w:t>本项目一般工业固废包括分拣废物、</w:t>
      </w:r>
      <w:r>
        <w:rPr>
          <w:rFonts w:hint="default" w:ascii="Times New Roman" w:hAnsi="Times New Roman" w:eastAsia="宋体" w:cs="Times New Roman"/>
          <w:color w:val="auto"/>
          <w:sz w:val="24"/>
          <w:szCs w:val="24"/>
          <w:highlight w:val="none"/>
          <w:lang w:eastAsia="zh-CN"/>
        </w:rPr>
        <w:t>三级沉淀池沉渣</w:t>
      </w:r>
      <w:r>
        <w:rPr>
          <w:rFonts w:hint="default" w:ascii="Times New Roman" w:hAnsi="Times New Roman" w:eastAsia="宋体" w:cs="Times New Roman"/>
          <w:color w:val="auto"/>
          <w:sz w:val="24"/>
          <w:szCs w:val="24"/>
          <w:highlight w:val="none"/>
        </w:rPr>
        <w:t>、废滤网</w:t>
      </w:r>
      <w:r>
        <w:rPr>
          <w:rFonts w:hint="default" w:ascii="Times New Roman" w:hAnsi="Times New Roman" w:eastAsia="宋体" w:cs="Times New Roman"/>
          <w:color w:val="auto"/>
          <w:sz w:val="24"/>
          <w:szCs w:val="24"/>
          <w:highlight w:val="none"/>
          <w:lang w:eastAsia="zh-CN"/>
        </w:rPr>
        <w:t>、混料工序收集的颗粒物</w:t>
      </w:r>
      <w:r>
        <w:rPr>
          <w:rFonts w:hint="default" w:ascii="Times New Roman" w:hAnsi="Times New Roman" w:eastAsia="宋体" w:cs="Times New Roman"/>
          <w:color w:val="auto"/>
          <w:sz w:val="24"/>
          <w:szCs w:val="24"/>
          <w:highlight w:val="none"/>
        </w:rPr>
        <w:t>。其中分拣废物</w:t>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eastAsia="zh-CN"/>
        </w:rPr>
        <w:t>三级沉淀池沉渣</w:t>
      </w:r>
      <w:r>
        <w:rPr>
          <w:rFonts w:hint="default" w:ascii="Times New Roman" w:hAnsi="Times New Roman" w:eastAsia="宋体" w:cs="Times New Roman"/>
          <w:color w:val="auto"/>
          <w:sz w:val="24"/>
          <w:szCs w:val="24"/>
          <w:highlight w:val="none"/>
        </w:rPr>
        <w:t>暂存于</w:t>
      </w:r>
      <w:r>
        <w:rPr>
          <w:rFonts w:hint="default" w:ascii="Times New Roman" w:hAnsi="Times New Roman" w:eastAsia="宋体" w:cs="Times New Roman"/>
          <w:color w:val="auto"/>
          <w:sz w:val="24"/>
          <w:szCs w:val="24"/>
          <w:highlight w:val="none"/>
          <w:lang w:eastAsia="zh-CN"/>
        </w:rPr>
        <w:t>一般固废暂存间</w:t>
      </w:r>
      <w:r>
        <w:rPr>
          <w:rFonts w:hint="default" w:ascii="Times New Roman" w:hAnsi="Times New Roman" w:eastAsia="宋体" w:cs="Times New Roman"/>
          <w:color w:val="auto"/>
          <w:sz w:val="24"/>
          <w:szCs w:val="24"/>
          <w:highlight w:val="none"/>
        </w:rPr>
        <w:t>内，</w:t>
      </w:r>
      <w:r>
        <w:rPr>
          <w:rFonts w:hint="default" w:ascii="Times New Roman" w:hAnsi="Times New Roman" w:eastAsia="宋体" w:cs="Times New Roman"/>
          <w:color w:val="auto"/>
          <w:sz w:val="24"/>
          <w:szCs w:val="24"/>
          <w:highlight w:val="none"/>
          <w:lang w:eastAsia="zh-CN"/>
        </w:rPr>
        <w:t>交由当地环卫部门清运，统一处置</w:t>
      </w:r>
      <w:r>
        <w:rPr>
          <w:rFonts w:hint="default" w:ascii="Times New Roman" w:hAnsi="Times New Roman" w:eastAsia="宋体" w:cs="Times New Roman"/>
          <w:color w:val="auto"/>
          <w:sz w:val="24"/>
          <w:szCs w:val="24"/>
          <w:highlight w:val="none"/>
        </w:rPr>
        <w:t>；废滤网暂存于一般固废暂存间，定期由厂家回收</w:t>
      </w:r>
      <w:r>
        <w:rPr>
          <w:rFonts w:hint="default" w:ascii="Times New Roman" w:hAnsi="Times New Roman" w:eastAsia="宋体" w:cs="Times New Roman"/>
          <w:color w:val="auto"/>
          <w:sz w:val="24"/>
          <w:szCs w:val="24"/>
          <w:highlight w:val="none"/>
          <w:lang w:eastAsia="zh-CN"/>
        </w:rPr>
        <w:t>；混料工序收集的粉尘回用于生产，不外排</w:t>
      </w:r>
      <w:r>
        <w:rPr>
          <w:rFonts w:hint="default" w:ascii="Times New Roman" w:hAnsi="Times New Roman" w:eastAsia="宋体" w:cs="Times New Roman"/>
          <w:color w:val="auto"/>
          <w:sz w:val="24"/>
          <w:szCs w:val="24"/>
          <w:highlight w:val="none"/>
        </w:rPr>
        <w:t>。本项目产生的一般工业固废类型简单，容易收集，故可以做到合理处置，不外排。</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szCs w:val="24"/>
          <w:highlight w:val="none"/>
          <w:lang w:val="zh-CN"/>
        </w:rPr>
        <w:t>（</w:t>
      </w:r>
      <w:r>
        <w:rPr>
          <w:rFonts w:hint="default"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zh-CN"/>
        </w:rPr>
        <w:t>）</w:t>
      </w:r>
      <w:r>
        <w:rPr>
          <w:rFonts w:hint="default" w:ascii="Times New Roman" w:hAnsi="Times New Roman" w:eastAsia="宋体" w:cs="Times New Roman"/>
          <w:color w:val="auto"/>
          <w:sz w:val="24"/>
          <w:szCs w:val="24"/>
          <w:highlight w:val="none"/>
        </w:rPr>
        <w:t>危险废物主要为</w:t>
      </w:r>
      <w:r>
        <w:rPr>
          <w:rFonts w:hint="default" w:ascii="Times New Roman" w:hAnsi="Times New Roman" w:eastAsia="宋体" w:cs="Times New Roman"/>
          <w:color w:val="auto"/>
          <w:sz w:val="24"/>
          <w:highlight w:val="none"/>
        </w:rPr>
        <w:t>废耐高温过滤棉</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w:t>
      </w:r>
      <w:r>
        <w:rPr>
          <w:rFonts w:hint="eastAsia" w:cs="Times New Roman"/>
          <w:color w:val="auto"/>
          <w:sz w:val="24"/>
          <w:highlight w:val="none"/>
          <w:lang w:eastAsia="zh-CN"/>
        </w:rPr>
        <w:t>灯管</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废</w:t>
      </w:r>
      <w:r>
        <w:rPr>
          <w:rFonts w:hint="default" w:ascii="Times New Roman" w:hAnsi="Times New Roman" w:eastAsia="宋体" w:cs="Times New Roman"/>
          <w:color w:val="auto"/>
          <w:sz w:val="24"/>
          <w:highlight w:val="none"/>
        </w:rPr>
        <w:t>活性炭，在危废产生后，</w:t>
      </w:r>
      <w:r>
        <w:rPr>
          <w:rFonts w:hint="default" w:ascii="Times New Roman" w:hAnsi="Times New Roman" w:eastAsia="宋体" w:cs="Times New Roman"/>
          <w:color w:val="auto"/>
          <w:sz w:val="24"/>
          <w:highlight w:val="none"/>
          <w:lang w:eastAsia="zh-CN"/>
        </w:rPr>
        <w:t>暂存</w:t>
      </w:r>
      <w:r>
        <w:rPr>
          <w:rFonts w:hint="default" w:ascii="Times New Roman" w:hAnsi="Times New Roman" w:eastAsia="宋体" w:cs="Times New Roman"/>
          <w:color w:val="auto"/>
          <w:sz w:val="24"/>
          <w:highlight w:val="none"/>
        </w:rPr>
        <w:t>于厂区危废暂存间，定期交由有资质处理单位</w:t>
      </w:r>
      <w:r>
        <w:rPr>
          <w:rFonts w:hint="default" w:ascii="Times New Roman" w:hAnsi="Times New Roman" w:eastAsia="宋体" w:cs="Times New Roman"/>
          <w:color w:val="auto"/>
          <w:sz w:val="24"/>
          <w:highlight w:val="none"/>
          <w:lang w:eastAsia="zh-CN"/>
        </w:rPr>
        <w:t>处置</w:t>
      </w:r>
      <w:r>
        <w:rPr>
          <w:rFonts w:hint="default" w:ascii="Times New Roman" w:hAnsi="Times New Roman" w:eastAsia="宋体" w:cs="Times New Roman"/>
          <w:color w:val="auto"/>
          <w:sz w:val="24"/>
          <w:highlight w:val="none"/>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本项目设1座危废暂存间，位于厂区东侧，并做好地面硬化和防渗工作，定期送有资质单位进行处理。</w:t>
      </w:r>
    </w:p>
    <w:bookmarkEnd w:id="329"/>
    <w:bookmarkEnd w:id="330"/>
    <w:bookmarkEnd w:id="331"/>
    <w:bookmarkEnd w:id="332"/>
    <w:bookmarkEnd w:id="333"/>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bookmarkStart w:id="334" w:name="_Toc243119430"/>
      <w:bookmarkStart w:id="335" w:name="_Toc464475480"/>
      <w:bookmarkStart w:id="336" w:name="_Toc327383228"/>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GB3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危险废物贮存一般要求</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对于危险废物收集、贮存、外运，应采取下述措施：</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1）企业应及时将生产过程产生的各种危险废物进行处理，在未处理期间，应集中收集，专人管理，集中贮存，各类危废应按性质不同分类进行贮存。</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2）项目区应建设危险废物暂存间，危险废物暂存间应满足《危险废物贮存污染控制标准》（GB18597-2001）的要求。</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在常温常压下不水解、不挥发的固体危险废物可在贮存设施内分别堆放。必须将危险废物装入容器内，无法装入常用容器的危险废物可用防漏胶袋等盛装。</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禁止将不相容（相互反应）的危险废物在同一容器内混装。</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装载液体、半固体危险废物的容器内须留足够空间，容器顶部与液体表面之间保留100mm以上的空间。</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盛装危险废物的容器上必须粘贴符合本标准附录A所示的标签。</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贮存场所要防风、防雨、防晒，在厂区内应避开易燃、易爆危险品仓库、高压输电线路防护区域，基础必须防渗，防渗层为至少1m厚粘土层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渗透系数≤10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，或2mm厚高密度聚乙烯，或至少2mm厚的其它人工材料，渗透系数≤10</w:t>
      </w:r>
      <w:r>
        <w:rPr>
          <w:rFonts w:hint="default" w:ascii="Times New Roman" w:hAnsi="Times New Roman" w:eastAsia="宋体" w:cs="Times New Roman"/>
          <w:color w:val="auto"/>
          <w:sz w:val="24"/>
          <w:highlight w:val="none"/>
          <w:vertAlign w:val="superscript"/>
        </w:rPr>
        <w:t>-10</w:t>
      </w:r>
      <w:r>
        <w:rPr>
          <w:rFonts w:hint="default" w:ascii="Times New Roman" w:hAnsi="Times New Roman" w:eastAsia="宋体" w:cs="Times New Roman"/>
          <w:color w:val="auto"/>
          <w:sz w:val="24"/>
          <w:highlight w:val="none"/>
        </w:rPr>
        <w:t>cm/s。用以存放装载液体、半固体危险废物容器的地方，必须有耐腐蚀的硬化地面，且表面无裂隙。不相容的危险废物必须分开存放，并设有隔离间隔断。</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3）危险废物收集、贮存和运输应满足《危险废物收集 贮存 运输技术规范》（GB18597-2001）的要求。</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危险废物收集、贮存、运输时应按腐蚀性、毒性、易燃性、反应性和感染性等危险特性对危险废物进行分类、包装并设置相应的标志及标签。危险废物特性应根据其产生源特性及危险废物鉴别技术规范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HJ/T298-2007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进行鉴别。</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贮存危险废物时应按危险废物的种类和特性进行分区贮存，每个贮存区域之间宜设置挡墙间隔，并应设置防雨、防火、防雷、防扬尘装置。</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危险废物贮存单位应建立危险废物贮存的台帐制度。</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危险废物运输应由持有危险废物经营许可证的单位按照其许可证的经营范围组织实施，承担危险废物运输的单位应获得交通运输部门颁发的危险货物运输资质。</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本项目对各种固体废物进行了综合利用或合理处置，将生产过程中产生的有利用价值的固体废物全部外售，避免了固体废物对环境的影响，实现了经济效益、社会效益和环境效益的统一。</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综上所述，本项目固废全部合理处置或综合利用，措施可行。</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fldChar w:fldCharType="begin"/>
      </w:r>
      <w:r>
        <w:rPr>
          <w:rFonts w:hint="default" w:ascii="Times New Roman" w:hAnsi="Times New Roman" w:eastAsia="宋体" w:cs="Times New Roman"/>
          <w:color w:val="auto"/>
          <w:kern w:val="0"/>
          <w:sz w:val="24"/>
          <w:highlight w:val="none"/>
        </w:rPr>
        <w:instrText xml:space="preserve"> = 2 \* GB3 </w:instrText>
      </w:r>
      <w:r>
        <w:rPr>
          <w:rFonts w:hint="default" w:ascii="Times New Roman" w:hAnsi="Times New Roman" w:eastAsia="宋体" w:cs="Times New Roman"/>
          <w:color w:val="auto"/>
          <w:kern w:val="0"/>
          <w:sz w:val="24"/>
          <w:highlight w:val="none"/>
        </w:rPr>
        <w:fldChar w:fldCharType="separate"/>
      </w:r>
      <w:r>
        <w:rPr>
          <w:rFonts w:hint="default" w:ascii="Times New Roman" w:hAnsi="Times New Roman" w:eastAsia="宋体" w:cs="Times New Roman"/>
          <w:color w:val="auto"/>
          <w:kern w:val="0"/>
          <w:sz w:val="24"/>
          <w:highlight w:val="none"/>
        </w:rPr>
        <w:t>②</w:t>
      </w:r>
      <w:r>
        <w:rPr>
          <w:rFonts w:hint="default" w:ascii="Times New Roman" w:hAnsi="Times New Roman" w:eastAsia="宋体" w:cs="Times New Roman"/>
          <w:color w:val="auto"/>
          <w:kern w:val="0"/>
          <w:sz w:val="24"/>
          <w:highlight w:val="none"/>
        </w:rPr>
        <w:fldChar w:fldCharType="end"/>
      </w:r>
      <w:r>
        <w:rPr>
          <w:rFonts w:hint="default" w:ascii="Times New Roman" w:hAnsi="Times New Roman" w:eastAsia="宋体" w:cs="Times New Roman"/>
          <w:color w:val="auto"/>
          <w:kern w:val="0"/>
          <w:sz w:val="24"/>
          <w:highlight w:val="none"/>
        </w:rPr>
        <w:t>危险废物贮存场要求</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1）地面与群脚要用坚固、防渗的材料建造，建筑材料必须与危险废物相容。</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2）必须有泄漏液体收集装置、气体导出口及气体净化装置。</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3）设施内要有安全照明设施和观察窗口。</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4）用以存放装载液体、半固体危险废物容器的地方，必须有耐腐蚀的硬化地面，且表面无裂隙。</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5）应设计堵截泄漏的群脚，地面与群脚所围建的容积不低于堵截最大容器的最大储量或总储量的1/5</w:t>
      </w:r>
      <w:r>
        <w:rPr>
          <w:rFonts w:hint="default" w:ascii="Times New Roman" w:hAnsi="Times New Roman" w:eastAsia="宋体" w:cs="Times New Roman"/>
          <w:color w:val="auto"/>
          <w:kern w:val="0"/>
          <w:sz w:val="24"/>
          <w:highlight w:val="none"/>
          <w:lang w:eastAsia="zh-CN"/>
        </w:rPr>
        <w:t>。</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lang w:eastAsia="zh-CN"/>
        </w:rPr>
      </w:pPr>
    </w:p>
    <w:p>
      <w:pPr>
        <w:widowControl/>
        <w:shd w:val="clear"/>
        <w:spacing w:line="360" w:lineRule="auto"/>
        <w:ind w:firstLine="480" w:firstLineChars="200"/>
        <w:rPr>
          <w:rFonts w:hint="default" w:ascii="Times New Roman" w:hAnsi="Times New Roman" w:eastAsia="宋体" w:cs="Times New Roman"/>
          <w:color w:val="auto"/>
          <w:kern w:val="0"/>
          <w:sz w:val="24"/>
          <w:highlight w:val="none"/>
        </w:rPr>
      </w:pPr>
    </w:p>
    <w:p>
      <w:pPr>
        <w:shd w:val="clear"/>
        <w:rPr>
          <w:rFonts w:hint="default" w:ascii="Times New Roman" w:hAnsi="Times New Roman" w:eastAsia="宋体" w:cs="Times New Roman"/>
          <w:color w:val="auto"/>
          <w:highlight w:val="none"/>
        </w:rPr>
        <w:sectPr>
          <w:pgSz w:w="11906" w:h="16838"/>
          <w:pgMar w:top="1440" w:right="1797" w:bottom="1440" w:left="1797" w:header="851" w:footer="992" w:gutter="0"/>
          <w:pgNumType w:fmt="decimal"/>
          <w:cols w:space="425" w:num="1"/>
          <w:docGrid w:type="lines" w:linePitch="312" w:charSpace="0"/>
        </w:sectPr>
      </w:pPr>
    </w:p>
    <w:p>
      <w:pPr>
        <w:pStyle w:val="4"/>
        <w:keepLines/>
        <w:pageBreakBefore/>
        <w:shd w:val="clear"/>
        <w:spacing w:before="120" w:after="120" w:line="360" w:lineRule="auto"/>
        <w:rPr>
          <w:rFonts w:hint="default" w:ascii="Times New Roman" w:hAnsi="Times New Roman" w:eastAsia="宋体" w:cs="Times New Roman"/>
          <w:color w:val="auto"/>
          <w:szCs w:val="28"/>
          <w:highlight w:val="none"/>
        </w:rPr>
      </w:pPr>
      <w:bookmarkStart w:id="337" w:name="_Toc2131"/>
      <w:r>
        <w:rPr>
          <w:rFonts w:hint="default" w:ascii="Times New Roman" w:hAnsi="Times New Roman" w:eastAsia="宋体" w:cs="Times New Roman"/>
          <w:color w:val="auto"/>
          <w:szCs w:val="28"/>
          <w:highlight w:val="none"/>
        </w:rPr>
        <w:t>7环境经济损益分析</w:t>
      </w:r>
      <w:bookmarkEnd w:id="337"/>
    </w:p>
    <w:p>
      <w:pPr>
        <w:shd w:val="clear"/>
        <w:tabs>
          <w:tab w:val="left" w:pos="42"/>
          <w:tab w:val="left" w:pos="4584"/>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建设项目环境影响评价有两个基本目标，一是要揭示建设项目所引起的环境影响，协调项目建设与环境目标一致的问题，二是要科学地评价建设项目所产生的经济效益和社会效益。因此在建设项目的环境影响评价工作中，除首先应注意那些由于污染对环境造成的影响，还应同时开展社会经济效益分析，把提高社会经济效益作为环境影响评价的一个出发点，把环境资源作为一种经济实体来对待，选择合理的开发方式、开发力度和环境保护措施，一方面尽可能使建设项目获得显著的经济效益，另一方面付出的环境代价要小。</w:t>
      </w:r>
    </w:p>
    <w:p>
      <w:pPr>
        <w:shd w:val="clear"/>
        <w:tabs>
          <w:tab w:val="left" w:pos="42"/>
          <w:tab w:val="left" w:pos="4584"/>
        </w:tabs>
        <w:adjustRightInd/>
        <w:snapToGrid/>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结合本项目的实际情况，采取相应的环境保护和切实可行的污染治理措施，使建设项目的经济效益、环境效益和社会效益三者得到有机统一，做到经济建设的可持续发展。</w:t>
      </w:r>
    </w:p>
    <w:p>
      <w:pPr>
        <w:pStyle w:val="5"/>
        <w:bidi w:val="0"/>
        <w:rPr>
          <w:rFonts w:hint="default" w:ascii="Times New Roman" w:hAnsi="Times New Roman" w:eastAsia="宋体" w:cs="Times New Roman"/>
          <w:color w:val="auto"/>
        </w:rPr>
      </w:pPr>
      <w:bookmarkStart w:id="338" w:name="_Toc329694186"/>
      <w:bookmarkStart w:id="339" w:name="_Toc23516"/>
      <w:r>
        <w:rPr>
          <w:rFonts w:hint="default" w:ascii="Times New Roman" w:hAnsi="Times New Roman" w:eastAsia="宋体" w:cs="Times New Roman"/>
          <w:color w:val="auto"/>
        </w:rPr>
        <w:t>7.1社会</w:t>
      </w:r>
      <w:r>
        <w:rPr>
          <w:rFonts w:hint="default" w:ascii="Times New Roman" w:hAnsi="Times New Roman" w:eastAsia="宋体" w:cs="Times New Roman"/>
          <w:color w:val="auto"/>
          <w:lang w:val="en-US" w:eastAsia="zh-CN"/>
        </w:rPr>
        <w:t>经济</w:t>
      </w:r>
      <w:r>
        <w:rPr>
          <w:rFonts w:hint="default" w:ascii="Times New Roman" w:hAnsi="Times New Roman" w:eastAsia="宋体" w:cs="Times New Roman"/>
          <w:color w:val="auto"/>
        </w:rPr>
        <w:t>效益分析</w:t>
      </w:r>
      <w:bookmarkEnd w:id="338"/>
      <w:bookmarkEnd w:id="339"/>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（1）本项目在建设和运营过程中能够直接或间接地给本地区提供大量的就业岗位，使当地的一部分群众可以在家门口就业，如从事管理、生产、运输、保洁、水电维修、后勤服务等众多工种。</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4"/>
          <w:highlight w:val="none"/>
          <w:lang w:val="zh-CN"/>
        </w:rPr>
        <w:t>（2）项目产品为滴灌带、</w:t>
      </w:r>
      <w:r>
        <w:rPr>
          <w:rFonts w:hint="default" w:ascii="Times New Roman" w:hAnsi="Times New Roman" w:eastAsia="宋体" w:cs="Times New Roman"/>
          <w:color w:val="auto"/>
          <w:sz w:val="24"/>
          <w:highlight w:val="none"/>
          <w:lang w:val="en-US" w:eastAsia="zh-CN"/>
        </w:rPr>
        <w:t>PE管材管件和</w:t>
      </w:r>
      <w:r>
        <w:rPr>
          <w:rFonts w:hint="default" w:ascii="Times New Roman" w:hAnsi="Times New Roman" w:eastAsia="宋体" w:cs="Times New Roman"/>
          <w:color w:val="auto"/>
          <w:sz w:val="24"/>
          <w:highlight w:val="none"/>
          <w:lang w:val="zh-CN"/>
        </w:rPr>
        <w:t>地膜，在推动地区经济发展、社会进步、提高人民生活水平等方面发挥重要的作用。本项目产品的原材料供应来源充足，能保证正常生产的需要，市场前景广阔，国内外需求量不断增多，资金来源可靠，上缴的各项税金增加了地方税收收入，具有良好的社会效益。</w:t>
      </w:r>
    </w:p>
    <w:p>
      <w:pPr>
        <w:pStyle w:val="5"/>
        <w:bidi w:val="0"/>
        <w:rPr>
          <w:rFonts w:hint="default" w:ascii="Times New Roman" w:hAnsi="Times New Roman" w:eastAsia="宋体" w:cs="Times New Roman"/>
          <w:color w:val="auto"/>
        </w:rPr>
      </w:pPr>
      <w:bookmarkStart w:id="340" w:name="_Toc329694188"/>
      <w:bookmarkStart w:id="341" w:name="_Toc27248"/>
      <w:r>
        <w:rPr>
          <w:rFonts w:hint="default" w:ascii="Times New Roman" w:hAnsi="Times New Roman" w:eastAsia="宋体" w:cs="Times New Roman"/>
          <w:color w:val="auto"/>
        </w:rPr>
        <w:t>7.</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环境效益分析</w:t>
      </w:r>
      <w:bookmarkEnd w:id="340"/>
      <w:bookmarkEnd w:id="341"/>
    </w:p>
    <w:p>
      <w:pPr>
        <w:numPr>
          <w:ilvl w:val="8"/>
          <w:numId w:val="0"/>
        </w:numPr>
        <w:shd w:val="clear"/>
        <w:tabs>
          <w:tab w:val="left" w:pos="360"/>
        </w:tabs>
        <w:autoSpaceDE w:val="0"/>
        <w:autoSpaceDN w:val="0"/>
        <w:adjustRightInd w:val="0"/>
        <w:snapToGrid w:val="0"/>
        <w:spacing w:line="360" w:lineRule="auto"/>
        <w:ind w:firstLine="482"/>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color w:val="auto"/>
          <w:sz w:val="24"/>
          <w:highlight w:val="none"/>
          <w:lang w:val="zh-CN"/>
        </w:rPr>
        <w:t>本项目污染防治措施及环保投资估算见表</w:t>
      </w:r>
      <w:r>
        <w:rPr>
          <w:rFonts w:hint="default" w:ascii="Times New Roman" w:hAnsi="Times New Roman" w:eastAsia="宋体" w:cs="Times New Roman"/>
          <w:color w:val="auto"/>
          <w:sz w:val="24"/>
          <w:highlight w:val="none"/>
        </w:rPr>
        <w:t>7.</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表7.</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-1  污染防治措施及环保投资估算一览表</w:t>
      </w:r>
    </w:p>
    <w:tbl>
      <w:tblPr>
        <w:tblStyle w:val="90"/>
        <w:tblW w:w="8260" w:type="dxa"/>
        <w:jc w:val="center"/>
        <w:tblLayout w:type="fixed"/>
        <w:tblCellMar>
          <w:top w:w="0" w:type="dxa"/>
          <w:left w:w="108" w:type="dxa"/>
          <w:bottom w:w="0" w:type="dxa"/>
          <w:right w:w="108" w:type="dxa"/>
        </w:tblCellMar>
      </w:tblPr>
      <w:tblGrid>
        <w:gridCol w:w="636"/>
        <w:gridCol w:w="1410"/>
        <w:gridCol w:w="2811"/>
        <w:gridCol w:w="952"/>
        <w:gridCol w:w="1361"/>
        <w:gridCol w:w="1090"/>
      </w:tblGrid>
      <w:tr>
        <w:tblPrEx>
          <w:tblCellMar>
            <w:top w:w="0" w:type="dxa"/>
            <w:left w:w="108" w:type="dxa"/>
            <w:bottom w:w="0" w:type="dxa"/>
            <w:right w:w="108" w:type="dxa"/>
          </w:tblCellMar>
        </w:tblPrEx>
        <w:trPr>
          <w:trHeight w:val="34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项目</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污染物</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治理设施</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数量</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处理效果</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环保投资</w:t>
            </w:r>
          </w:p>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万元）</w:t>
            </w:r>
          </w:p>
        </w:tc>
      </w:tr>
      <w:tr>
        <w:tblPrEx>
          <w:tblCellMar>
            <w:top w:w="0" w:type="dxa"/>
            <w:left w:w="108" w:type="dxa"/>
            <w:bottom w:w="0" w:type="dxa"/>
            <w:right w:w="108" w:type="dxa"/>
          </w:tblCellMar>
        </w:tblPrEx>
        <w:trPr>
          <w:trHeight w:val="340" w:hRule="atLeast"/>
          <w:jc w:val="center"/>
        </w:trPr>
        <w:tc>
          <w:tcPr>
            <w:tcW w:w="6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废水</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生活污水</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防渗化粪池</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1座</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14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生产废水</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防渗</w:t>
            </w:r>
            <w:r>
              <w:rPr>
                <w:rFonts w:hint="default" w:ascii="Times New Roman" w:hAnsi="Times New Roman" w:eastAsia="宋体" w:cs="Times New Roman"/>
                <w:color w:val="auto"/>
                <w:kern w:val="0"/>
                <w:sz w:val="21"/>
                <w:szCs w:val="21"/>
                <w:highlight w:val="none"/>
                <w:lang w:eastAsia="zh-CN"/>
              </w:rPr>
              <w:t>三级沉淀池</w:t>
            </w:r>
            <w:r>
              <w:rPr>
                <w:rFonts w:hint="default" w:ascii="Times New Roman" w:hAnsi="Times New Roman" w:eastAsia="宋体" w:cs="Times New Roman"/>
                <w:color w:val="auto"/>
                <w:kern w:val="0"/>
                <w:sz w:val="21"/>
                <w:szCs w:val="21"/>
                <w:highlight w:val="none"/>
              </w:rPr>
              <w:t xml:space="preserve"> </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1座</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14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防渗</w:t>
            </w:r>
            <w:r>
              <w:rPr>
                <w:rFonts w:hint="default" w:ascii="Times New Roman" w:hAnsi="Times New Roman" w:eastAsia="宋体" w:cs="Times New Roman"/>
                <w:color w:val="auto"/>
                <w:kern w:val="0"/>
                <w:sz w:val="21"/>
                <w:szCs w:val="21"/>
                <w:highlight w:val="none"/>
                <w:lang w:eastAsia="zh-CN"/>
              </w:rPr>
              <w:t>冷却水池</w:t>
            </w:r>
            <w:r>
              <w:rPr>
                <w:rFonts w:hint="default" w:ascii="Times New Roman" w:hAnsi="Times New Roman" w:eastAsia="宋体" w:cs="Times New Roman"/>
                <w:color w:val="auto"/>
                <w:kern w:val="0"/>
                <w:sz w:val="21"/>
                <w:szCs w:val="21"/>
                <w:highlight w:val="none"/>
              </w:rPr>
              <w:t xml:space="preserve"> </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1座</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2.0</w:t>
            </w:r>
          </w:p>
        </w:tc>
      </w:tr>
      <w:tr>
        <w:tblPrEx>
          <w:tblCellMar>
            <w:top w:w="0" w:type="dxa"/>
            <w:left w:w="108" w:type="dxa"/>
            <w:bottom w:w="0" w:type="dxa"/>
            <w:right w:w="108" w:type="dxa"/>
          </w:tblCellMar>
        </w:tblPrEx>
        <w:trPr>
          <w:trHeight w:val="34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废气</w:t>
            </w:r>
          </w:p>
        </w:tc>
        <w:tc>
          <w:tcPr>
            <w:tcW w:w="14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废气</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集气罩</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16</w:t>
            </w:r>
            <w:r>
              <w:rPr>
                <w:rFonts w:hint="default" w:ascii="Times New Roman" w:hAnsi="Times New Roman" w:eastAsia="宋体" w:cs="Times New Roman"/>
                <w:color w:val="auto"/>
                <w:kern w:val="0"/>
                <w:sz w:val="21"/>
                <w:szCs w:val="21"/>
                <w:highlight w:val="none"/>
                <w:lang w:eastAsia="zh-TW"/>
              </w:rPr>
              <w:t>个</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集气效率≥</w:t>
            </w:r>
            <w:r>
              <w:rPr>
                <w:rFonts w:hint="default" w:ascii="Times New Roman" w:hAnsi="Times New Roman" w:eastAsia="宋体"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lang w:eastAsia="zh-TW"/>
              </w:rPr>
              <w:t>0%</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w:t>
            </w: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14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rPr>
              <w:t>耐高温过滤棉</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TW"/>
              </w:rPr>
              <w:t>套</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rPr>
              <w:t>去除</w:t>
            </w:r>
            <w:r>
              <w:rPr>
                <w:rFonts w:hint="default" w:ascii="Times New Roman" w:hAnsi="Times New Roman" w:eastAsia="宋体" w:cs="Times New Roman"/>
                <w:color w:val="auto"/>
                <w:kern w:val="0"/>
                <w:sz w:val="21"/>
                <w:szCs w:val="21"/>
                <w:highlight w:val="none"/>
                <w:lang w:eastAsia="zh-TW"/>
              </w:rPr>
              <w:t>效率≥</w:t>
            </w:r>
            <w:r>
              <w:rPr>
                <w:rFonts w:hint="default" w:ascii="Times New Roman" w:hAnsi="Times New Roman" w:eastAsia="宋体" w:cs="Times New Roman"/>
                <w:color w:val="auto"/>
                <w:kern w:val="0"/>
                <w:sz w:val="21"/>
                <w:szCs w:val="21"/>
                <w:highlight w:val="none"/>
                <w:lang w:val="en-US" w:eastAsia="zh-CN"/>
              </w:rPr>
              <w:t>80</w:t>
            </w:r>
            <w:r>
              <w:rPr>
                <w:rFonts w:hint="default" w:ascii="Times New Roman" w:hAnsi="Times New Roman" w:eastAsia="宋体" w:cs="Times New Roman"/>
                <w:color w:val="auto"/>
                <w:kern w:val="0"/>
                <w:sz w:val="21"/>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4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UV光氧催化</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TW"/>
              </w:rPr>
              <w:t>套</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5.0</w:t>
            </w: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4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活性炭吸附装置</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TW"/>
              </w:rPr>
              <w:t>套</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5.0</w:t>
            </w: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4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混料机</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TW"/>
              </w:rPr>
              <w:t>套</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除尘滤芯</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排气筒</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15m</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根</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w:t>
            </w:r>
          </w:p>
        </w:tc>
      </w:tr>
      <w:tr>
        <w:tblPrEx>
          <w:tblCellMar>
            <w:top w:w="0" w:type="dxa"/>
            <w:left w:w="108" w:type="dxa"/>
            <w:bottom w:w="0" w:type="dxa"/>
            <w:right w:w="108" w:type="dxa"/>
          </w:tblCellMar>
        </w:tblPrEx>
        <w:trPr>
          <w:trHeight w:val="34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噪声</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噪声</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设备减振、隔声、软连接</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w:t>
            </w:r>
            <w:r>
              <w:rPr>
                <w:rFonts w:hint="default" w:ascii="Times New Roman" w:hAnsi="Times New Roman" w:eastAsia="宋体" w:cs="Times New Roman"/>
                <w:color w:val="auto"/>
                <w:kern w:val="0"/>
                <w:szCs w:val="21"/>
                <w:highlight w:val="none"/>
                <w:lang w:eastAsia="zh-TW"/>
              </w:rPr>
              <w:t>.0</w:t>
            </w:r>
          </w:p>
        </w:tc>
      </w:tr>
      <w:tr>
        <w:tblPrEx>
          <w:tblCellMar>
            <w:top w:w="0" w:type="dxa"/>
            <w:left w:w="108" w:type="dxa"/>
            <w:bottom w:w="0" w:type="dxa"/>
            <w:right w:w="108" w:type="dxa"/>
          </w:tblCellMar>
        </w:tblPrEx>
        <w:trPr>
          <w:trHeight w:val="340" w:hRule="atLeast"/>
          <w:jc w:val="center"/>
        </w:trPr>
        <w:tc>
          <w:tcPr>
            <w:tcW w:w="6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固废</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分拣固废</w:t>
            </w:r>
          </w:p>
        </w:tc>
        <w:tc>
          <w:tcPr>
            <w:tcW w:w="2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一般固废暂存间</w:t>
            </w:r>
          </w:p>
        </w:tc>
        <w:tc>
          <w:tcPr>
            <w:tcW w:w="9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1座</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10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w:t>
            </w:r>
            <w:r>
              <w:rPr>
                <w:rFonts w:hint="default" w:ascii="Times New Roman" w:hAnsi="Times New Roman" w:eastAsia="宋体" w:cs="Times New Roman"/>
                <w:color w:val="auto"/>
                <w:kern w:val="0"/>
                <w:szCs w:val="21"/>
                <w:highlight w:val="none"/>
                <w:lang w:eastAsia="zh-TW"/>
              </w:rPr>
              <w:t>.0</w:t>
            </w: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三级沉淀池沉渣</w:t>
            </w:r>
          </w:p>
        </w:tc>
        <w:tc>
          <w:tcPr>
            <w:tcW w:w="2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p>
        </w:tc>
        <w:tc>
          <w:tcPr>
            <w:tcW w:w="9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1090"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eastAsia="zh-TW"/>
              </w:rPr>
              <w:t>废滤网</w:t>
            </w:r>
          </w:p>
        </w:tc>
        <w:tc>
          <w:tcPr>
            <w:tcW w:w="2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p>
        </w:tc>
        <w:tc>
          <w:tcPr>
            <w:tcW w:w="9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Cs w:val="21"/>
                <w:highlight w:val="none"/>
                <w:lang w:eastAsia="zh-TW"/>
              </w:rPr>
              <w:t>/</w:t>
            </w:r>
          </w:p>
        </w:tc>
        <w:tc>
          <w:tcPr>
            <w:tcW w:w="1090"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混料工序收集的粉尘</w:t>
            </w:r>
          </w:p>
        </w:tc>
        <w:tc>
          <w:tcPr>
            <w:tcW w:w="2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p>
        </w:tc>
        <w:tc>
          <w:tcPr>
            <w:tcW w:w="9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090"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lang w:eastAsia="zh-CN"/>
              </w:rPr>
              <w:t>废</w:t>
            </w:r>
            <w:r>
              <w:rPr>
                <w:rFonts w:hint="default" w:ascii="Times New Roman" w:hAnsi="Times New Roman" w:eastAsia="宋体" w:cs="Times New Roman"/>
                <w:color w:val="auto"/>
                <w:kern w:val="0"/>
                <w:sz w:val="21"/>
                <w:szCs w:val="21"/>
                <w:highlight w:val="none"/>
              </w:rPr>
              <w:t>耐高温过滤棉</w:t>
            </w:r>
          </w:p>
        </w:tc>
        <w:tc>
          <w:tcPr>
            <w:tcW w:w="2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危废暂存间</w:t>
            </w:r>
          </w:p>
        </w:tc>
        <w:tc>
          <w:tcPr>
            <w:tcW w:w="9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val="en-US" w:eastAsia="zh-CN"/>
              </w:rPr>
              <w:t>1座</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090" w:type="dxa"/>
            <w:vMerge w:val="restart"/>
            <w:tcBorders>
              <w:top w:val="single" w:color="auto" w:sz="4" w:space="0"/>
              <w:left w:val="single" w:color="auto" w:sz="4" w:space="0"/>
              <w:bottom w:val="single" w:color="auto" w:sz="4" w:space="0"/>
              <w:right w:val="single" w:color="auto" w:sz="4" w:space="0"/>
            </w:tcBorders>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2.0</w:t>
            </w: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废灯管</w:t>
            </w:r>
          </w:p>
        </w:tc>
        <w:tc>
          <w:tcPr>
            <w:tcW w:w="2811" w:type="dxa"/>
            <w:vMerge w:val="continue"/>
            <w:tcBorders>
              <w:left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szCs w:val="21"/>
                <w:highlight w:val="none"/>
              </w:rPr>
            </w:pPr>
          </w:p>
        </w:tc>
        <w:tc>
          <w:tcPr>
            <w:tcW w:w="952" w:type="dxa"/>
            <w:vMerge w:val="continue"/>
            <w:tcBorders>
              <w:left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090" w:type="dxa"/>
            <w:vMerge w:val="continue"/>
            <w:tcBorders>
              <w:left w:val="single" w:color="auto" w:sz="4" w:space="0"/>
              <w:right w:val="single" w:color="auto" w:sz="4" w:space="0"/>
            </w:tcBorders>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废活性炭</w:t>
            </w:r>
          </w:p>
        </w:tc>
        <w:tc>
          <w:tcPr>
            <w:tcW w:w="28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p>
        </w:tc>
        <w:tc>
          <w:tcPr>
            <w:tcW w:w="9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090"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r>
      <w:tr>
        <w:tblPrEx>
          <w:tblCellMar>
            <w:top w:w="0" w:type="dxa"/>
            <w:left w:w="108" w:type="dxa"/>
            <w:bottom w:w="0" w:type="dxa"/>
            <w:right w:w="108" w:type="dxa"/>
          </w:tblCellMar>
        </w:tblPrEx>
        <w:trPr>
          <w:trHeight w:val="34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hd w:val="clear"/>
              <w:jc w:val="left"/>
              <w:rPr>
                <w:rFonts w:hint="default" w:ascii="Times New Roman" w:hAnsi="Times New Roman" w:eastAsia="宋体" w:cs="Times New Roman"/>
                <w:color w:val="auto"/>
                <w:kern w:val="0"/>
                <w:szCs w:val="21"/>
                <w:highlight w:val="none"/>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生活垃圾</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集中收集后由环卫部门处置</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1090" w:type="dxa"/>
            <w:tcBorders>
              <w:top w:val="single" w:color="auto" w:sz="4" w:space="0"/>
              <w:left w:val="single" w:color="auto" w:sz="4" w:space="0"/>
              <w:bottom w:val="single" w:color="auto" w:sz="4" w:space="0"/>
              <w:right w:val="single" w:color="auto" w:sz="4" w:space="0"/>
            </w:tcBorders>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0.1</w:t>
            </w:r>
          </w:p>
        </w:tc>
      </w:tr>
      <w:tr>
        <w:tblPrEx>
          <w:tblCellMar>
            <w:top w:w="0" w:type="dxa"/>
            <w:left w:w="108" w:type="dxa"/>
            <w:bottom w:w="0" w:type="dxa"/>
            <w:right w:w="108" w:type="dxa"/>
          </w:tblCellMar>
        </w:tblPrEx>
        <w:trPr>
          <w:trHeight w:val="340" w:hRule="atLeast"/>
          <w:jc w:val="center"/>
        </w:trPr>
        <w:tc>
          <w:tcPr>
            <w:tcW w:w="636" w:type="dxa"/>
            <w:vMerge w:val="restart"/>
            <w:tcBorders>
              <w:top w:val="single" w:color="auto" w:sz="4" w:space="0"/>
              <w:left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地下水</w:t>
            </w: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lang w:eastAsia="zh-CN"/>
              </w:rPr>
              <w:t>生产车间、防渗化粪池、三级沉淀池、一般固废暂存间</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一般防渗</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3</w:t>
            </w: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kern w:val="0"/>
                <w:szCs w:val="21"/>
                <w:highlight w:val="none"/>
                <w:lang w:val="en-US" w:eastAsia="zh-CN"/>
              </w:rPr>
              <w:t>0</w:t>
            </w:r>
          </w:p>
        </w:tc>
      </w:tr>
      <w:tr>
        <w:tblPrEx>
          <w:tblCellMar>
            <w:top w:w="0" w:type="dxa"/>
            <w:left w:w="108" w:type="dxa"/>
            <w:bottom w:w="0" w:type="dxa"/>
            <w:right w:w="108" w:type="dxa"/>
          </w:tblCellMar>
        </w:tblPrEx>
        <w:trPr>
          <w:trHeight w:val="340" w:hRule="atLeast"/>
          <w:jc w:val="center"/>
        </w:trPr>
        <w:tc>
          <w:tcPr>
            <w:tcW w:w="636" w:type="dxa"/>
            <w:vMerge w:val="continue"/>
            <w:tcBorders>
              <w:left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危废暂存间</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重点防渗</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w:t>
            </w:r>
            <w:r>
              <w:rPr>
                <w:rFonts w:hint="default" w:ascii="Times New Roman" w:hAnsi="Times New Roman" w:eastAsia="宋体" w:cs="Times New Roman"/>
                <w:color w:val="auto"/>
                <w:kern w:val="0"/>
                <w:szCs w:val="21"/>
                <w:highlight w:val="none"/>
              </w:rPr>
              <w:t>.0</w:t>
            </w:r>
          </w:p>
        </w:tc>
      </w:tr>
      <w:tr>
        <w:tblPrEx>
          <w:tblCellMar>
            <w:top w:w="0" w:type="dxa"/>
            <w:left w:w="108" w:type="dxa"/>
            <w:bottom w:w="0" w:type="dxa"/>
            <w:right w:w="108" w:type="dxa"/>
          </w:tblCellMar>
        </w:tblPrEx>
        <w:trPr>
          <w:trHeight w:val="340" w:hRule="atLeast"/>
          <w:jc w:val="center"/>
        </w:trPr>
        <w:tc>
          <w:tcPr>
            <w:tcW w:w="636" w:type="dxa"/>
            <w:vMerge w:val="continue"/>
            <w:tcBorders>
              <w:left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 w:val="21"/>
                <w:szCs w:val="21"/>
                <w:highlight w:val="none"/>
                <w:lang w:eastAsia="zh-CN"/>
              </w:rPr>
              <w:t>原材料库</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成品库</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办公室</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一般地面硬化</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0.5</w:t>
            </w:r>
          </w:p>
        </w:tc>
      </w:tr>
      <w:tr>
        <w:tblPrEx>
          <w:tblCellMar>
            <w:top w:w="0" w:type="dxa"/>
            <w:left w:w="108" w:type="dxa"/>
            <w:bottom w:w="0" w:type="dxa"/>
            <w:right w:w="108" w:type="dxa"/>
          </w:tblCellMar>
        </w:tblPrEx>
        <w:trPr>
          <w:trHeight w:val="340" w:hRule="atLeast"/>
          <w:jc w:val="center"/>
        </w:trPr>
        <w:tc>
          <w:tcPr>
            <w:tcW w:w="636" w:type="dxa"/>
            <w:vMerge w:val="continue"/>
            <w:tcBorders>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p>
        </w:tc>
        <w:tc>
          <w:tcPr>
            <w:tcW w:w="1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地下水监控井</w:t>
            </w:r>
          </w:p>
        </w:tc>
        <w:tc>
          <w:tcPr>
            <w:tcW w:w="2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eastAsia="zh-CN"/>
              </w:rPr>
              <w:t>厂区北侧新建</w:t>
            </w:r>
            <w:r>
              <w:rPr>
                <w:rFonts w:hint="default" w:ascii="Times New Roman" w:hAnsi="Times New Roman" w:eastAsia="宋体" w:cs="Times New Roman"/>
                <w:color w:val="auto"/>
                <w:kern w:val="0"/>
                <w:szCs w:val="21"/>
                <w:highlight w:val="none"/>
                <w:lang w:val="en-US" w:eastAsia="zh-CN"/>
              </w:rPr>
              <w:t>1座监控井</w:t>
            </w:r>
          </w:p>
        </w:tc>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eastAsia="zh-TW"/>
              </w:rPr>
            </w:pPr>
            <w:r>
              <w:rPr>
                <w:rFonts w:hint="default" w:ascii="Times New Roman" w:hAnsi="Times New Roman" w:eastAsia="宋体" w:cs="Times New Roman"/>
                <w:color w:val="auto"/>
                <w:kern w:val="0"/>
                <w:szCs w:val="21"/>
                <w:highlight w:val="none"/>
                <w:lang w:eastAsia="zh-TW"/>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r>
              <w:rPr>
                <w:rFonts w:hint="default" w:ascii="Times New Roman" w:hAnsi="Times New Roman" w:eastAsia="宋体" w:cs="Times New Roman"/>
                <w:color w:val="auto"/>
                <w:kern w:val="0"/>
                <w:szCs w:val="21"/>
                <w:highlight w:val="none"/>
                <w:lang w:val="en-US" w:eastAsia="zh-CN"/>
              </w:rPr>
              <w:t>.0</w:t>
            </w:r>
          </w:p>
        </w:tc>
      </w:tr>
      <w:tr>
        <w:tblPrEx>
          <w:tblCellMar>
            <w:top w:w="0" w:type="dxa"/>
            <w:left w:w="108" w:type="dxa"/>
            <w:bottom w:w="0" w:type="dxa"/>
            <w:right w:w="108" w:type="dxa"/>
          </w:tblCellMar>
        </w:tblPrEx>
        <w:trPr>
          <w:trHeight w:val="340" w:hRule="atLeast"/>
          <w:jc w:val="center"/>
        </w:trPr>
        <w:tc>
          <w:tcPr>
            <w:tcW w:w="48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TW"/>
              </w:rPr>
              <w:t>合计</w:t>
            </w:r>
          </w:p>
        </w:tc>
        <w:tc>
          <w:tcPr>
            <w:tcW w:w="340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42.2</w:t>
            </w:r>
          </w:p>
        </w:tc>
      </w:tr>
    </w:tbl>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2"/>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本项目总投资</w:t>
      </w:r>
      <w:r>
        <w:rPr>
          <w:rFonts w:hint="default" w:ascii="Times New Roman" w:hAnsi="Times New Roman" w:eastAsia="宋体" w:cs="Times New Roman"/>
          <w:color w:val="auto"/>
          <w:sz w:val="24"/>
          <w:highlight w:val="none"/>
          <w:lang w:val="en-US" w:eastAsia="zh-CN"/>
        </w:rPr>
        <w:t>150</w:t>
      </w:r>
      <w:r>
        <w:rPr>
          <w:rFonts w:hint="default" w:ascii="Times New Roman" w:hAnsi="Times New Roman" w:eastAsia="宋体" w:cs="Times New Roman"/>
          <w:color w:val="auto"/>
          <w:sz w:val="24"/>
          <w:highlight w:val="none"/>
          <w:lang w:val="zh-CN"/>
        </w:rPr>
        <w:t>万元。其中环保投资共</w:t>
      </w:r>
      <w:r>
        <w:rPr>
          <w:rFonts w:hint="default" w:ascii="Times New Roman" w:hAnsi="Times New Roman" w:eastAsia="宋体" w:cs="Times New Roman"/>
          <w:color w:val="auto"/>
          <w:sz w:val="24"/>
          <w:highlight w:val="none"/>
          <w:lang w:val="en-US" w:eastAsia="zh-CN"/>
        </w:rPr>
        <w:t>42.2</w:t>
      </w:r>
      <w:r>
        <w:rPr>
          <w:rFonts w:hint="default" w:ascii="Times New Roman" w:hAnsi="Times New Roman" w:eastAsia="宋体" w:cs="Times New Roman"/>
          <w:color w:val="auto"/>
          <w:sz w:val="24"/>
          <w:highlight w:val="none"/>
          <w:lang w:val="zh-CN"/>
        </w:rPr>
        <w:t>万元，约占总投资的</w:t>
      </w:r>
      <w:r>
        <w:rPr>
          <w:rFonts w:hint="default" w:ascii="Times New Roman" w:hAnsi="Times New Roman" w:eastAsia="宋体" w:cs="Times New Roman"/>
          <w:color w:val="auto"/>
          <w:sz w:val="24"/>
          <w:highlight w:val="none"/>
          <w:lang w:val="en-US" w:eastAsia="zh-CN"/>
        </w:rPr>
        <w:t>28.1</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zh-CN"/>
        </w:rPr>
        <w:t>。</w:t>
      </w:r>
    </w:p>
    <w:p>
      <w:pPr>
        <w:keepNext w:val="0"/>
        <w:keepLines w:val="0"/>
        <w:pageBreakBefore w:val="0"/>
        <w:widowControl w:val="0"/>
        <w:numPr>
          <w:ilvl w:val="8"/>
          <w:numId w:val="0"/>
        </w:numPr>
        <w:shd w:val="clear"/>
        <w:tabs>
          <w:tab w:val="left" w:pos="360"/>
        </w:tabs>
        <w:kinsoku/>
        <w:wordWrap/>
        <w:overflowPunct/>
        <w:topLinePunct w:val="0"/>
        <w:autoSpaceDE w:val="0"/>
        <w:autoSpaceDN w:val="0"/>
        <w:bidi w:val="0"/>
        <w:adjustRightInd w:val="0"/>
        <w:snapToGrid/>
        <w:spacing w:line="360" w:lineRule="auto"/>
        <w:ind w:firstLine="48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本项目通过环保投资的投入，建立较完善的污染防治措施，避免了废气、废水、噪声及固体废物对周围环境的影响，使本项目在产生社会效益和经济效益的同时，有效地保护了环境。</w:t>
      </w:r>
    </w:p>
    <w:p>
      <w:pPr>
        <w:pStyle w:val="4"/>
        <w:shd w:val="clear"/>
        <w:spacing w:before="120" w:after="120"/>
        <w:rPr>
          <w:rFonts w:hint="default" w:ascii="Times New Roman" w:hAnsi="Times New Roman" w:eastAsia="宋体" w:cs="Times New Roman"/>
          <w:color w:val="auto"/>
          <w:szCs w:val="28"/>
          <w:highlight w:val="none"/>
        </w:rPr>
        <w:sectPr>
          <w:pgSz w:w="11906" w:h="16838"/>
          <w:pgMar w:top="1440" w:right="1797" w:bottom="1440" w:left="1797" w:header="851" w:footer="992" w:gutter="0"/>
          <w:pgNumType w:fmt="decimal"/>
          <w:cols w:space="425" w:num="1"/>
          <w:docGrid w:type="lines" w:linePitch="312" w:charSpace="0"/>
        </w:sectPr>
      </w:pPr>
    </w:p>
    <w:p>
      <w:pPr>
        <w:pStyle w:val="4"/>
        <w:shd w:val="clear"/>
        <w:spacing w:before="120" w:after="120"/>
        <w:rPr>
          <w:rFonts w:hint="default" w:ascii="Times New Roman" w:hAnsi="Times New Roman" w:eastAsia="宋体" w:cs="Times New Roman"/>
          <w:color w:val="auto"/>
          <w:szCs w:val="28"/>
          <w:highlight w:val="none"/>
        </w:rPr>
      </w:pPr>
      <w:bookmarkStart w:id="342" w:name="_Toc5974"/>
      <w:r>
        <w:rPr>
          <w:rFonts w:hint="default" w:ascii="Times New Roman" w:hAnsi="Times New Roman" w:eastAsia="宋体" w:cs="Times New Roman"/>
          <w:color w:val="auto"/>
          <w:szCs w:val="28"/>
          <w:highlight w:val="none"/>
        </w:rPr>
        <w:t>8环境管理及环境监测计划</w:t>
      </w:r>
      <w:bookmarkEnd w:id="334"/>
      <w:bookmarkEnd w:id="335"/>
      <w:bookmarkEnd w:id="336"/>
      <w:bookmarkEnd w:id="342"/>
    </w:p>
    <w:p>
      <w:pPr>
        <w:pStyle w:val="5"/>
        <w:shd w:val="clear"/>
        <w:spacing w:before="60" w:after="60"/>
        <w:rPr>
          <w:rFonts w:hint="default" w:ascii="Times New Roman" w:hAnsi="Times New Roman" w:eastAsia="宋体" w:cs="Times New Roman"/>
          <w:color w:val="auto"/>
          <w:highlight w:val="none"/>
        </w:rPr>
      </w:pPr>
      <w:bookmarkStart w:id="343" w:name="_Toc327383229"/>
      <w:bookmarkStart w:id="344" w:name="_Toc464475481"/>
      <w:bookmarkStart w:id="345" w:name="_Toc243119431"/>
      <w:bookmarkStart w:id="346" w:name="_Toc27183"/>
      <w:r>
        <w:rPr>
          <w:rFonts w:hint="default" w:ascii="Times New Roman" w:hAnsi="Times New Roman" w:eastAsia="宋体" w:cs="Times New Roman"/>
          <w:color w:val="auto"/>
          <w:highlight w:val="none"/>
        </w:rPr>
        <w:t>8.1环境管理</w:t>
      </w:r>
      <w:bookmarkEnd w:id="343"/>
      <w:bookmarkEnd w:id="344"/>
      <w:bookmarkEnd w:id="345"/>
      <w:bookmarkEnd w:id="346"/>
    </w:p>
    <w:p>
      <w:pPr>
        <w:numPr>
          <w:ilvl w:val="8"/>
          <w:numId w:val="0"/>
        </w:numPr>
        <w:shd w:val="clear"/>
        <w:tabs>
          <w:tab w:val="left" w:pos="360"/>
        </w:tabs>
        <w:autoSpaceDE w:val="0"/>
        <w:autoSpaceDN w:val="0"/>
        <w:adjustRightInd w:val="0"/>
        <w:spacing w:line="480" w:lineRule="exact"/>
        <w:ind w:firstLine="482"/>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环境管理是以环境科学理论为基础，采用经济、法律、技术、行政、教育等手段对经济、社会发展过程中施加给环境的污染和破坏进行调节和控制，实现经济、社会和环境效益的和谐统一。随着我国环保法规的完善及严格执法，环境污染问题将极大地影响着企业的生存与发展，因此环境管理应作为企业管理工作中重要的组成部分，企业应积极并主动地预防和治理污染，提高全体员工的环境意识，避免因管理不善而可能产生的环境风险。</w:t>
      </w:r>
    </w:p>
    <w:p>
      <w:pPr>
        <w:pStyle w:val="6"/>
        <w:shd w:val="clear"/>
        <w:spacing w:before="60" w:after="60"/>
        <w:rPr>
          <w:rFonts w:hint="default" w:ascii="Times New Roman" w:hAnsi="Times New Roman" w:eastAsia="宋体" w:cs="Times New Roman"/>
          <w:color w:val="auto"/>
          <w:highlight w:val="none"/>
        </w:rPr>
      </w:pPr>
      <w:bookmarkStart w:id="347" w:name="_Toc243119432"/>
      <w:bookmarkStart w:id="348" w:name="_Toc464475482"/>
      <w:bookmarkStart w:id="349" w:name="_Toc327383230"/>
      <w:r>
        <w:rPr>
          <w:rFonts w:hint="default" w:ascii="Times New Roman" w:hAnsi="Times New Roman" w:eastAsia="宋体" w:cs="Times New Roman"/>
          <w:color w:val="auto"/>
          <w:highlight w:val="none"/>
        </w:rPr>
        <w:t>8.1.1环境管理的目的和意义</w:t>
      </w:r>
      <w:bookmarkEnd w:id="347"/>
      <w:bookmarkEnd w:id="348"/>
      <w:bookmarkEnd w:id="349"/>
    </w:p>
    <w:p>
      <w:pPr>
        <w:numPr>
          <w:ilvl w:val="8"/>
          <w:numId w:val="0"/>
        </w:numPr>
        <w:shd w:val="clear"/>
        <w:tabs>
          <w:tab w:val="left" w:pos="360"/>
        </w:tabs>
        <w:autoSpaceDE w:val="0"/>
        <w:autoSpaceDN w:val="0"/>
        <w:adjustRightInd w:val="0"/>
        <w:spacing w:line="480" w:lineRule="exact"/>
        <w:ind w:firstLine="482"/>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工业企业的环境管理同计划管理、生产管理、技术管理、质量管理等各专项管理一样，是工业企业管理的一个组成部分。</w:t>
      </w:r>
    </w:p>
    <w:p>
      <w:pPr>
        <w:numPr>
          <w:ilvl w:val="8"/>
          <w:numId w:val="0"/>
        </w:numPr>
        <w:shd w:val="clear"/>
        <w:tabs>
          <w:tab w:val="left" w:pos="360"/>
        </w:tabs>
        <w:autoSpaceDE w:val="0"/>
        <w:autoSpaceDN w:val="0"/>
        <w:adjustRightInd w:val="0"/>
        <w:spacing w:line="480" w:lineRule="exact"/>
        <w:ind w:firstLine="482"/>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项目环境管理是指本工程在运行期遵守执行国家和地方的有关环境保护法律、法规、政策与标准，接受地方环境保护主管部门的环境监督，调整和制定环境规划和目标，协调同其它有关部门的关系，以及一切与改善环境有关的管理活动。环境监测是指在工程运行期对工程主要污染对象进行环境样品的采集、化验、数据处理与编制报告等活动。环境监测为环境管理提供依据，环境管理指导环境监测。</w:t>
      </w:r>
    </w:p>
    <w:p>
      <w:pPr>
        <w:pStyle w:val="6"/>
        <w:shd w:val="clear"/>
        <w:spacing w:before="60" w:after="60"/>
        <w:rPr>
          <w:rFonts w:hint="default" w:ascii="Times New Roman" w:hAnsi="Times New Roman" w:eastAsia="宋体" w:cs="Times New Roman"/>
          <w:color w:val="auto"/>
          <w:highlight w:val="none"/>
        </w:rPr>
      </w:pPr>
      <w:bookmarkStart w:id="350" w:name="_Toc464475483"/>
      <w:bookmarkStart w:id="351" w:name="_Toc128657762"/>
      <w:bookmarkStart w:id="352" w:name="_Toc100689414"/>
      <w:bookmarkStart w:id="353" w:name="_Toc125090269"/>
      <w:bookmarkStart w:id="354" w:name="_Toc327383231"/>
      <w:bookmarkStart w:id="355" w:name="_Toc113817131"/>
      <w:bookmarkStart w:id="356" w:name="_Toc113816136"/>
      <w:bookmarkStart w:id="357" w:name="_Toc100688891"/>
      <w:bookmarkStart w:id="358" w:name="_Toc243119433"/>
      <w:bookmarkStart w:id="359" w:name="_Toc156101579"/>
      <w:bookmarkStart w:id="360" w:name="_Toc115515933"/>
      <w:r>
        <w:rPr>
          <w:rFonts w:hint="default" w:ascii="Times New Roman" w:hAnsi="Times New Roman" w:eastAsia="宋体" w:cs="Times New Roman"/>
          <w:color w:val="auto"/>
          <w:highlight w:val="none"/>
        </w:rPr>
        <w:t>8.1.2环境管理机构</w:t>
      </w:r>
      <w:bookmarkEnd w:id="350"/>
      <w:bookmarkEnd w:id="351"/>
      <w:bookmarkEnd w:id="352"/>
      <w:bookmarkEnd w:id="353"/>
      <w:bookmarkEnd w:id="354"/>
      <w:bookmarkEnd w:id="355"/>
      <w:bookmarkEnd w:id="356"/>
      <w:bookmarkEnd w:id="357"/>
      <w:bookmarkEnd w:id="358"/>
      <w:bookmarkEnd w:id="359"/>
      <w:bookmarkEnd w:id="360"/>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保护工作计划由总经理总负责，副总经理主管，具体工作由环境安全保卫科组织实施。科室配备环保体系，环保基建、环保培训，同时，在生产车间及原材料库、成品储存区等涉及污染防治工段设兼职环保员，具体负责本区域的环保工作。科室管理职责主要包括贯彻执行环保政策，制定实施环保工作计划规划，组织全厂环保工作验收考核，监督三废达标排放，负责污染事故调查处理，编制环保统计和考核报告。</w:t>
      </w:r>
    </w:p>
    <w:p>
      <w:pPr>
        <w:pStyle w:val="6"/>
        <w:shd w:val="clear"/>
        <w:spacing w:before="60" w:after="60"/>
        <w:rPr>
          <w:rFonts w:hint="default" w:ascii="Times New Roman" w:hAnsi="Times New Roman" w:eastAsia="宋体" w:cs="Times New Roman"/>
          <w:color w:val="auto"/>
          <w:highlight w:val="none"/>
        </w:rPr>
      </w:pPr>
      <w:bookmarkStart w:id="361" w:name="_Toc464475484"/>
      <w:bookmarkStart w:id="362" w:name="_Toc327383232"/>
      <w:bookmarkStart w:id="363" w:name="_Toc243119434"/>
      <w:r>
        <w:rPr>
          <w:rFonts w:hint="default" w:ascii="Times New Roman" w:hAnsi="Times New Roman" w:eastAsia="宋体" w:cs="Times New Roman"/>
          <w:color w:val="auto"/>
          <w:highlight w:val="none"/>
        </w:rPr>
        <w:t>8.1.3</w:t>
      </w:r>
      <w:bookmarkEnd w:id="361"/>
      <w:bookmarkEnd w:id="362"/>
      <w:bookmarkEnd w:id="363"/>
      <w:bookmarkStart w:id="364" w:name="_Toc464475485"/>
      <w:r>
        <w:rPr>
          <w:rFonts w:hint="default" w:ascii="Times New Roman" w:hAnsi="Times New Roman" w:eastAsia="宋体" w:cs="Times New Roman"/>
          <w:color w:val="auto"/>
          <w:highlight w:val="none"/>
        </w:rPr>
        <w:t>环境管理制度</w:t>
      </w:r>
      <w:bookmarkEnd w:id="364"/>
    </w:p>
    <w:p>
      <w:pPr>
        <w:keepNext w:val="0"/>
        <w:shd w:val="clear"/>
        <w:tabs>
          <w:tab w:val="center" w:pos="4153"/>
          <w:tab w:val="right" w:pos="8306"/>
        </w:tabs>
        <w:spacing w:line="360" w:lineRule="auto"/>
        <w:ind w:firstLine="480"/>
        <w:rPr>
          <w:rFonts w:hint="default" w:ascii="Times New Roman" w:hAnsi="Times New Roman" w:eastAsia="宋体" w:cs="Times New Roman"/>
          <w:color w:val="auto"/>
          <w:kern w:val="16"/>
          <w:sz w:val="24"/>
          <w:szCs w:val="32"/>
          <w:highlight w:val="none"/>
        </w:rPr>
      </w:pPr>
      <w:r>
        <w:rPr>
          <w:rFonts w:hint="default" w:ascii="Times New Roman" w:hAnsi="Times New Roman" w:eastAsia="宋体" w:cs="Times New Roman"/>
          <w:color w:val="auto"/>
          <w:kern w:val="16"/>
          <w:sz w:val="24"/>
          <w:szCs w:val="32"/>
          <w:highlight w:val="none"/>
        </w:rPr>
        <w:t>本项目应建立健全环保管理制度，本次评价提出的环保管理制度主要内容建议见表8.1-1。</w:t>
      </w: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表8.1-1 环境保护管理制度表</w:t>
      </w:r>
    </w:p>
    <w:tbl>
      <w:tblPr>
        <w:tblStyle w:val="90"/>
        <w:tblW w:w="8260" w:type="dxa"/>
        <w:jc w:val="center"/>
        <w:tblLayout w:type="fixed"/>
        <w:tblCellMar>
          <w:top w:w="0" w:type="dxa"/>
          <w:left w:w="108" w:type="dxa"/>
          <w:bottom w:w="0" w:type="dxa"/>
          <w:right w:w="108" w:type="dxa"/>
        </w:tblCellMar>
      </w:tblPr>
      <w:tblGrid>
        <w:gridCol w:w="2196"/>
        <w:gridCol w:w="6064"/>
      </w:tblGrid>
      <w:tr>
        <w:tblPrEx>
          <w:tblCellMar>
            <w:top w:w="0" w:type="dxa"/>
            <w:left w:w="108" w:type="dxa"/>
            <w:bottom w:w="0" w:type="dxa"/>
            <w:right w:w="108" w:type="dxa"/>
          </w:tblCellMar>
        </w:tblPrEx>
        <w:trPr>
          <w:trHeight w:val="340" w:hRule="atLeast"/>
          <w:jc w:val="center"/>
        </w:trPr>
        <w:tc>
          <w:tcPr>
            <w:tcW w:w="2196" w:type="dxa"/>
            <w:tcBorders>
              <w:top w:val="single" w:color="auto" w:sz="8" w:space="0"/>
              <w:left w:val="single" w:color="auto" w:sz="8" w:space="0"/>
              <w:bottom w:val="nil"/>
              <w:right w:val="nil"/>
            </w:tcBorders>
            <w:shd w:val="clear" w:color="auto" w:fill="auto"/>
            <w:vAlign w:val="center"/>
          </w:tcPr>
          <w:p>
            <w:pPr>
              <w:widowControl/>
              <w:shd w:val="clear"/>
              <w:ind w:firstLine="210" w:firstLineChars="10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实施部门</w:t>
            </w:r>
          </w:p>
        </w:tc>
        <w:tc>
          <w:tcPr>
            <w:tcW w:w="6064" w:type="dxa"/>
            <w:tcBorders>
              <w:top w:val="single" w:color="auto" w:sz="8" w:space="0"/>
              <w:left w:val="single" w:color="auto" w:sz="8" w:space="0"/>
              <w:bottom w:val="nil"/>
              <w:right w:val="single" w:color="auto" w:sz="8"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主要内容</w:t>
            </w:r>
          </w:p>
        </w:tc>
      </w:tr>
      <w:tr>
        <w:tblPrEx>
          <w:tblCellMar>
            <w:top w:w="0" w:type="dxa"/>
            <w:left w:w="108" w:type="dxa"/>
            <w:bottom w:w="0" w:type="dxa"/>
            <w:right w:w="108" w:type="dxa"/>
          </w:tblCellMar>
        </w:tblPrEx>
        <w:trPr>
          <w:trHeight w:val="340" w:hRule="atLeast"/>
          <w:jc w:val="center"/>
        </w:trPr>
        <w:tc>
          <w:tcPr>
            <w:tcW w:w="219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环保科</w:t>
            </w:r>
          </w:p>
        </w:tc>
        <w:tc>
          <w:tcPr>
            <w:tcW w:w="6064" w:type="dxa"/>
            <w:tcBorders>
              <w:top w:val="single" w:color="auto" w:sz="8" w:space="0"/>
              <w:left w:val="nil"/>
              <w:bottom w:val="nil"/>
              <w:right w:val="single" w:color="auto" w:sz="8"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1、内部环境保护审核、例会制度</w:t>
            </w:r>
          </w:p>
        </w:tc>
      </w:tr>
      <w:tr>
        <w:tblPrEx>
          <w:tblCellMar>
            <w:top w:w="0" w:type="dxa"/>
            <w:left w:w="108" w:type="dxa"/>
            <w:bottom w:w="0" w:type="dxa"/>
            <w:right w:w="108" w:type="dxa"/>
          </w:tblCellMar>
        </w:tblPrEx>
        <w:trPr>
          <w:trHeight w:val="340" w:hRule="atLeast"/>
          <w:jc w:val="center"/>
        </w:trPr>
        <w:tc>
          <w:tcPr>
            <w:tcW w:w="2196" w:type="dxa"/>
            <w:vMerge w:val="continue"/>
            <w:tcBorders>
              <w:top w:val="single" w:color="auto" w:sz="8" w:space="0"/>
              <w:left w:val="single" w:color="auto" w:sz="8" w:space="0"/>
              <w:bottom w:val="single" w:color="000000" w:sz="8" w:space="0"/>
              <w:right w:val="single" w:color="auto" w:sz="8" w:space="0"/>
            </w:tcBorders>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064" w:type="dxa"/>
            <w:tcBorders>
              <w:top w:val="single" w:color="auto" w:sz="8" w:space="0"/>
              <w:left w:val="nil"/>
              <w:bottom w:val="nil"/>
              <w:right w:val="single" w:color="auto" w:sz="8"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2、环境质量管理目标与指标考核制度</w:t>
            </w:r>
          </w:p>
        </w:tc>
      </w:tr>
      <w:tr>
        <w:tblPrEx>
          <w:tblCellMar>
            <w:top w:w="0" w:type="dxa"/>
            <w:left w:w="108" w:type="dxa"/>
            <w:bottom w:w="0" w:type="dxa"/>
            <w:right w:w="108" w:type="dxa"/>
          </w:tblCellMar>
        </w:tblPrEx>
        <w:trPr>
          <w:trHeight w:val="340" w:hRule="atLeast"/>
          <w:jc w:val="center"/>
        </w:trPr>
        <w:tc>
          <w:tcPr>
            <w:tcW w:w="2196" w:type="dxa"/>
            <w:vMerge w:val="continue"/>
            <w:tcBorders>
              <w:top w:val="single" w:color="auto" w:sz="8" w:space="0"/>
              <w:left w:val="single" w:color="auto" w:sz="8" w:space="0"/>
              <w:bottom w:val="single" w:color="000000" w:sz="8" w:space="0"/>
              <w:right w:val="single" w:color="auto" w:sz="8" w:space="0"/>
            </w:tcBorders>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064" w:type="dxa"/>
            <w:tcBorders>
              <w:top w:val="single" w:color="auto" w:sz="8" w:space="0"/>
              <w:left w:val="nil"/>
              <w:bottom w:val="nil"/>
              <w:right w:val="single" w:color="auto" w:sz="8"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3、环境风险管理制度</w:t>
            </w:r>
          </w:p>
        </w:tc>
      </w:tr>
      <w:tr>
        <w:tblPrEx>
          <w:tblCellMar>
            <w:top w:w="0" w:type="dxa"/>
            <w:left w:w="108" w:type="dxa"/>
            <w:bottom w:w="0" w:type="dxa"/>
            <w:right w:w="108" w:type="dxa"/>
          </w:tblCellMar>
        </w:tblPrEx>
        <w:trPr>
          <w:trHeight w:val="340" w:hRule="atLeast"/>
          <w:jc w:val="center"/>
        </w:trPr>
        <w:tc>
          <w:tcPr>
            <w:tcW w:w="2196" w:type="dxa"/>
            <w:vMerge w:val="continue"/>
            <w:tcBorders>
              <w:top w:val="single" w:color="auto" w:sz="8" w:space="0"/>
              <w:left w:val="single" w:color="auto" w:sz="8" w:space="0"/>
              <w:bottom w:val="single" w:color="000000" w:sz="8" w:space="0"/>
              <w:right w:val="single" w:color="auto" w:sz="8" w:space="0"/>
            </w:tcBorders>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064" w:type="dxa"/>
            <w:tcBorders>
              <w:top w:val="single" w:color="auto" w:sz="8" w:space="0"/>
              <w:left w:val="nil"/>
              <w:bottom w:val="nil"/>
              <w:right w:val="single" w:color="auto" w:sz="8"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4、内部环境管理监督与检查制度</w:t>
            </w:r>
          </w:p>
        </w:tc>
      </w:tr>
      <w:tr>
        <w:tblPrEx>
          <w:tblCellMar>
            <w:top w:w="0" w:type="dxa"/>
            <w:left w:w="108" w:type="dxa"/>
            <w:bottom w:w="0" w:type="dxa"/>
            <w:right w:w="108" w:type="dxa"/>
          </w:tblCellMar>
        </w:tblPrEx>
        <w:trPr>
          <w:trHeight w:val="340" w:hRule="atLeast"/>
          <w:jc w:val="center"/>
        </w:trPr>
        <w:tc>
          <w:tcPr>
            <w:tcW w:w="2196" w:type="dxa"/>
            <w:vMerge w:val="continue"/>
            <w:tcBorders>
              <w:top w:val="single" w:color="auto" w:sz="8" w:space="0"/>
              <w:left w:val="single" w:color="auto" w:sz="8" w:space="0"/>
              <w:bottom w:val="single" w:color="000000" w:sz="8" w:space="0"/>
              <w:right w:val="single" w:color="auto" w:sz="8" w:space="0"/>
            </w:tcBorders>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064" w:type="dxa"/>
            <w:tcBorders>
              <w:top w:val="single" w:color="auto" w:sz="8" w:space="0"/>
              <w:left w:val="nil"/>
              <w:bottom w:val="nil"/>
              <w:right w:val="single" w:color="auto" w:sz="8"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5、环保设施与设备定期检查、保养和维护管理制度</w:t>
            </w:r>
          </w:p>
        </w:tc>
      </w:tr>
      <w:tr>
        <w:tblPrEx>
          <w:tblCellMar>
            <w:top w:w="0" w:type="dxa"/>
            <w:left w:w="108" w:type="dxa"/>
            <w:bottom w:w="0" w:type="dxa"/>
            <w:right w:w="108" w:type="dxa"/>
          </w:tblCellMar>
        </w:tblPrEx>
        <w:trPr>
          <w:trHeight w:val="340" w:hRule="atLeast"/>
          <w:jc w:val="center"/>
        </w:trPr>
        <w:tc>
          <w:tcPr>
            <w:tcW w:w="2196" w:type="dxa"/>
            <w:vMerge w:val="continue"/>
            <w:tcBorders>
              <w:top w:val="single" w:color="auto" w:sz="8" w:space="0"/>
              <w:left w:val="single" w:color="auto" w:sz="8" w:space="0"/>
              <w:bottom w:val="single" w:color="000000" w:sz="8" w:space="0"/>
              <w:right w:val="single" w:color="auto" w:sz="8" w:space="0"/>
            </w:tcBorders>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064" w:type="dxa"/>
            <w:tcBorders>
              <w:top w:val="single" w:color="auto" w:sz="8" w:space="0"/>
              <w:left w:val="nil"/>
              <w:bottom w:val="nil"/>
              <w:right w:val="single" w:color="auto" w:sz="8"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6、环境保护定期、不定期监测制度</w:t>
            </w:r>
          </w:p>
        </w:tc>
      </w:tr>
      <w:tr>
        <w:tblPrEx>
          <w:tblCellMar>
            <w:top w:w="0" w:type="dxa"/>
            <w:left w:w="108" w:type="dxa"/>
            <w:bottom w:w="0" w:type="dxa"/>
            <w:right w:w="108" w:type="dxa"/>
          </w:tblCellMar>
        </w:tblPrEx>
        <w:trPr>
          <w:trHeight w:val="340" w:hRule="atLeast"/>
          <w:jc w:val="center"/>
        </w:trPr>
        <w:tc>
          <w:tcPr>
            <w:tcW w:w="2196" w:type="dxa"/>
            <w:vMerge w:val="continue"/>
            <w:tcBorders>
              <w:top w:val="single" w:color="auto" w:sz="8" w:space="0"/>
              <w:left w:val="single" w:color="auto" w:sz="8" w:space="0"/>
              <w:bottom w:val="single" w:color="000000" w:sz="8" w:space="0"/>
              <w:right w:val="single" w:color="auto" w:sz="8" w:space="0"/>
            </w:tcBorders>
            <w:vAlign w:val="center"/>
          </w:tcPr>
          <w:p>
            <w:pPr>
              <w:widowControl/>
              <w:shd w:val="clear"/>
              <w:jc w:val="center"/>
              <w:rPr>
                <w:rFonts w:hint="default" w:ascii="Times New Roman" w:hAnsi="Times New Roman" w:eastAsia="宋体" w:cs="Times New Roman"/>
                <w:color w:val="auto"/>
                <w:kern w:val="0"/>
                <w:sz w:val="21"/>
                <w:szCs w:val="21"/>
                <w:highlight w:val="none"/>
              </w:rPr>
            </w:pPr>
          </w:p>
        </w:tc>
        <w:tc>
          <w:tcPr>
            <w:tcW w:w="6064" w:type="dxa"/>
            <w:tcBorders>
              <w:top w:val="single" w:color="auto" w:sz="8" w:space="0"/>
              <w:left w:val="nil"/>
              <w:bottom w:val="single" w:color="auto" w:sz="8" w:space="0"/>
              <w:right w:val="single" w:color="auto" w:sz="8" w:space="0"/>
            </w:tcBorders>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7、环境保护档案管理与环境污染事故管理规定</w:t>
            </w:r>
          </w:p>
        </w:tc>
      </w:tr>
    </w:tbl>
    <w:p>
      <w:pPr>
        <w:pStyle w:val="6"/>
        <w:shd w:val="clear"/>
        <w:spacing w:before="60" w:after="60"/>
        <w:rPr>
          <w:rFonts w:hint="default" w:ascii="Times New Roman" w:hAnsi="Times New Roman" w:eastAsia="宋体" w:cs="Times New Roman"/>
          <w:color w:val="auto"/>
          <w:highlight w:val="none"/>
        </w:rPr>
      </w:pPr>
      <w:bookmarkStart w:id="365" w:name="_Toc464475486"/>
      <w:bookmarkStart w:id="366" w:name="_Toc243119436"/>
      <w:bookmarkStart w:id="367" w:name="_Toc327383234"/>
      <w:r>
        <w:rPr>
          <w:rFonts w:hint="default" w:ascii="Times New Roman" w:hAnsi="Times New Roman" w:eastAsia="宋体" w:cs="Times New Roman"/>
          <w:color w:val="auto"/>
          <w:highlight w:val="none"/>
        </w:rPr>
        <w:t>8.1.4环境管理</w:t>
      </w:r>
      <w:bookmarkEnd w:id="365"/>
      <w:bookmarkEnd w:id="366"/>
      <w:bookmarkEnd w:id="367"/>
      <w:r>
        <w:rPr>
          <w:rFonts w:hint="default" w:ascii="Times New Roman" w:hAnsi="Times New Roman" w:eastAsia="宋体" w:cs="Times New Roman"/>
          <w:color w:val="auto"/>
          <w:highlight w:val="none"/>
        </w:rPr>
        <w:t>台账</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日常监测数据要求使用国家环保总局统一印制的《中华人民共和国规范化排污口标志登记证》，并按要求填写有关内容，项目投产后，应设立污染物排放记录台帐，将主要污染物种类、数量、浓度、排放方式、达标情况及设施运行情况记录于档案。</w:t>
      </w:r>
    </w:p>
    <w:p>
      <w:pPr>
        <w:pStyle w:val="5"/>
        <w:shd w:val="clear"/>
        <w:spacing w:before="60" w:after="60"/>
        <w:rPr>
          <w:rFonts w:hint="default" w:ascii="Times New Roman" w:hAnsi="Times New Roman" w:eastAsia="宋体" w:cs="Times New Roman"/>
          <w:color w:val="auto"/>
          <w:highlight w:val="none"/>
        </w:rPr>
      </w:pPr>
      <w:bookmarkStart w:id="368" w:name="_Toc327383235"/>
      <w:bookmarkStart w:id="369" w:name="_Toc243119437"/>
      <w:bookmarkStart w:id="370" w:name="_Toc464475487"/>
      <w:bookmarkStart w:id="371" w:name="_Toc31415"/>
      <w:r>
        <w:rPr>
          <w:rFonts w:hint="default" w:ascii="Times New Roman" w:hAnsi="Times New Roman" w:eastAsia="宋体" w:cs="Times New Roman"/>
          <w:color w:val="auto"/>
          <w:highlight w:val="none"/>
        </w:rPr>
        <w:t>8.2环境监测</w:t>
      </w:r>
      <w:bookmarkEnd w:id="368"/>
      <w:bookmarkEnd w:id="369"/>
      <w:bookmarkEnd w:id="370"/>
      <w:bookmarkEnd w:id="371"/>
    </w:p>
    <w:p>
      <w:pPr>
        <w:pStyle w:val="6"/>
        <w:shd w:val="clear"/>
        <w:spacing w:before="60" w:after="60"/>
        <w:rPr>
          <w:rFonts w:hint="default" w:ascii="Times New Roman" w:hAnsi="Times New Roman" w:eastAsia="宋体" w:cs="Times New Roman"/>
          <w:color w:val="auto"/>
          <w:highlight w:val="none"/>
        </w:rPr>
      </w:pPr>
      <w:bookmarkStart w:id="372" w:name="_Toc243119438"/>
      <w:bookmarkStart w:id="373" w:name="_Toc464475488"/>
      <w:bookmarkStart w:id="374" w:name="_Toc327383236"/>
      <w:r>
        <w:rPr>
          <w:rFonts w:hint="default" w:ascii="Times New Roman" w:hAnsi="Times New Roman" w:eastAsia="宋体" w:cs="Times New Roman"/>
          <w:color w:val="auto"/>
          <w:highlight w:val="none"/>
        </w:rPr>
        <w:t>8.2.1监测目的</w:t>
      </w:r>
      <w:bookmarkEnd w:id="372"/>
      <w:bookmarkEnd w:id="373"/>
      <w:bookmarkEnd w:id="374"/>
    </w:p>
    <w:p>
      <w:pPr>
        <w:shd w:val="clear"/>
        <w:tabs>
          <w:tab w:val="center" w:pos="4153"/>
          <w:tab w:val="right" w:pos="8306"/>
        </w:tabs>
        <w:spacing w:line="360" w:lineRule="auto"/>
        <w:ind w:firstLine="480"/>
        <w:rPr>
          <w:rFonts w:hint="default" w:ascii="Times New Roman" w:hAnsi="Times New Roman" w:eastAsia="宋体" w:cs="Times New Roman"/>
          <w:color w:val="auto"/>
          <w:kern w:val="16"/>
          <w:sz w:val="24"/>
          <w:szCs w:val="32"/>
          <w:highlight w:val="none"/>
        </w:rPr>
      </w:pPr>
      <w:r>
        <w:rPr>
          <w:rFonts w:hint="default" w:ascii="Times New Roman" w:hAnsi="Times New Roman" w:eastAsia="宋体" w:cs="Times New Roman"/>
          <w:color w:val="auto"/>
          <w:kern w:val="16"/>
          <w:sz w:val="24"/>
          <w:szCs w:val="32"/>
          <w:highlight w:val="none"/>
        </w:rPr>
        <w:t>环境监测（包括污染源监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kern w:val="16"/>
          <w:sz w:val="24"/>
          <w:szCs w:val="32"/>
          <w:highlight w:val="none"/>
        </w:rPr>
      </w:pPr>
      <w:r>
        <w:rPr>
          <w:rFonts w:hint="default" w:ascii="Times New Roman" w:hAnsi="Times New Roman" w:eastAsia="宋体" w:cs="Times New Roman"/>
          <w:color w:val="auto"/>
          <w:kern w:val="16"/>
          <w:sz w:val="24"/>
          <w:szCs w:val="32"/>
          <w:highlight w:val="none"/>
        </w:rPr>
        <w:t>根据建设项目的工程影响分析认为，项目在运营过程中会引发一系列的环境问题：废气、废水、固废等，这些都可能对当地环境造成影响，所以，运营期进行定期的监测是很有必要的。</w:t>
      </w:r>
    </w:p>
    <w:p>
      <w:pPr>
        <w:pStyle w:val="6"/>
        <w:shd w:val="clear"/>
        <w:spacing w:before="60" w:after="60"/>
        <w:rPr>
          <w:rFonts w:hint="default" w:ascii="Times New Roman" w:hAnsi="Times New Roman" w:eastAsia="宋体" w:cs="Times New Roman"/>
          <w:color w:val="auto"/>
          <w:highlight w:val="none"/>
        </w:rPr>
      </w:pPr>
      <w:bookmarkStart w:id="375" w:name="_Toc464475489"/>
      <w:bookmarkStart w:id="376" w:name="_Toc243119439"/>
      <w:bookmarkStart w:id="377" w:name="_Toc327383237"/>
      <w:bookmarkStart w:id="378" w:name="_Toc464475490"/>
      <w:bookmarkStart w:id="379" w:name="_Toc327383238"/>
      <w:bookmarkStart w:id="380" w:name="_Toc243119440"/>
      <w:r>
        <w:rPr>
          <w:rFonts w:hint="default" w:ascii="Times New Roman" w:hAnsi="Times New Roman" w:eastAsia="宋体" w:cs="Times New Roman"/>
          <w:color w:val="auto"/>
          <w:highlight w:val="none"/>
        </w:rPr>
        <w:t>8.2.2环境监测</w:t>
      </w:r>
      <w:bookmarkEnd w:id="375"/>
      <w:bookmarkEnd w:id="376"/>
      <w:bookmarkEnd w:id="377"/>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项目监测委托有相关资质的单位进行，环境监测机构对本项目的职责主要有：</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测试、收集环境状况基本资料；</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对环保设施运行状况进行监测；</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整理、统计分析监测结果，出具监测报告。</w:t>
      </w:r>
    </w:p>
    <w:p>
      <w:pPr>
        <w:pStyle w:val="6"/>
        <w:shd w:val="clear"/>
        <w:spacing w:before="60" w:after="6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8.2.3监测计划</w:t>
      </w:r>
      <w:bookmarkEnd w:id="378"/>
      <w:bookmarkEnd w:id="379"/>
      <w:bookmarkEnd w:id="380"/>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u w:val="none"/>
        </w:rPr>
      </w:pPr>
      <w:r>
        <w:rPr>
          <w:rFonts w:hint="default" w:ascii="Times New Roman" w:hAnsi="Times New Roman" w:eastAsia="宋体" w:cs="Times New Roman"/>
          <w:color w:val="auto"/>
          <w:sz w:val="24"/>
          <w:szCs w:val="32"/>
          <w:highlight w:val="none"/>
          <w:u w:val="none"/>
        </w:rPr>
        <w:t>根据生产特征和污染物的排放特征，依据国家颁布的环境质量标准，污染物排放标准及地方环保部门的要求，制定拟建工程的监测计划和工作方案，监测工作可委托当地环保监测站或其他有资质单位承担。</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u w:val="none"/>
        </w:rPr>
      </w:pPr>
      <w:r>
        <w:rPr>
          <w:rFonts w:hint="default" w:ascii="Times New Roman" w:hAnsi="Times New Roman" w:eastAsia="宋体" w:cs="Times New Roman"/>
          <w:color w:val="auto"/>
          <w:sz w:val="24"/>
          <w:szCs w:val="32"/>
          <w:highlight w:val="none"/>
          <w:u w:val="none"/>
        </w:rPr>
        <w:t>根据《排污许可证申请与核发技术规范 橡胶和塑料制品工业》（HJ1122-2020）</w:t>
      </w:r>
      <w:r>
        <w:rPr>
          <w:rFonts w:hint="default" w:ascii="Times New Roman" w:hAnsi="Times New Roman" w:eastAsia="宋体" w:cs="Times New Roman"/>
          <w:color w:val="auto"/>
          <w:sz w:val="24"/>
          <w:szCs w:val="32"/>
          <w:highlight w:val="none"/>
          <w:u w:val="none"/>
          <w:lang w:eastAsia="zh-CN"/>
        </w:rPr>
        <w:t>和</w:t>
      </w:r>
      <w:r>
        <w:rPr>
          <w:rFonts w:hint="default" w:ascii="Times New Roman" w:hAnsi="Times New Roman" w:eastAsia="宋体" w:cs="Times New Roman"/>
          <w:color w:val="auto"/>
          <w:sz w:val="24"/>
          <w:szCs w:val="32"/>
          <w:highlight w:val="none"/>
          <w:u w:val="none"/>
        </w:rPr>
        <w:t>《排污许可证申请与核发技术规范 废弃资源加工工业》（HJ1</w:t>
      </w:r>
      <w:r>
        <w:rPr>
          <w:rFonts w:hint="default" w:ascii="Times New Roman" w:hAnsi="Times New Roman" w:eastAsia="宋体" w:cs="Times New Roman"/>
          <w:color w:val="auto"/>
          <w:sz w:val="24"/>
          <w:szCs w:val="32"/>
          <w:highlight w:val="none"/>
          <w:u w:val="none"/>
          <w:lang w:val="en-US" w:eastAsia="zh-CN"/>
        </w:rPr>
        <w:t>034</w:t>
      </w:r>
      <w:r>
        <w:rPr>
          <w:rFonts w:hint="default" w:ascii="Times New Roman" w:hAnsi="Times New Roman" w:eastAsia="宋体" w:cs="Times New Roman"/>
          <w:color w:val="auto"/>
          <w:sz w:val="24"/>
          <w:szCs w:val="32"/>
          <w:highlight w:val="none"/>
          <w:u w:val="none"/>
        </w:rPr>
        <w:t>-20</w:t>
      </w:r>
      <w:r>
        <w:rPr>
          <w:rFonts w:hint="default" w:ascii="Times New Roman" w:hAnsi="Times New Roman" w:eastAsia="宋体" w:cs="Times New Roman"/>
          <w:color w:val="auto"/>
          <w:sz w:val="24"/>
          <w:szCs w:val="32"/>
          <w:highlight w:val="none"/>
          <w:u w:val="none"/>
          <w:lang w:val="en-US" w:eastAsia="zh-CN"/>
        </w:rPr>
        <w:t>19</w:t>
      </w:r>
      <w:r>
        <w:rPr>
          <w:rFonts w:hint="default" w:ascii="Times New Roman" w:hAnsi="Times New Roman" w:eastAsia="宋体" w:cs="Times New Roman"/>
          <w:color w:val="auto"/>
          <w:sz w:val="24"/>
          <w:szCs w:val="32"/>
          <w:highlight w:val="none"/>
          <w:u w:val="none"/>
        </w:rPr>
        <w:t>）</w:t>
      </w:r>
      <w:r>
        <w:rPr>
          <w:rFonts w:hint="default" w:ascii="Times New Roman" w:hAnsi="Times New Roman" w:eastAsia="宋体" w:cs="Times New Roman"/>
          <w:color w:val="auto"/>
          <w:sz w:val="24"/>
          <w:szCs w:val="32"/>
          <w:highlight w:val="none"/>
          <w:u w:val="none"/>
          <w:lang w:eastAsia="zh-CN"/>
        </w:rPr>
        <w:t>，</w:t>
      </w:r>
      <w:r>
        <w:rPr>
          <w:rFonts w:hint="default" w:ascii="Times New Roman" w:hAnsi="Times New Roman" w:eastAsia="宋体" w:cs="Times New Roman"/>
          <w:color w:val="auto"/>
          <w:sz w:val="24"/>
          <w:szCs w:val="32"/>
          <w:highlight w:val="none"/>
          <w:u w:val="none"/>
          <w:lang w:eastAsia="zh-CN"/>
        </w:rPr>
        <w:t>本项目</w:t>
      </w:r>
      <w:r>
        <w:rPr>
          <w:rFonts w:hint="default" w:ascii="Times New Roman" w:hAnsi="Times New Roman" w:eastAsia="宋体" w:cs="Times New Roman"/>
          <w:color w:val="auto"/>
          <w:sz w:val="24"/>
          <w:szCs w:val="32"/>
          <w:highlight w:val="none"/>
          <w:u w:val="none"/>
        </w:rPr>
        <w:t>监测计划如下：</w:t>
      </w:r>
    </w:p>
    <w:p>
      <w:pPr>
        <w:shd w:val="clear"/>
        <w:jc w:val="center"/>
        <w:rPr>
          <w:rFonts w:hint="default" w:ascii="Times New Roman" w:hAnsi="Times New Roman" w:eastAsia="宋体" w:cs="Times New Roman"/>
          <w:b/>
          <w:color w:val="auto"/>
          <w:sz w:val="24"/>
          <w:highlight w:val="none"/>
        </w:rPr>
      </w:pPr>
      <w:bookmarkStart w:id="381" w:name="_Toc464475491"/>
      <w:bookmarkStart w:id="382" w:name="_Toc327383239"/>
      <w:bookmarkStart w:id="383" w:name="_Toc243119441"/>
      <w:r>
        <w:rPr>
          <w:rFonts w:hint="default" w:ascii="Times New Roman" w:hAnsi="Times New Roman" w:eastAsia="宋体" w:cs="Times New Roman"/>
          <w:b/>
          <w:color w:val="auto"/>
          <w:sz w:val="24"/>
          <w:highlight w:val="none"/>
        </w:rPr>
        <w:t>表8.2-1 本项目运营期环境监测计划明细表</w:t>
      </w:r>
    </w:p>
    <w:tbl>
      <w:tblPr>
        <w:tblStyle w:val="90"/>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80"/>
        <w:gridCol w:w="1180"/>
        <w:gridCol w:w="1180"/>
        <w:gridCol w:w="1449"/>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监测</w:t>
            </w:r>
          </w:p>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类别</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污染源</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监测项目</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监测点位</w:t>
            </w:r>
          </w:p>
        </w:tc>
        <w:tc>
          <w:tcPr>
            <w:tcW w:w="144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监测频率</w:t>
            </w:r>
          </w:p>
        </w:tc>
        <w:tc>
          <w:tcPr>
            <w:tcW w:w="209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vMerge w:val="restart"/>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废气</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生产车间挤塑、切粒</w:t>
            </w:r>
            <w:r>
              <w:rPr>
                <w:rFonts w:hint="default" w:ascii="Times New Roman" w:hAnsi="Times New Roman" w:eastAsia="宋体" w:cs="Times New Roman"/>
                <w:color w:val="auto"/>
                <w:kern w:val="0"/>
                <w:sz w:val="21"/>
                <w:szCs w:val="21"/>
                <w:highlight w:val="none"/>
                <w:lang w:eastAsia="zh-CN"/>
              </w:rPr>
              <w:t>工序</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TW"/>
              </w:rPr>
              <w:t>NMHC</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颗粒物</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449"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每年一次，每次监测一天，每天监测不小于3次</w:t>
            </w:r>
          </w:p>
        </w:tc>
        <w:tc>
          <w:tcPr>
            <w:tcW w:w="209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《大气污染物综合排放标准》（GB16297－1996）中规定的“新污染源、二级标准”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vMerge w:val="continue"/>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eastAsia="zh-TW"/>
              </w:rPr>
            </w:pP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color w:val="auto"/>
                <w:kern w:val="0"/>
                <w:sz w:val="21"/>
                <w:szCs w:val="21"/>
                <w:highlight w:val="none"/>
                <w:lang w:eastAsia="zh-TW"/>
              </w:rPr>
              <w:t>吹塑</w:t>
            </w:r>
            <w:r>
              <w:rPr>
                <w:rFonts w:hint="default" w:ascii="Times New Roman" w:hAnsi="Times New Roman" w:eastAsia="宋体" w:cs="Times New Roman"/>
                <w:color w:val="auto"/>
                <w:kern w:val="0"/>
                <w:sz w:val="21"/>
                <w:szCs w:val="21"/>
                <w:highlight w:val="none"/>
                <w:lang w:eastAsia="zh-CN"/>
              </w:rPr>
              <w:t>工序</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TW"/>
              </w:rPr>
              <w:t>NMHC</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颗粒物</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449" w:type="dxa"/>
            <w:shd w:val="clear" w:color="auto" w:fill="auto"/>
            <w:vAlign w:val="center"/>
          </w:tcPr>
          <w:p>
            <w:pPr>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每年一次，每次监测一天，每天监测不小于3次</w:t>
            </w:r>
          </w:p>
        </w:tc>
        <w:tc>
          <w:tcPr>
            <w:tcW w:w="209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《合成树脂工业污染物排放标准》（GB31572-2015）表4大气污染物排放限值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80" w:type="dxa"/>
            <w:vMerge w:val="restart"/>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TW"/>
              </w:rPr>
              <w:t>挤塑、切粒、吹塑</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混料</w:t>
            </w:r>
            <w:r>
              <w:rPr>
                <w:rFonts w:hint="default" w:ascii="Times New Roman" w:hAnsi="Times New Roman" w:eastAsia="宋体" w:cs="Times New Roman"/>
                <w:color w:val="auto"/>
                <w:kern w:val="0"/>
                <w:sz w:val="21"/>
                <w:szCs w:val="21"/>
                <w:highlight w:val="none"/>
                <w:lang w:val="en-US" w:eastAsia="zh-CN"/>
              </w:rPr>
              <w:t>产生的无组织废气</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TW"/>
              </w:rPr>
              <w:t>NMHC</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颗粒物</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厂区上风向设1个点，下风向设 3个</w:t>
            </w:r>
          </w:p>
        </w:tc>
        <w:tc>
          <w:tcPr>
            <w:tcW w:w="1449" w:type="dxa"/>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每年一次，每次监测一天，每天监测不小于</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lang w:eastAsia="zh-TW"/>
              </w:rPr>
              <w:t>次</w:t>
            </w:r>
          </w:p>
        </w:tc>
        <w:tc>
          <w:tcPr>
            <w:tcW w:w="2091" w:type="dxa"/>
            <w:vAlign w:val="center"/>
          </w:tcPr>
          <w:p>
            <w:pPr>
              <w:shd w:val="clea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《合成树脂工业污染物排放标准》（GB31572-2015）表9企业边界大气污染物浓度限值</w:t>
            </w:r>
            <w:r>
              <w:rPr>
                <w:rFonts w:hint="default"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80"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rPr>
              <w:t>臭气浓度</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厂区上风向设1个点，下风向设 3个</w:t>
            </w:r>
          </w:p>
        </w:tc>
        <w:tc>
          <w:tcPr>
            <w:tcW w:w="1449"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TW"/>
              </w:rPr>
              <w:t>每年一次，每次监测一天，每天监测不小于</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lang w:eastAsia="zh-TW"/>
              </w:rPr>
              <w:t>次</w:t>
            </w:r>
          </w:p>
        </w:tc>
        <w:tc>
          <w:tcPr>
            <w:tcW w:w="2091" w:type="dxa"/>
            <w:vAlign w:val="center"/>
          </w:tcPr>
          <w:p>
            <w:pPr>
              <w:shd w:val="clea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《恶臭污染物排放标准》（GB14554-93）表1恶臭污染物厂界标准值“二级、新扩改建”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vMerge w:val="continue"/>
            <w:vAlign w:val="center"/>
          </w:tcPr>
          <w:p>
            <w:pPr>
              <w:widowControl/>
              <w:shd w:val="clear"/>
              <w:jc w:val="left"/>
              <w:rPr>
                <w:rFonts w:hint="default" w:ascii="Times New Roman" w:hAnsi="Times New Roman" w:eastAsia="宋体" w:cs="Times New Roman"/>
                <w:color w:val="auto"/>
                <w:kern w:val="0"/>
                <w:sz w:val="21"/>
                <w:szCs w:val="21"/>
                <w:highlight w:val="none"/>
              </w:rPr>
            </w:pPr>
          </w:p>
        </w:tc>
        <w:tc>
          <w:tcPr>
            <w:tcW w:w="1180" w:type="dxa"/>
            <w:vMerge w:val="continue"/>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NMHC</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厂区内设置</w:t>
            </w:r>
            <w:r>
              <w:rPr>
                <w:rFonts w:hint="default" w:ascii="Times New Roman" w:hAnsi="Times New Roman" w:eastAsia="宋体" w:cs="Times New Roman"/>
                <w:color w:val="auto"/>
                <w:kern w:val="0"/>
                <w:sz w:val="21"/>
                <w:szCs w:val="21"/>
                <w:highlight w:val="none"/>
                <w:lang w:val="en-US" w:eastAsia="zh-CN"/>
              </w:rPr>
              <w:t>1个点位</w:t>
            </w:r>
          </w:p>
        </w:tc>
        <w:tc>
          <w:tcPr>
            <w:tcW w:w="1449" w:type="dxa"/>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每年一次，每次监测一天，每天监测不小于</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lang w:eastAsia="zh-TW"/>
              </w:rPr>
              <w:t>次</w:t>
            </w:r>
          </w:p>
        </w:tc>
        <w:tc>
          <w:tcPr>
            <w:tcW w:w="2091" w:type="dxa"/>
            <w:vAlign w:val="center"/>
          </w:tcPr>
          <w:p>
            <w:pPr>
              <w:shd w:val="clear"/>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《挥发性有机物无组织排放控制标准》（GB37822-2019）附录A厂区内VOCs无组织排放监控要求；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噪声</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设备噪声</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等效</w:t>
            </w:r>
            <w:r>
              <w:rPr>
                <w:rFonts w:hint="default" w:ascii="Times New Roman" w:hAnsi="Times New Roman" w:eastAsia="宋体" w:cs="Times New Roman"/>
                <w:color w:val="auto"/>
                <w:kern w:val="0"/>
                <w:sz w:val="21"/>
                <w:szCs w:val="21"/>
                <w:highlight w:val="none"/>
                <w:lang w:eastAsia="zh-CN"/>
              </w:rPr>
              <w:t>连续</w:t>
            </w:r>
            <w:r>
              <w:rPr>
                <w:rFonts w:hint="default" w:ascii="Times New Roman" w:hAnsi="Times New Roman" w:eastAsia="宋体" w:cs="Times New Roman"/>
                <w:color w:val="auto"/>
                <w:kern w:val="0"/>
                <w:sz w:val="21"/>
                <w:szCs w:val="21"/>
                <w:highlight w:val="none"/>
                <w:lang w:eastAsia="zh-TW"/>
              </w:rPr>
              <w:t>A声级</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厂界四周</w:t>
            </w:r>
          </w:p>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4个点</w:t>
            </w:r>
          </w:p>
        </w:tc>
        <w:tc>
          <w:tcPr>
            <w:tcW w:w="144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每</w:t>
            </w:r>
            <w:r>
              <w:rPr>
                <w:rFonts w:hint="default" w:ascii="Times New Roman" w:hAnsi="Times New Roman" w:eastAsia="宋体" w:cs="Times New Roman"/>
                <w:color w:val="auto"/>
                <w:kern w:val="0"/>
                <w:sz w:val="21"/>
                <w:szCs w:val="21"/>
                <w:highlight w:val="none"/>
                <w:lang w:eastAsia="zh-CN"/>
              </w:rPr>
              <w:t>季度</w:t>
            </w:r>
            <w:r>
              <w:rPr>
                <w:rFonts w:hint="default" w:ascii="Times New Roman" w:hAnsi="Times New Roman" w:eastAsia="宋体" w:cs="Times New Roman"/>
                <w:color w:val="auto"/>
                <w:kern w:val="0"/>
                <w:sz w:val="21"/>
                <w:szCs w:val="21"/>
                <w:highlight w:val="none"/>
                <w:lang w:eastAsia="zh-TW"/>
              </w:rPr>
              <w:t>一次，每次监测两天，每天昼夜各一次</w:t>
            </w:r>
          </w:p>
        </w:tc>
        <w:tc>
          <w:tcPr>
            <w:tcW w:w="209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 xml:space="preserve">《工业企业厂界环境噪声排放标准》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GB12348-2008</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 xml:space="preserve"> </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TW"/>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地下水</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厂区</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pH、总硬度、耗氧量、溶解性总固体、氟化物、氰化物、硫酸盐、亚硝酸盐氮、氨氮、硝酸盐氮、六价铬、挥发酚、总大肠菌群</w:t>
            </w:r>
          </w:p>
        </w:tc>
        <w:tc>
          <w:tcPr>
            <w:tcW w:w="1180"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sz w:val="21"/>
                <w:szCs w:val="21"/>
                <w:highlight w:val="none"/>
                <w:lang w:eastAsia="zh-CN" w:bidi="ar"/>
              </w:rPr>
              <w:t>北</w:t>
            </w:r>
            <w:r>
              <w:rPr>
                <w:rFonts w:hint="default" w:ascii="Times New Roman" w:hAnsi="Times New Roman" w:eastAsia="宋体" w:cs="Times New Roman"/>
                <w:color w:val="auto"/>
                <w:sz w:val="21"/>
                <w:szCs w:val="21"/>
                <w:highlight w:val="none"/>
                <w:lang w:bidi="ar"/>
              </w:rPr>
              <w:t>侧</w:t>
            </w:r>
            <w:r>
              <w:rPr>
                <w:rFonts w:hint="default" w:ascii="Times New Roman" w:hAnsi="Times New Roman" w:eastAsia="宋体" w:cs="Times New Roman"/>
                <w:color w:val="auto"/>
                <w:kern w:val="0"/>
                <w:sz w:val="21"/>
                <w:szCs w:val="21"/>
                <w:highlight w:val="none"/>
                <w:lang w:eastAsia="zh-CN"/>
              </w:rPr>
              <w:t>监控井</w:t>
            </w:r>
          </w:p>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（坐标：</w:t>
            </w:r>
            <w:r>
              <w:rPr>
                <w:rFonts w:hint="default" w:ascii="Times New Roman" w:hAnsi="Times New Roman" w:eastAsia="宋体" w:cs="Times New Roman"/>
                <w:color w:val="auto"/>
                <w:sz w:val="21"/>
                <w:szCs w:val="21"/>
                <w:highlight w:val="none"/>
              </w:rPr>
              <w:t>N:40°51′</w:t>
            </w:r>
            <w:r>
              <w:rPr>
                <w:rFonts w:hint="default" w:ascii="Times New Roman" w:hAnsi="Times New Roman" w:eastAsia="宋体" w:cs="Times New Roman"/>
                <w:color w:val="auto"/>
                <w:sz w:val="21"/>
                <w:szCs w:val="21"/>
                <w:highlight w:val="none"/>
                <w:lang w:val="en-US" w:eastAsia="zh-CN"/>
              </w:rPr>
              <w:t>26.83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E:108°54′4</w:t>
            </w:r>
            <w:r>
              <w:rPr>
                <w:rFonts w:hint="default" w:ascii="Times New Roman" w:hAnsi="Times New Roman" w:eastAsia="宋体" w:cs="Times New Roman"/>
                <w:color w:val="auto"/>
                <w:sz w:val="21"/>
                <w:szCs w:val="21"/>
                <w:highlight w:val="none"/>
                <w:lang w:val="en-US" w:eastAsia="zh-CN"/>
              </w:rPr>
              <w:t>6.36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eastAsia="zh-CN"/>
              </w:rPr>
              <w:t>）</w:t>
            </w:r>
          </w:p>
        </w:tc>
        <w:tc>
          <w:tcPr>
            <w:tcW w:w="1449"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t>每年枯水期采样一次</w:t>
            </w:r>
          </w:p>
        </w:tc>
        <w:tc>
          <w:tcPr>
            <w:tcW w:w="2091" w:type="dxa"/>
            <w:shd w:val="clear" w:color="auto" w:fill="auto"/>
            <w:vAlign w:val="center"/>
          </w:tcPr>
          <w:p>
            <w:pPr>
              <w:widowControl/>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TW"/>
              </w:rPr>
              <w:t xml:space="preserve">《地下水质量标准》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GB/T14848-2017</w:t>
            </w:r>
            <w:r>
              <w:rPr>
                <w:rFonts w:hint="default" w:ascii="Times New Roman" w:hAnsi="Times New Roman" w:eastAsia="宋体" w:cs="Times New Roman"/>
                <w:color w:val="auto"/>
                <w:kern w:val="0"/>
                <w:sz w:val="21"/>
                <w:szCs w:val="21"/>
                <w:highlight w:val="none"/>
                <w:lang w:eastAsia="zh-CN"/>
              </w:rPr>
              <w:t>）</w:t>
            </w:r>
          </w:p>
          <w:p>
            <w:pPr>
              <w:widowControl/>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TW"/>
              </w:rPr>
              <w:fldChar w:fldCharType="begin"/>
            </w:r>
            <w:r>
              <w:rPr>
                <w:rFonts w:hint="default" w:ascii="Times New Roman" w:hAnsi="Times New Roman" w:eastAsia="宋体" w:cs="Times New Roman"/>
                <w:color w:val="auto"/>
                <w:kern w:val="0"/>
                <w:sz w:val="21"/>
                <w:szCs w:val="21"/>
                <w:highlight w:val="none"/>
              </w:rPr>
              <w:instrText xml:space="preserve"> = 3 \* ROMAN </w:instrText>
            </w:r>
            <w:r>
              <w:rPr>
                <w:rFonts w:hint="default" w:ascii="Times New Roman" w:hAnsi="Times New Roman" w:eastAsia="宋体" w:cs="Times New Roman"/>
                <w:color w:val="auto"/>
                <w:kern w:val="0"/>
                <w:sz w:val="21"/>
                <w:szCs w:val="21"/>
                <w:highlight w:val="none"/>
                <w:lang w:eastAsia="zh-TW"/>
              </w:rPr>
              <w:fldChar w:fldCharType="separate"/>
            </w:r>
            <w:r>
              <w:rPr>
                <w:rFonts w:hint="default" w:ascii="Times New Roman" w:hAnsi="Times New Roman" w:eastAsia="宋体" w:cs="Times New Roman"/>
                <w:color w:val="auto"/>
                <w:kern w:val="0"/>
                <w:sz w:val="21"/>
                <w:szCs w:val="21"/>
                <w:highlight w:val="none"/>
                <w:lang w:eastAsia="zh-CN"/>
              </w:rPr>
              <w:t>Ⅲ</w:t>
            </w:r>
            <w:r>
              <w:rPr>
                <w:rFonts w:hint="default" w:ascii="Times New Roman" w:hAnsi="Times New Roman" w:eastAsia="宋体" w:cs="Times New Roman"/>
                <w:color w:val="auto"/>
                <w:kern w:val="0"/>
                <w:sz w:val="21"/>
                <w:szCs w:val="21"/>
                <w:highlight w:val="none"/>
                <w:lang w:eastAsia="zh-TW"/>
              </w:rPr>
              <w:fldChar w:fldCharType="end"/>
            </w:r>
            <w:r>
              <w:rPr>
                <w:rFonts w:hint="default" w:ascii="Times New Roman" w:hAnsi="Times New Roman" w:eastAsia="宋体" w:cs="Times New Roman"/>
                <w:color w:val="auto"/>
                <w:kern w:val="0"/>
                <w:sz w:val="21"/>
                <w:szCs w:val="21"/>
                <w:highlight w:val="none"/>
                <w:lang w:eastAsia="zh-TW"/>
              </w:rPr>
              <w:t>类标准</w:t>
            </w:r>
          </w:p>
        </w:tc>
      </w:tr>
    </w:tbl>
    <w:p>
      <w:pPr>
        <w:pStyle w:val="5"/>
        <w:keepNext w:val="0"/>
        <w:shd w:val="clear"/>
        <w:spacing w:before="60" w:after="60"/>
        <w:rPr>
          <w:rFonts w:hint="default" w:ascii="Times New Roman" w:hAnsi="Times New Roman" w:eastAsia="宋体" w:cs="Times New Roman"/>
          <w:color w:val="auto"/>
          <w:highlight w:val="none"/>
        </w:rPr>
      </w:pPr>
      <w:bookmarkStart w:id="384" w:name="_Toc11477"/>
      <w:r>
        <w:rPr>
          <w:rFonts w:hint="default" w:ascii="Times New Roman" w:hAnsi="Times New Roman" w:eastAsia="宋体" w:cs="Times New Roman"/>
          <w:color w:val="auto"/>
          <w:highlight w:val="none"/>
        </w:rPr>
        <w:t>8.3排污口规范化管理</w:t>
      </w:r>
      <w:bookmarkEnd w:id="381"/>
      <w:bookmarkEnd w:id="382"/>
      <w:bookmarkEnd w:id="383"/>
      <w:bookmarkEnd w:id="384"/>
    </w:p>
    <w:p>
      <w:pPr>
        <w:pStyle w:val="6"/>
        <w:shd w:val="clear"/>
        <w:spacing w:before="60" w:after="60"/>
        <w:rPr>
          <w:rFonts w:hint="default" w:ascii="Times New Roman" w:hAnsi="Times New Roman" w:eastAsia="宋体" w:cs="Times New Roman"/>
          <w:color w:val="auto"/>
          <w:highlight w:val="none"/>
        </w:rPr>
      </w:pPr>
      <w:bookmarkStart w:id="385" w:name="_Toc327383240"/>
      <w:bookmarkStart w:id="386" w:name="_Toc464475492"/>
      <w:bookmarkStart w:id="387" w:name="_Toc243119442"/>
      <w:r>
        <w:rPr>
          <w:rFonts w:hint="default" w:ascii="Times New Roman" w:hAnsi="Times New Roman" w:eastAsia="宋体" w:cs="Times New Roman"/>
          <w:color w:val="auto"/>
          <w:highlight w:val="none"/>
        </w:rPr>
        <w:t>8.3.1排污口管理技术要求</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排污口的位置必须合理确定，按环监（1996）470号文件要求进行规范化管理；</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排放的采样点设置应按《污染源监测技术规范》要求，设置在企业污染物总排口处；</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气排放口要按国家有关规定，规范整治排气筒数量、高度，此外，还要按《污染源监测技术规范》要求对现场监测条件规范，搭设监测平台，除尘器前、后预留监测孔，便于环境管理及监测部门的日常监督、检查和监测。</w:t>
      </w:r>
    </w:p>
    <w:p>
      <w:pPr>
        <w:pStyle w:val="6"/>
        <w:shd w:val="clear"/>
        <w:spacing w:before="60" w:after="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8.3.2排污口标志管理</w:t>
      </w:r>
    </w:p>
    <w:p>
      <w:pPr>
        <w:numPr>
          <w:ilvl w:val="8"/>
          <w:numId w:val="0"/>
        </w:numPr>
        <w:shd w:val="clear"/>
        <w:tabs>
          <w:tab w:val="left" w:pos="360"/>
        </w:tabs>
        <w:autoSpaceDE w:val="0"/>
        <w:autoSpaceDN w:val="0"/>
        <w:adjustRightInd w:val="0"/>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污口要立标管理，设立国家标准规定的标志牌，根据排污口污染物的排放特点，设置提示性或警告性环境保护图形标志牌，一般污染源设置提示性标志牌，毒性污染物设置警示性标志牌。项目只需设立提示性标志牌。</w:t>
      </w:r>
    </w:p>
    <w:p>
      <w:pPr>
        <w:numPr>
          <w:ilvl w:val="8"/>
          <w:numId w:val="0"/>
        </w:numPr>
        <w:shd w:val="clear"/>
        <w:tabs>
          <w:tab w:val="left" w:pos="360"/>
        </w:tabs>
        <w:autoSpaceDE w:val="0"/>
        <w:autoSpaceDN w:val="0"/>
        <w:adjustRightInd w:val="0"/>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应按《环境保护图形标志—排放口（源）》（GB15562.1-1995）规定的图形，在各气、水、声排污口（源）挂牌标识，标志牌应设置在靠近采样点的醒目处，设置高度为其上缘距地面2m。做到各排污口（源）的环保标志明显，便于企业管理。</w:t>
      </w:r>
    </w:p>
    <w:p>
      <w:pPr>
        <w:pStyle w:val="6"/>
        <w:shd w:val="clear"/>
        <w:spacing w:before="60" w:after="6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8.3.3排污口建档管理</w:t>
      </w:r>
    </w:p>
    <w:p>
      <w:pPr>
        <w:numPr>
          <w:ilvl w:val="8"/>
          <w:numId w:val="0"/>
        </w:numPr>
        <w:shd w:val="clear"/>
        <w:tabs>
          <w:tab w:val="left" w:pos="360"/>
        </w:tabs>
        <w:autoSpaceDE w:val="0"/>
        <w:autoSpaceDN w:val="0"/>
        <w:adjustRightInd w:val="0"/>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要求使用国家环保局统一印刷的《中华人民共和国规范化排污口标志登记证》，并按要求填写有关内容；</w:t>
      </w:r>
    </w:p>
    <w:p>
      <w:pPr>
        <w:numPr>
          <w:ilvl w:val="8"/>
          <w:numId w:val="0"/>
        </w:numPr>
        <w:shd w:val="clear"/>
        <w:tabs>
          <w:tab w:val="left" w:pos="360"/>
        </w:tabs>
        <w:autoSpaceDE w:val="0"/>
        <w:autoSpaceDN w:val="0"/>
        <w:adjustRightInd w:val="0"/>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根据排污口管理档案内容要求，项目建成后，应将主要污染物种类、数量、浓度、排放去向、达标情况及设施运行情况纪录于档案。</w:t>
      </w:r>
    </w:p>
    <w:p>
      <w:pPr>
        <w:shd w:val="clea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drawing>
          <wp:inline distT="0" distB="0" distL="0" distR="0">
            <wp:extent cx="4072255" cy="2445385"/>
            <wp:effectExtent l="0" t="0" r="4445" b="0"/>
            <wp:docPr id="12" name="图片 12"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076463" cy="2448016"/>
                    </a:xfrm>
                    <a:prstGeom prst="rect">
                      <a:avLst/>
                    </a:prstGeom>
                    <a:noFill/>
                    <a:ln>
                      <a:noFill/>
                    </a:ln>
                  </pic:spPr>
                </pic:pic>
              </a:graphicData>
            </a:graphic>
          </wp:inline>
        </w:drawing>
      </w:r>
    </w:p>
    <w:p>
      <w:pPr>
        <w:shd w:val="clear"/>
        <w:spacing w:line="360" w:lineRule="auto"/>
        <w:ind w:firstLine="482" w:firstLineChars="20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图8.3-1   排放口图形标志</w:t>
      </w:r>
    </w:p>
    <w:bookmarkEnd w:id="385"/>
    <w:bookmarkEnd w:id="386"/>
    <w:bookmarkEnd w:id="387"/>
    <w:p>
      <w:pPr>
        <w:pStyle w:val="5"/>
        <w:bidi w:val="0"/>
        <w:rPr>
          <w:rFonts w:hint="default" w:ascii="Times New Roman" w:hAnsi="Times New Roman" w:eastAsia="宋体" w:cs="Times New Roman"/>
          <w:color w:val="auto"/>
        </w:rPr>
      </w:pPr>
      <w:bookmarkStart w:id="388" w:name="_Toc464475497"/>
      <w:bookmarkStart w:id="389" w:name="_Toc243119443"/>
      <w:bookmarkStart w:id="390" w:name="_Toc327383246"/>
      <w:bookmarkStart w:id="391" w:name="_Toc11911"/>
      <w:r>
        <w:rPr>
          <w:rFonts w:hint="default" w:ascii="Times New Roman" w:hAnsi="Times New Roman" w:eastAsia="宋体" w:cs="Times New Roman"/>
          <w:color w:val="auto"/>
        </w:rPr>
        <w:t>8.4竣工环保验收</w:t>
      </w:r>
      <w:bookmarkEnd w:id="388"/>
      <w:bookmarkEnd w:id="389"/>
      <w:bookmarkEnd w:id="390"/>
      <w:bookmarkEnd w:id="391"/>
    </w:p>
    <w:p>
      <w:pPr>
        <w:pStyle w:val="6"/>
        <w:bidi w:val="0"/>
        <w:rPr>
          <w:rFonts w:hint="default" w:ascii="Times New Roman" w:hAnsi="Times New Roman" w:eastAsia="宋体" w:cs="Times New Roman"/>
          <w:color w:val="auto"/>
        </w:rPr>
      </w:pPr>
      <w:bookmarkStart w:id="392" w:name="_Toc243119444"/>
      <w:bookmarkStart w:id="393" w:name="_Toc327383247"/>
      <w:bookmarkStart w:id="394" w:name="_Toc464475498"/>
      <w:r>
        <w:rPr>
          <w:rFonts w:hint="default" w:ascii="Times New Roman" w:hAnsi="Times New Roman" w:eastAsia="宋体" w:cs="Times New Roman"/>
          <w:color w:val="auto"/>
        </w:rPr>
        <w:t>8.4.1验收内容</w:t>
      </w:r>
      <w:bookmarkEnd w:id="392"/>
      <w:bookmarkEnd w:id="393"/>
      <w:bookmarkEnd w:id="394"/>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竣工验收以现场调查与监测相结合的方式对工程“三同时”建设情况进行验收，环境保护验收的主要内容包括以下几个方面：</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通过现场调查项目“三同时”建设情况，主要环保设施的建设与环评批复文件的符合性检查及验收；</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环保设施建设及运行情况，包括：废气、废水、噪声污染防治设施的建设及运行情况及运行处理效果，生态保护措施的落实情况；防止固废废物污染环境的措施；厂区绿化等；</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主要节能措施及清洁生产措施；环保投资及环境管理机构的设置情况。</w:t>
      </w:r>
    </w:p>
    <w:p>
      <w:pPr>
        <w:pStyle w:val="6"/>
        <w:bidi w:val="0"/>
        <w:rPr>
          <w:rFonts w:hint="default" w:ascii="Times New Roman" w:hAnsi="Times New Roman" w:eastAsia="宋体" w:cs="Times New Roman"/>
          <w:color w:val="auto"/>
        </w:rPr>
      </w:pPr>
      <w:bookmarkStart w:id="395" w:name="_Toc327383248"/>
      <w:bookmarkStart w:id="396" w:name="_Toc464475499"/>
      <w:bookmarkStart w:id="397" w:name="_Toc243119445"/>
      <w:r>
        <w:rPr>
          <w:rFonts w:hint="default" w:ascii="Times New Roman" w:hAnsi="Times New Roman" w:eastAsia="宋体" w:cs="Times New Roman"/>
          <w:color w:val="auto"/>
        </w:rPr>
        <w:t>8.4.2</w:t>
      </w:r>
      <w:bookmarkEnd w:id="395"/>
      <w:bookmarkEnd w:id="396"/>
      <w:bookmarkEnd w:id="397"/>
      <w:r>
        <w:rPr>
          <w:rFonts w:hint="default" w:ascii="Times New Roman" w:hAnsi="Times New Roman" w:eastAsia="宋体" w:cs="Times New Roman"/>
          <w:color w:val="auto"/>
        </w:rPr>
        <w:t>环保设施“三同时”验收一览表</w:t>
      </w:r>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项目环保设施“三同时”验收一览表如下。</w:t>
      </w:r>
    </w:p>
    <w:p>
      <w:pPr>
        <w:keepNext w:val="0"/>
        <w:shd w:val="clear"/>
        <w:tabs>
          <w:tab w:val="center" w:pos="4153"/>
          <w:tab w:val="right" w:pos="8306"/>
        </w:tabs>
        <w:spacing w:line="240" w:lineRule="auto"/>
        <w:ind w:firstLine="0" w:firstLineChars="0"/>
        <w:jc w:val="center"/>
        <w:rPr>
          <w:rFonts w:hint="default" w:ascii="Times New Roman" w:hAnsi="Times New Roman" w:eastAsia="宋体" w:cs="Times New Roman"/>
          <w:b/>
          <w:color w:val="auto"/>
          <w:highlight w:val="none"/>
        </w:rPr>
        <w:sectPr>
          <w:pgSz w:w="11906" w:h="16838"/>
          <w:pgMar w:top="1440" w:right="1797" w:bottom="1440" w:left="1797"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表8.4-1   项目环境保护竣工验收一览表</w:t>
      </w:r>
    </w:p>
    <w:tbl>
      <w:tblPr>
        <w:tblStyle w:val="90"/>
        <w:tblW w:w="1389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23"/>
        <w:gridCol w:w="1984"/>
        <w:gridCol w:w="3307"/>
        <w:gridCol w:w="1984"/>
        <w:gridCol w:w="1984"/>
        <w:gridCol w:w="33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330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验收、监测内容</w:t>
            </w:r>
          </w:p>
        </w:tc>
        <w:tc>
          <w:tcPr>
            <w:tcW w:w="3308"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984"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生产车间挤塑、切粒</w:t>
            </w:r>
            <w:r>
              <w:rPr>
                <w:rFonts w:hint="default" w:ascii="Times New Roman" w:hAnsi="Times New Roman" w:eastAsia="宋体" w:cs="Times New Roman"/>
                <w:color w:val="auto"/>
                <w:kern w:val="0"/>
                <w:sz w:val="21"/>
                <w:szCs w:val="21"/>
                <w:highlight w:val="none"/>
                <w:lang w:eastAsia="zh-CN"/>
              </w:rPr>
              <w:t>工序</w:t>
            </w:r>
          </w:p>
        </w:tc>
        <w:tc>
          <w:tcPr>
            <w:tcW w:w="3307" w:type="dxa"/>
            <w:vAlign w:val="center"/>
          </w:tcPr>
          <w:p>
            <w:pPr>
              <w:keepNext w:val="0"/>
              <w:keepLines w:val="0"/>
              <w:pageBreakBefore w:val="0"/>
              <w:widowControl/>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1套集气罩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共</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+1套耐高温过滤棉（1#）</w:t>
            </w:r>
            <w:r>
              <w:rPr>
                <w:rFonts w:hint="default" w:ascii="Times New Roman" w:hAnsi="Times New Roman" w:eastAsia="宋体" w:cs="Times New Roman"/>
                <w:color w:val="auto"/>
                <w:sz w:val="21"/>
                <w:szCs w:val="21"/>
                <w:highlight w:val="none"/>
                <w:lang w:val="en-US" w:eastAsia="zh-CN"/>
              </w:rPr>
              <w:t>+UV光氧催化</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lang w:eastAsia="zh-CN"/>
              </w:rPr>
              <w:t>）</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rPr>
              <w:t>活性炭吸附装置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lang w:eastAsia="zh-CN"/>
              </w:rPr>
              <w:t>）</w:t>
            </w:r>
          </w:p>
        </w:tc>
        <w:tc>
          <w:tcPr>
            <w:tcW w:w="1984"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P1</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非甲烷总烃</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颗粒物</w:t>
            </w:r>
          </w:p>
        </w:tc>
        <w:tc>
          <w:tcPr>
            <w:tcW w:w="3308" w:type="dxa"/>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《大气污染物综合排放标准》（GB16297－1996）中规定的“新污染源、二级标准”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color w:val="auto"/>
                <w:kern w:val="0"/>
                <w:sz w:val="21"/>
                <w:szCs w:val="21"/>
                <w:highlight w:val="none"/>
                <w:lang w:eastAsia="zh-TW"/>
              </w:rPr>
              <w:t>吹塑</w:t>
            </w:r>
            <w:r>
              <w:rPr>
                <w:rFonts w:hint="default" w:ascii="Times New Roman" w:hAnsi="Times New Roman" w:eastAsia="宋体" w:cs="Times New Roman"/>
                <w:color w:val="auto"/>
                <w:kern w:val="0"/>
                <w:sz w:val="21"/>
                <w:szCs w:val="21"/>
                <w:highlight w:val="none"/>
                <w:lang w:eastAsia="zh-CN"/>
              </w:rPr>
              <w:t>工序</w:t>
            </w:r>
          </w:p>
        </w:tc>
        <w:tc>
          <w:tcPr>
            <w:tcW w:w="3307" w:type="dxa"/>
            <w:vAlign w:val="center"/>
          </w:tcPr>
          <w:p>
            <w:pPr>
              <w:keepNext w:val="0"/>
              <w:keepLines w:val="0"/>
              <w:pageBreakBefore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rPr>
              <w:t>1套集气罩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共</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+1套耐高温过滤棉（2#）</w:t>
            </w:r>
            <w:r>
              <w:rPr>
                <w:rFonts w:hint="default" w:ascii="Times New Roman" w:hAnsi="Times New Roman" w:eastAsia="宋体" w:cs="Times New Roman"/>
                <w:color w:val="auto"/>
                <w:sz w:val="21"/>
                <w:szCs w:val="21"/>
                <w:highlight w:val="none"/>
                <w:lang w:val="en-US" w:eastAsia="zh-CN"/>
              </w:rPr>
              <w:t>+UV光氧催化</w:t>
            </w:r>
            <w:r>
              <w:rPr>
                <w:rFonts w:hint="default"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rPr>
              <w:t>活性炭吸附装置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eastAsia="zh-CN"/>
              </w:rPr>
              <w:t>）</w:t>
            </w:r>
          </w:p>
        </w:tc>
        <w:tc>
          <w:tcPr>
            <w:tcW w:w="1984"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CN"/>
              </w:rPr>
              <w:t>塑料制品生产车间</w:t>
            </w:r>
            <w:r>
              <w:rPr>
                <w:rFonts w:hint="default" w:ascii="Times New Roman" w:hAnsi="Times New Roman" w:eastAsia="宋体" w:cs="Times New Roman"/>
                <w:b w:val="0"/>
                <w:bCs w:val="0"/>
                <w:color w:val="auto"/>
                <w:sz w:val="21"/>
                <w:szCs w:val="21"/>
                <w:highlight w:val="none"/>
              </w:rPr>
              <w:t>排气筒</w:t>
            </w:r>
            <w:r>
              <w:rPr>
                <w:rFonts w:hint="default" w:ascii="Times New Roman" w:hAnsi="Times New Roman" w:eastAsia="宋体" w:cs="Times New Roman"/>
                <w:b w:val="0"/>
                <w:bCs w:val="0"/>
                <w:color w:val="auto"/>
                <w:sz w:val="21"/>
                <w:szCs w:val="21"/>
                <w:highlight w:val="none"/>
                <w:lang w:val="en-US" w:eastAsia="zh-CN"/>
              </w:rPr>
              <w:t>P2</w:t>
            </w: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非甲烷总烃</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颗粒物</w:t>
            </w:r>
          </w:p>
        </w:tc>
        <w:tc>
          <w:tcPr>
            <w:tcW w:w="3308" w:type="dxa"/>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《合成树脂工业污染物排放标准》（GB31572-2015）</w:t>
            </w:r>
            <w:r>
              <w:rPr>
                <w:rFonts w:hint="default" w:ascii="Times New Roman" w:hAnsi="Times New Roman" w:eastAsia="宋体" w:cs="Times New Roman"/>
                <w:color w:val="auto"/>
                <w:sz w:val="21"/>
                <w:szCs w:val="21"/>
                <w:lang w:val="en-US" w:eastAsia="zh-CN"/>
              </w:rPr>
              <w:t>表4大气污染物排放限值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混料工序</w:t>
            </w:r>
          </w:p>
        </w:tc>
        <w:tc>
          <w:tcPr>
            <w:tcW w:w="3307"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除尘滤芯</w:t>
            </w:r>
          </w:p>
        </w:tc>
        <w:tc>
          <w:tcPr>
            <w:tcW w:w="1984" w:type="dxa"/>
            <w:vMerge w:val="restart"/>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厂界上风向1个点位、下风向3个点位</w:t>
            </w: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颗粒物</w:t>
            </w:r>
          </w:p>
        </w:tc>
        <w:tc>
          <w:tcPr>
            <w:tcW w:w="3308" w:type="dxa"/>
            <w:vMerge w:val="restart"/>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《合成树脂工业污染物排放标准》（GB31572-2015）</w:t>
            </w:r>
            <w:r>
              <w:rPr>
                <w:rFonts w:hint="default" w:ascii="Times New Roman" w:hAnsi="Times New Roman" w:eastAsia="宋体" w:cs="Times New Roman"/>
                <w:color w:val="auto"/>
                <w:sz w:val="21"/>
                <w:szCs w:val="21"/>
                <w:lang w:val="en-US" w:eastAsia="zh-CN"/>
              </w:rPr>
              <w:t>表9企业边界大气污染物浓度限值；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Merge w:val="restart"/>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造粒</w:t>
            </w:r>
            <w:r>
              <w:rPr>
                <w:rFonts w:hint="default" w:ascii="Times New Roman" w:hAnsi="Times New Roman" w:eastAsia="宋体" w:cs="Times New Roman"/>
                <w:color w:val="auto"/>
                <w:kern w:val="0"/>
                <w:sz w:val="21"/>
                <w:szCs w:val="21"/>
                <w:highlight w:val="none"/>
                <w:lang w:eastAsia="zh-TW"/>
              </w:rPr>
              <w:t>生产车间</w:t>
            </w:r>
            <w:r>
              <w:rPr>
                <w:rFonts w:hint="default" w:ascii="Times New Roman" w:hAnsi="Times New Roman" w:eastAsia="宋体" w:cs="Times New Roman"/>
                <w:color w:val="auto"/>
                <w:kern w:val="0"/>
                <w:sz w:val="21"/>
                <w:szCs w:val="21"/>
                <w:highlight w:val="none"/>
                <w:lang w:eastAsia="zh-CN"/>
              </w:rPr>
              <w:t>无组织废气和塑料制品生产车间无组织废气</w:t>
            </w:r>
          </w:p>
        </w:tc>
        <w:tc>
          <w:tcPr>
            <w:tcW w:w="3307" w:type="dxa"/>
            <w:vMerge w:val="restart"/>
            <w:vAlign w:val="center"/>
          </w:tcPr>
          <w:p>
            <w:pPr>
              <w:shd w:val="clea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封闭生产车间</w:t>
            </w:r>
          </w:p>
        </w:tc>
        <w:tc>
          <w:tcPr>
            <w:tcW w:w="1984"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非甲烷总烃</w:t>
            </w:r>
          </w:p>
        </w:tc>
        <w:tc>
          <w:tcPr>
            <w:tcW w:w="3308" w:type="dxa"/>
            <w:vMerge w:val="continue"/>
            <w:vAlign w:val="center"/>
          </w:tcPr>
          <w:p>
            <w:pPr>
              <w:shd w:val="clear"/>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Merge w:val="continue"/>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p>
        </w:tc>
        <w:tc>
          <w:tcPr>
            <w:tcW w:w="3307"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厂区内1个监测点位</w:t>
            </w: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非甲烷总烃</w:t>
            </w:r>
          </w:p>
        </w:tc>
        <w:tc>
          <w:tcPr>
            <w:tcW w:w="3308" w:type="dxa"/>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《挥发性有机物无组织排放控制标准》（GB37822-2019）附录A厂区内VOCs无组织排放监控要求；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Merge w:val="continue"/>
            <w:vAlign w:val="center"/>
          </w:tcPr>
          <w:p>
            <w:pPr>
              <w:shd w:val="clea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07"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厂界上风向1个点位、下风向3个点位</w:t>
            </w: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臭气浓度</w:t>
            </w:r>
          </w:p>
        </w:tc>
        <w:tc>
          <w:tcPr>
            <w:tcW w:w="3308" w:type="dxa"/>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《恶臭污染物排放标准》（GB14554-93）表1恶臭污染物厂界标准值“二级、新扩改建”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湿法破碎废水、清洗废水</w:t>
            </w:r>
            <w:r>
              <w:rPr>
                <w:rFonts w:hint="default" w:ascii="Times New Roman" w:hAnsi="Times New Roman" w:eastAsia="宋体" w:cs="Times New Roman"/>
                <w:color w:val="auto"/>
                <w:kern w:val="2"/>
                <w:sz w:val="21"/>
                <w:szCs w:val="21"/>
                <w:highlight w:val="none"/>
                <w:lang w:eastAsia="zh-CN"/>
              </w:rPr>
              <w:t>、甩干废水和造粒冷却水</w:t>
            </w:r>
          </w:p>
        </w:tc>
        <w:tc>
          <w:tcPr>
            <w:tcW w:w="3307" w:type="dxa"/>
            <w:vAlign w:val="center"/>
          </w:tcPr>
          <w:p>
            <w:pPr>
              <w:keepNext w:val="0"/>
              <w:keepLines w:val="0"/>
              <w:pageBreakBefore w:val="0"/>
              <w:widowControl/>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0"/>
                <w:sz w:val="21"/>
                <w:szCs w:val="21"/>
                <w:highlight w:val="none"/>
                <w:lang w:eastAsia="zh-CN"/>
              </w:rPr>
              <w:t>三级沉淀池</w:t>
            </w:r>
            <w:r>
              <w:rPr>
                <w:rFonts w:hint="default" w:ascii="Times New Roman" w:hAnsi="Times New Roman" w:eastAsia="宋体" w:cs="Times New Roman"/>
                <w:color w:val="auto"/>
                <w:kern w:val="0"/>
                <w:sz w:val="21"/>
                <w:szCs w:val="21"/>
                <w:highlight w:val="none"/>
                <w:lang w:eastAsia="zh-TW"/>
              </w:rPr>
              <w:t>沉淀后</w:t>
            </w:r>
            <w:r>
              <w:rPr>
                <w:rFonts w:hint="default" w:ascii="Times New Roman" w:hAnsi="Times New Roman" w:eastAsia="宋体" w:cs="Times New Roman"/>
                <w:color w:val="auto"/>
                <w:kern w:val="0"/>
                <w:sz w:val="21"/>
                <w:szCs w:val="21"/>
                <w:highlight w:val="none"/>
                <w:lang w:eastAsia="zh-CN"/>
              </w:rPr>
              <w:t>，上清液回用于湿法破碎用水、清洗用水和</w:t>
            </w:r>
            <w:r>
              <w:rPr>
                <w:rFonts w:hint="default" w:ascii="Times New Roman" w:hAnsi="Times New Roman" w:eastAsia="宋体" w:cs="Times New Roman"/>
                <w:color w:val="auto"/>
                <w:kern w:val="2"/>
                <w:sz w:val="21"/>
                <w:szCs w:val="21"/>
                <w:highlight w:val="none"/>
                <w:lang w:eastAsia="zh-CN"/>
              </w:rPr>
              <w:t>造粒冷却水</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循环使用</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不外排</w:t>
            </w:r>
            <w:r>
              <w:rPr>
                <w:rFonts w:hint="default" w:ascii="Times New Roman" w:hAnsi="Times New Roman" w:eastAsia="宋体" w:cs="Times New Roman"/>
                <w:color w:val="auto"/>
                <w:kern w:val="0"/>
                <w:sz w:val="21"/>
                <w:szCs w:val="21"/>
                <w:highlight w:val="none"/>
                <w:lang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3308"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池体</w:t>
            </w:r>
            <w:r>
              <w:rPr>
                <w:rFonts w:hint="default" w:ascii="Times New Roman" w:hAnsi="Times New Roman" w:eastAsia="宋体" w:cs="Times New Roman"/>
                <w:color w:val="auto"/>
                <w:sz w:val="21"/>
                <w:szCs w:val="21"/>
                <w:highlight w:val="none"/>
              </w:rPr>
              <w:t>采用钢筋混凝土硬化并做防渗处理，充分做好废水管道的防渗处理，杜绝污水渗漏，确保</w:t>
            </w:r>
            <w:r>
              <w:rPr>
                <w:rFonts w:hint="default" w:ascii="Times New Roman" w:hAnsi="Times New Roman" w:eastAsia="宋体" w:cs="Times New Roman"/>
                <w:color w:val="auto"/>
                <w:sz w:val="21"/>
                <w:szCs w:val="21"/>
                <w:highlight w:val="none"/>
                <w:lang w:eastAsia="zh-CN"/>
              </w:rPr>
              <w:t>池体</w:t>
            </w:r>
            <w:r>
              <w:rPr>
                <w:rFonts w:hint="default" w:ascii="Times New Roman" w:hAnsi="Times New Roman" w:eastAsia="宋体" w:cs="Times New Roman"/>
                <w:color w:val="auto"/>
                <w:sz w:val="21"/>
                <w:szCs w:val="21"/>
                <w:highlight w:val="none"/>
              </w:rPr>
              <w:t>收集处理系统衔接良好。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0"/>
                <w:sz w:val="21"/>
                <w:szCs w:val="21"/>
                <w:highlight w:val="none"/>
                <w:lang w:eastAsia="zh-CN"/>
              </w:rPr>
              <w:t>6条滴灌带生产线，4条PE管材管件生产线冷却水槽内冷却废水</w:t>
            </w:r>
          </w:p>
        </w:tc>
        <w:tc>
          <w:tcPr>
            <w:tcW w:w="3307" w:type="dxa"/>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0"/>
                <w:sz w:val="21"/>
                <w:szCs w:val="21"/>
                <w:highlight w:val="none"/>
                <w:lang w:eastAsia="zh-CN"/>
              </w:rPr>
              <w:t>收集于冷却水池，经风冷却塔冷却后，回用于冷却水槽内，</w:t>
            </w:r>
            <w:r>
              <w:rPr>
                <w:rFonts w:hint="default" w:ascii="Times New Roman" w:hAnsi="Times New Roman" w:eastAsia="宋体" w:cs="Times New Roman"/>
                <w:color w:val="auto"/>
                <w:kern w:val="0"/>
                <w:sz w:val="21"/>
                <w:szCs w:val="21"/>
                <w:highlight w:val="none"/>
                <w:lang w:eastAsia="zh-TW"/>
              </w:rPr>
              <w:t>循环使用，不外排</w:t>
            </w:r>
          </w:p>
        </w:tc>
        <w:tc>
          <w:tcPr>
            <w:tcW w:w="1984"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08" w:type="dxa"/>
            <w:vMerge w:val="continue"/>
            <w:vAlign w:val="center"/>
          </w:tcPr>
          <w:p>
            <w:pPr>
              <w:shd w:val="clear"/>
              <w:jc w:val="center"/>
              <w:rPr>
                <w:rFonts w:hint="default" w:ascii="Times New Roman" w:hAnsi="Times New Roman" w:eastAsia="宋体" w:cs="Times New Roman"/>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生活污水</w:t>
            </w:r>
          </w:p>
        </w:tc>
        <w:tc>
          <w:tcPr>
            <w:tcW w:w="3307" w:type="dxa"/>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eastAsia="zh-CN"/>
              </w:rPr>
              <w:t>排入防渗化粪池内</w:t>
            </w:r>
            <w:r>
              <w:rPr>
                <w:rFonts w:hint="default" w:ascii="Times New Roman" w:hAnsi="Times New Roman" w:eastAsia="宋体" w:cs="Times New Roman"/>
                <w:color w:val="auto"/>
                <w:sz w:val="21"/>
                <w:szCs w:val="21"/>
                <w:highlight w:val="none"/>
                <w:lang w:val="en-US" w:eastAsia="zh-CN"/>
              </w:rPr>
              <w:t>，定期清掏</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3308"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分拣固废</w:t>
            </w:r>
          </w:p>
        </w:tc>
        <w:tc>
          <w:tcPr>
            <w:tcW w:w="3307" w:type="dxa"/>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0"/>
                <w:sz w:val="21"/>
                <w:szCs w:val="21"/>
                <w:highlight w:val="none"/>
              </w:rPr>
              <w:t>暂存于一般固废暂存间，</w:t>
            </w:r>
            <w:r>
              <w:rPr>
                <w:rFonts w:hint="default" w:ascii="Times New Roman" w:hAnsi="Times New Roman" w:eastAsia="宋体" w:cs="Times New Roman"/>
                <w:color w:val="auto"/>
                <w:sz w:val="21"/>
                <w:szCs w:val="21"/>
                <w:highlight w:val="none"/>
                <w:lang w:eastAsia="zh-CN"/>
              </w:rPr>
              <w:t>交由当地环卫部门清运，统一处置</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3308"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《一般工业固体废物贮存和填埋污染控制标准》（GB18599-2020）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三级沉淀池沉渣</w:t>
            </w:r>
          </w:p>
        </w:tc>
        <w:tc>
          <w:tcPr>
            <w:tcW w:w="3307" w:type="dxa"/>
            <w:vAlign w:val="center"/>
          </w:tcPr>
          <w:p>
            <w:pPr>
              <w:shd w:val="clea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eastAsia="zh-CN"/>
              </w:rPr>
              <w:t>定期清掏</w:t>
            </w:r>
            <w:r>
              <w:rPr>
                <w:rFonts w:hint="default" w:ascii="Times New Roman" w:hAnsi="Times New Roman" w:eastAsia="宋体" w:cs="Times New Roman"/>
                <w:color w:val="auto"/>
                <w:kern w:val="2"/>
                <w:sz w:val="21"/>
                <w:szCs w:val="21"/>
                <w:highlight w:val="none"/>
              </w:rPr>
              <w:t>后，暂存于一般固废暂存间，</w:t>
            </w:r>
            <w:r>
              <w:rPr>
                <w:rFonts w:hint="default" w:ascii="Times New Roman" w:hAnsi="Times New Roman" w:eastAsia="宋体" w:cs="Times New Roman"/>
                <w:color w:val="auto"/>
                <w:kern w:val="2"/>
                <w:sz w:val="21"/>
                <w:szCs w:val="21"/>
                <w:highlight w:val="none"/>
                <w:lang w:eastAsia="zh-CN"/>
              </w:rPr>
              <w:t>交由当地环卫部门清运，统一处置</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3308" w:type="dxa"/>
            <w:vMerge w:val="continue"/>
            <w:vAlign w:val="center"/>
          </w:tcPr>
          <w:p>
            <w:pPr>
              <w:shd w:val="clear"/>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废滤网</w:t>
            </w:r>
          </w:p>
        </w:tc>
        <w:tc>
          <w:tcPr>
            <w:tcW w:w="3307" w:type="dxa"/>
            <w:vAlign w:val="center"/>
          </w:tcPr>
          <w:p>
            <w:pPr>
              <w:shd w:val="clea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暂存于一般固废暂存间，定期由厂家回收</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3308" w:type="dxa"/>
            <w:vMerge w:val="continue"/>
            <w:vAlign w:val="center"/>
          </w:tcPr>
          <w:p>
            <w:pPr>
              <w:shd w:val="clear"/>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TW" w:bidi="ar-SA"/>
              </w:rPr>
            </w:pPr>
            <w:r>
              <w:rPr>
                <w:rFonts w:hint="default" w:ascii="Times New Roman" w:hAnsi="Times New Roman" w:eastAsia="宋体" w:cs="Times New Roman"/>
                <w:color w:val="auto"/>
                <w:kern w:val="0"/>
                <w:sz w:val="21"/>
                <w:szCs w:val="21"/>
                <w:highlight w:val="none"/>
                <w:lang w:eastAsia="zh-CN"/>
              </w:rPr>
              <w:t>混料工序收集的粉尘</w:t>
            </w:r>
          </w:p>
        </w:tc>
        <w:tc>
          <w:tcPr>
            <w:tcW w:w="3307" w:type="dxa"/>
            <w:vAlign w:val="center"/>
          </w:tcPr>
          <w:p>
            <w:pPr>
              <w:widowControl/>
              <w:shd w:val="clea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回用于生产，不外排</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3308" w:type="dxa"/>
            <w:vMerge w:val="continue"/>
            <w:vAlign w:val="center"/>
          </w:tcPr>
          <w:p>
            <w:pPr>
              <w:shd w:val="clear"/>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TW"/>
              </w:rPr>
              <w:t>废</w:t>
            </w:r>
            <w:r>
              <w:rPr>
                <w:rFonts w:hint="default" w:ascii="Times New Roman" w:hAnsi="Times New Roman" w:eastAsia="宋体" w:cs="Times New Roman"/>
                <w:color w:val="auto"/>
                <w:kern w:val="0"/>
                <w:sz w:val="21"/>
                <w:szCs w:val="21"/>
                <w:highlight w:val="none"/>
              </w:rPr>
              <w:t>耐高温过滤棉</w:t>
            </w:r>
          </w:p>
        </w:tc>
        <w:tc>
          <w:tcPr>
            <w:tcW w:w="3307" w:type="dxa"/>
            <w:tcBorders>
              <w:top w:val="single" w:color="auto" w:sz="4" w:space="0"/>
            </w:tcBorders>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暂存于危废暂存间，定期委托有资质单位处置</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3308"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《危险废物贮存污染控制标准》（GB18597-2001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及修改单相关规定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sz w:val="21"/>
                <w:szCs w:val="21"/>
                <w:highlight w:val="none"/>
              </w:rPr>
              <w:t>废</w:t>
            </w:r>
            <w:r>
              <w:rPr>
                <w:rFonts w:hint="eastAsia" w:ascii="Times New Roman" w:hAnsi="Times New Roman" w:eastAsia="宋体" w:cs="Times New Roman"/>
                <w:color w:val="auto"/>
                <w:sz w:val="21"/>
                <w:szCs w:val="21"/>
                <w:highlight w:val="none"/>
                <w:lang w:val="en-US" w:eastAsia="zh-CN"/>
              </w:rPr>
              <w:t>灯管</w:t>
            </w:r>
          </w:p>
        </w:tc>
        <w:tc>
          <w:tcPr>
            <w:tcW w:w="3307" w:type="dxa"/>
            <w:tcBorders>
              <w:top w:val="single" w:color="auto" w:sz="4" w:space="0"/>
            </w:tcBorders>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暂存于危废暂存间，定期委托有资质单位处置</w:t>
            </w:r>
          </w:p>
        </w:tc>
        <w:tc>
          <w:tcPr>
            <w:tcW w:w="1984"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08" w:type="dxa"/>
            <w:vMerge w:val="continue"/>
            <w:vAlign w:val="center"/>
          </w:tcPr>
          <w:p>
            <w:pPr>
              <w:shd w:val="clear"/>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废活性炭</w:t>
            </w:r>
          </w:p>
        </w:tc>
        <w:tc>
          <w:tcPr>
            <w:tcW w:w="3307" w:type="dxa"/>
            <w:tcBorders>
              <w:top w:val="single" w:color="auto" w:sz="4" w:space="0"/>
            </w:tcBorders>
            <w:vAlign w:val="center"/>
          </w:tcPr>
          <w:p>
            <w:pPr>
              <w:shd w:val="clear"/>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暂存于危废暂存间，定期委托有资质单位处置</w:t>
            </w:r>
          </w:p>
        </w:tc>
        <w:tc>
          <w:tcPr>
            <w:tcW w:w="1984"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08" w:type="dxa"/>
            <w:vMerge w:val="continue"/>
            <w:vAlign w:val="center"/>
          </w:tcPr>
          <w:p>
            <w:pPr>
              <w:shd w:val="clear"/>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307" w:type="dxa"/>
            <w:tcBorders>
              <w:top w:val="single" w:color="auto" w:sz="4" w:space="0"/>
            </w:tcBorders>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厂内集中收集后，交由当地环卫部门清运</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3308"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984" w:type="dxa"/>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各类机械</w:t>
            </w:r>
          </w:p>
        </w:tc>
        <w:tc>
          <w:tcPr>
            <w:tcW w:w="330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隔声、降噪、高噪声设备安装在室内</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厂界外1m</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3308"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c>
          <w:tcPr>
            <w:tcW w:w="1984" w:type="dxa"/>
            <w:vMerge w:val="restart"/>
            <w:vAlign w:val="center"/>
          </w:tcPr>
          <w:p>
            <w:pPr>
              <w:shd w:val="clea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w:t>
            </w:r>
          </w:p>
        </w:tc>
        <w:tc>
          <w:tcPr>
            <w:tcW w:w="330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84" w:type="dxa"/>
            <w:vAlign w:val="center"/>
          </w:tcPr>
          <w:p>
            <w:pPr>
              <w:shd w:val="clea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eastAsia="zh-CN"/>
              </w:rPr>
              <w:t>北侧监控井</w:t>
            </w:r>
          </w:p>
        </w:tc>
        <w:tc>
          <w:tcPr>
            <w:tcW w:w="1984"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pH、总硬度、耗氧量、溶解性总固体、氟化物、氰化物、硫酸盐、亚硝酸盐氮、氨氮、硝酸盐氮、六价铬、挥发酚、总大肠菌群</w:t>
            </w:r>
          </w:p>
        </w:tc>
        <w:tc>
          <w:tcPr>
            <w:tcW w:w="3308"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TW"/>
              </w:rPr>
              <w:t xml:space="preserve">《地下水质量标准》 </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GB/T14848-2017</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TW"/>
              </w:rPr>
              <w:t xml:space="preserve"> </w:t>
            </w:r>
            <w:r>
              <w:rPr>
                <w:rFonts w:hint="default" w:ascii="Times New Roman" w:hAnsi="Times New Roman" w:eastAsia="宋体" w:cs="Times New Roman"/>
                <w:color w:val="auto"/>
                <w:kern w:val="0"/>
                <w:sz w:val="21"/>
                <w:szCs w:val="21"/>
                <w:highlight w:val="none"/>
                <w:lang w:eastAsia="zh-CN"/>
              </w:rPr>
              <w:t>Ⅲ</w:t>
            </w:r>
            <w:r>
              <w:rPr>
                <w:rFonts w:hint="default" w:ascii="Times New Roman" w:hAnsi="Times New Roman" w:eastAsia="宋体" w:cs="Times New Roman"/>
                <w:color w:val="auto"/>
                <w:kern w:val="0"/>
                <w:sz w:val="21"/>
                <w:szCs w:val="21"/>
                <w:highlight w:val="none"/>
                <w:lang w:eastAsia="zh-TW"/>
              </w:rPr>
              <w:t>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Merge w:val="continue"/>
            <w:vAlign w:val="center"/>
          </w:tcPr>
          <w:p>
            <w:pPr>
              <w:shd w:val="clear"/>
              <w:jc w:val="center"/>
              <w:rPr>
                <w:rFonts w:hint="default" w:ascii="Times New Roman" w:hAnsi="Times New Roman" w:eastAsia="宋体" w:cs="Times New Roman"/>
                <w:color w:val="auto"/>
                <w:kern w:val="2"/>
                <w:sz w:val="21"/>
                <w:szCs w:val="21"/>
                <w:highlight w:val="none"/>
              </w:rPr>
            </w:pPr>
          </w:p>
        </w:tc>
        <w:tc>
          <w:tcPr>
            <w:tcW w:w="330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等效黏土防渗层Mb≥6.0m，K≤1×10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cm/s；或参照GB18598执行</w:t>
            </w:r>
          </w:p>
        </w:tc>
        <w:tc>
          <w:tcPr>
            <w:tcW w:w="1984" w:type="dxa"/>
            <w:vAlign w:val="center"/>
          </w:tcPr>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危废暂存间</w:t>
            </w:r>
          </w:p>
        </w:tc>
        <w:tc>
          <w:tcPr>
            <w:tcW w:w="1984" w:type="dxa"/>
            <w:vAlign w:val="center"/>
          </w:tcPr>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厂区现场检查</w:t>
            </w:r>
          </w:p>
        </w:tc>
        <w:tc>
          <w:tcPr>
            <w:tcW w:w="3308" w:type="dxa"/>
            <w:vAlign w:val="center"/>
          </w:tcPr>
          <w:p>
            <w:pPr>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等效黏土防渗层Mb≥6.0m，K≤1×10</w:t>
            </w:r>
            <w:r>
              <w:rPr>
                <w:rFonts w:hint="default" w:ascii="Times New Roman" w:hAnsi="Times New Roman" w:eastAsia="宋体" w:cs="Times New Roman"/>
                <w:color w:val="auto"/>
                <w:kern w:val="0"/>
                <w:sz w:val="21"/>
                <w:szCs w:val="21"/>
                <w:highlight w:val="none"/>
                <w:vertAlign w:val="superscript"/>
                <w:lang w:eastAsia="zh-TW"/>
              </w:rPr>
              <w:t>-10</w:t>
            </w:r>
            <w:r>
              <w:rPr>
                <w:rFonts w:hint="default" w:ascii="Times New Roman" w:hAnsi="Times New Roman" w:eastAsia="宋体" w:cs="Times New Roman"/>
                <w:color w:val="auto"/>
                <w:kern w:val="0"/>
                <w:sz w:val="21"/>
                <w:szCs w:val="21"/>
                <w:highlight w:val="none"/>
                <w:lang w:eastAsia="zh-TW"/>
              </w:rPr>
              <w:t>cm/s；或参照GB18598执行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Merge w:val="continue"/>
            <w:vAlign w:val="center"/>
          </w:tcPr>
          <w:p>
            <w:pPr>
              <w:shd w:val="clear"/>
              <w:jc w:val="center"/>
              <w:rPr>
                <w:rFonts w:hint="default" w:ascii="Times New Roman" w:hAnsi="Times New Roman" w:eastAsia="宋体" w:cs="Times New Roman"/>
                <w:color w:val="auto"/>
                <w:kern w:val="2"/>
                <w:sz w:val="21"/>
                <w:szCs w:val="21"/>
                <w:highlight w:val="none"/>
              </w:rPr>
            </w:pPr>
          </w:p>
        </w:tc>
        <w:tc>
          <w:tcPr>
            <w:tcW w:w="330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等效黏土防渗层Mb≥1.5m，K≤1×10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cm/s；或参照GB16889执行</w:t>
            </w:r>
          </w:p>
        </w:tc>
        <w:tc>
          <w:tcPr>
            <w:tcW w:w="1984" w:type="dxa"/>
            <w:vAlign w:val="center"/>
          </w:tcPr>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生产车间、</w:t>
            </w:r>
            <w:r>
              <w:rPr>
                <w:rFonts w:hint="default" w:ascii="Times New Roman" w:hAnsi="Times New Roman" w:eastAsia="宋体" w:cs="Times New Roman"/>
                <w:color w:val="auto"/>
                <w:kern w:val="0"/>
                <w:sz w:val="21"/>
                <w:szCs w:val="21"/>
                <w:highlight w:val="none"/>
                <w:lang w:eastAsia="zh-CN"/>
              </w:rPr>
              <w:t>三级沉淀池</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防渗化粪池</w:t>
            </w:r>
            <w:r>
              <w:rPr>
                <w:rFonts w:hint="default" w:ascii="Times New Roman" w:hAnsi="Times New Roman" w:eastAsia="宋体" w:cs="Times New Roman"/>
                <w:color w:val="auto"/>
                <w:kern w:val="0"/>
                <w:sz w:val="21"/>
                <w:szCs w:val="21"/>
                <w:highlight w:val="none"/>
              </w:rPr>
              <w:t>、一般固废暂存间</w:t>
            </w:r>
          </w:p>
        </w:tc>
        <w:tc>
          <w:tcPr>
            <w:tcW w:w="1984" w:type="dxa"/>
            <w:vAlign w:val="center"/>
          </w:tcPr>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厂区现场检查</w:t>
            </w:r>
          </w:p>
        </w:tc>
        <w:tc>
          <w:tcPr>
            <w:tcW w:w="3308" w:type="dxa"/>
            <w:vAlign w:val="center"/>
          </w:tcPr>
          <w:p>
            <w:pPr>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等效黏土防渗层Mb≥1.5m，K≤1×10</w:t>
            </w:r>
            <w:r>
              <w:rPr>
                <w:rFonts w:hint="default" w:ascii="Times New Roman" w:hAnsi="Times New Roman" w:eastAsia="宋体" w:cs="Times New Roman"/>
                <w:color w:val="auto"/>
                <w:kern w:val="0"/>
                <w:sz w:val="21"/>
                <w:szCs w:val="21"/>
                <w:highlight w:val="none"/>
                <w:vertAlign w:val="superscript"/>
                <w:lang w:eastAsia="zh-TW"/>
              </w:rPr>
              <w:t>-7</w:t>
            </w:r>
            <w:r>
              <w:rPr>
                <w:rFonts w:hint="default" w:ascii="Times New Roman" w:hAnsi="Times New Roman" w:eastAsia="宋体" w:cs="Times New Roman"/>
                <w:color w:val="auto"/>
                <w:kern w:val="0"/>
                <w:sz w:val="21"/>
                <w:szCs w:val="21"/>
                <w:highlight w:val="none"/>
                <w:lang w:eastAsia="zh-TW"/>
              </w:rPr>
              <w:t>cm/s；或参照GB16889执行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984" w:type="dxa"/>
            <w:vMerge w:val="continue"/>
            <w:vAlign w:val="center"/>
          </w:tcPr>
          <w:p>
            <w:pPr>
              <w:shd w:val="clear"/>
              <w:jc w:val="center"/>
              <w:rPr>
                <w:rFonts w:hint="default" w:ascii="Times New Roman" w:hAnsi="Times New Roman" w:eastAsia="宋体" w:cs="Times New Roman"/>
                <w:color w:val="auto"/>
                <w:kern w:val="2"/>
                <w:sz w:val="21"/>
                <w:szCs w:val="21"/>
                <w:highlight w:val="none"/>
              </w:rPr>
            </w:pPr>
          </w:p>
        </w:tc>
        <w:tc>
          <w:tcPr>
            <w:tcW w:w="3307"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一般地面硬化</w:t>
            </w:r>
          </w:p>
        </w:tc>
        <w:tc>
          <w:tcPr>
            <w:tcW w:w="1984" w:type="dxa"/>
            <w:vAlign w:val="center"/>
          </w:tcPr>
          <w:p>
            <w:pPr>
              <w:shd w:val="clear"/>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原材料库、成品库</w:t>
            </w:r>
            <w:r>
              <w:rPr>
                <w:rFonts w:hint="default" w:ascii="Times New Roman" w:hAnsi="Times New Roman" w:eastAsia="宋体" w:cs="Times New Roman"/>
                <w:color w:val="auto"/>
                <w:kern w:val="0"/>
                <w:sz w:val="21"/>
                <w:szCs w:val="21"/>
                <w:highlight w:val="none"/>
                <w:lang w:eastAsia="zh-CN"/>
              </w:rPr>
              <w:t>、办公室</w:t>
            </w:r>
          </w:p>
        </w:tc>
        <w:tc>
          <w:tcPr>
            <w:tcW w:w="1984" w:type="dxa"/>
            <w:vAlign w:val="center"/>
          </w:tcPr>
          <w:p>
            <w:pPr>
              <w:shd w:val="clea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厂区现场检查</w:t>
            </w:r>
          </w:p>
        </w:tc>
        <w:tc>
          <w:tcPr>
            <w:tcW w:w="3308" w:type="dxa"/>
            <w:vAlign w:val="center"/>
          </w:tcPr>
          <w:p>
            <w:pPr>
              <w:shd w:val="clear"/>
              <w:jc w:val="center"/>
              <w:rPr>
                <w:rFonts w:hint="default" w:ascii="Times New Roman" w:hAnsi="Times New Roman" w:eastAsia="宋体" w:cs="Times New Roman"/>
                <w:color w:val="auto"/>
                <w:kern w:val="0"/>
                <w:sz w:val="21"/>
                <w:szCs w:val="21"/>
                <w:highlight w:val="none"/>
                <w:lang w:eastAsia="zh-TW"/>
              </w:rPr>
            </w:pPr>
            <w:r>
              <w:rPr>
                <w:rFonts w:hint="default" w:ascii="Times New Roman" w:hAnsi="Times New Roman" w:eastAsia="宋体" w:cs="Times New Roman"/>
                <w:color w:val="auto"/>
                <w:kern w:val="0"/>
                <w:sz w:val="21"/>
                <w:szCs w:val="21"/>
                <w:highlight w:val="none"/>
                <w:lang w:eastAsia="zh-TW"/>
              </w:rPr>
              <w:t>一般地面硬化</w:t>
            </w:r>
          </w:p>
        </w:tc>
      </w:tr>
    </w:tbl>
    <w:p>
      <w:pPr>
        <w:pStyle w:val="4"/>
        <w:keepNext w:val="0"/>
        <w:shd w:val="clear"/>
        <w:spacing w:before="120" w:after="120"/>
        <w:rPr>
          <w:rFonts w:hint="default" w:ascii="Times New Roman" w:hAnsi="Times New Roman" w:eastAsia="宋体" w:cs="Times New Roman"/>
          <w:color w:val="auto"/>
          <w:sz w:val="30"/>
          <w:szCs w:val="28"/>
          <w:highlight w:val="none"/>
        </w:rPr>
        <w:sectPr>
          <w:pgSz w:w="16838" w:h="11906" w:orient="landscape"/>
          <w:pgMar w:top="1797" w:right="1440" w:bottom="1797" w:left="1440" w:header="851" w:footer="992" w:gutter="0"/>
          <w:pgNumType w:fmt="decimal"/>
          <w:cols w:space="425" w:num="1"/>
          <w:docGrid w:type="lines" w:linePitch="312" w:charSpace="0"/>
        </w:sectPr>
      </w:pPr>
    </w:p>
    <w:p>
      <w:pPr>
        <w:pStyle w:val="4"/>
        <w:bidi w:val="0"/>
        <w:rPr>
          <w:rFonts w:hint="default" w:ascii="Times New Roman" w:hAnsi="Times New Roman" w:eastAsia="宋体" w:cs="Times New Roman"/>
          <w:color w:val="auto"/>
        </w:rPr>
      </w:pPr>
      <w:bookmarkStart w:id="398" w:name="_Toc464475514"/>
      <w:bookmarkStart w:id="399" w:name="_Toc327383265"/>
      <w:bookmarkStart w:id="400" w:name="_Toc22463"/>
      <w:r>
        <w:rPr>
          <w:rFonts w:hint="default" w:ascii="Times New Roman" w:hAnsi="Times New Roman" w:eastAsia="宋体" w:cs="Times New Roman"/>
          <w:color w:val="auto"/>
        </w:rPr>
        <w:t>9结论与建议</w:t>
      </w:r>
      <w:bookmarkEnd w:id="398"/>
      <w:bookmarkEnd w:id="399"/>
      <w:bookmarkEnd w:id="400"/>
    </w:p>
    <w:p>
      <w:pPr>
        <w:pStyle w:val="5"/>
        <w:bidi w:val="0"/>
        <w:rPr>
          <w:rFonts w:hint="default" w:ascii="Times New Roman" w:hAnsi="Times New Roman" w:eastAsia="宋体" w:cs="Times New Roman"/>
          <w:color w:val="auto"/>
        </w:rPr>
      </w:pPr>
      <w:bookmarkStart w:id="401" w:name="_Toc464475515"/>
      <w:bookmarkStart w:id="402" w:name="_Toc211659851"/>
      <w:bookmarkStart w:id="403" w:name="_Toc327383266"/>
      <w:bookmarkStart w:id="404" w:name="_Toc243119469"/>
      <w:bookmarkStart w:id="405" w:name="_Toc11738"/>
      <w:bookmarkStart w:id="406" w:name="_Toc85010053"/>
      <w:bookmarkStart w:id="407" w:name="_Toc88532342"/>
      <w:bookmarkStart w:id="408" w:name="_Toc88532490"/>
      <w:bookmarkStart w:id="409" w:name="_Toc81814886"/>
      <w:r>
        <w:rPr>
          <w:rFonts w:hint="default" w:ascii="Times New Roman" w:hAnsi="Times New Roman" w:eastAsia="宋体" w:cs="Times New Roman"/>
          <w:color w:val="auto"/>
        </w:rPr>
        <w:t>9.1结论</w:t>
      </w:r>
      <w:bookmarkEnd w:id="401"/>
      <w:bookmarkEnd w:id="402"/>
      <w:bookmarkEnd w:id="403"/>
      <w:bookmarkEnd w:id="404"/>
      <w:bookmarkEnd w:id="405"/>
    </w:p>
    <w:p>
      <w:pPr>
        <w:pStyle w:val="6"/>
        <w:bidi w:val="0"/>
        <w:rPr>
          <w:rFonts w:hint="default" w:ascii="Times New Roman" w:hAnsi="Times New Roman" w:eastAsia="宋体" w:cs="Times New Roman"/>
          <w:color w:val="auto"/>
        </w:rPr>
      </w:pPr>
      <w:bookmarkStart w:id="410" w:name="_Toc211659852"/>
      <w:bookmarkStart w:id="411" w:name="_Toc327383267"/>
      <w:bookmarkStart w:id="412" w:name="_Toc243119470"/>
      <w:bookmarkStart w:id="413" w:name="_Toc464475516"/>
      <w:r>
        <w:rPr>
          <w:rFonts w:hint="default" w:ascii="Times New Roman" w:hAnsi="Times New Roman" w:eastAsia="宋体" w:cs="Times New Roman"/>
          <w:color w:val="auto"/>
        </w:rPr>
        <w:t>9.1.1项目概况</w:t>
      </w:r>
      <w:bookmarkEnd w:id="410"/>
      <w:bookmarkEnd w:id="411"/>
      <w:bookmarkEnd w:id="412"/>
      <w:bookmarkEnd w:id="413"/>
    </w:p>
    <w:p>
      <w:pPr>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内蒙古华伟泽农业有限公司高新滴灌带（管）、PE管材管件、地膜、再生资源回收利用建设项目</w:t>
      </w:r>
      <w:r>
        <w:rPr>
          <w:rFonts w:hint="default" w:ascii="Times New Roman" w:hAnsi="Times New Roman" w:eastAsia="宋体" w:cs="Times New Roman"/>
          <w:color w:val="auto"/>
          <w:sz w:val="24"/>
          <w:szCs w:val="24"/>
          <w:highlight w:val="none"/>
        </w:rPr>
        <w:t>位于</w:t>
      </w:r>
      <w:r>
        <w:rPr>
          <w:rFonts w:hint="default" w:ascii="Times New Roman" w:hAnsi="Times New Roman" w:eastAsia="宋体" w:cs="Times New Roman"/>
          <w:color w:val="auto"/>
          <w:sz w:val="24"/>
          <w:szCs w:val="24"/>
          <w:highlight w:val="none"/>
          <w:lang w:eastAsia="zh-CN"/>
        </w:rPr>
        <w:t>乌拉特前旗额尔登布拉格苏木旧乡政府院内</w:t>
      </w:r>
      <w:r>
        <w:rPr>
          <w:rFonts w:hint="default" w:ascii="Times New Roman" w:hAnsi="Times New Roman" w:eastAsia="宋体" w:cs="Times New Roman"/>
          <w:color w:val="auto"/>
          <w:sz w:val="24"/>
          <w:szCs w:val="24"/>
          <w:highlight w:val="none"/>
        </w:rPr>
        <w:t>。</w:t>
      </w:r>
      <w:bookmarkEnd w:id="406"/>
      <w:bookmarkEnd w:id="407"/>
      <w:bookmarkEnd w:id="408"/>
      <w:bookmarkEnd w:id="409"/>
      <w:bookmarkStart w:id="414" w:name="_Toc193279713"/>
      <w:bookmarkStart w:id="415" w:name="_Toc152121850"/>
      <w:bookmarkStart w:id="416" w:name="_Toc177204557"/>
      <w:bookmarkStart w:id="417" w:name="_Toc327383268"/>
      <w:bookmarkStart w:id="418" w:name="_Toc464475517"/>
      <w:bookmarkStart w:id="419" w:name="_Toc229201587"/>
      <w:bookmarkStart w:id="420" w:name="_Toc243119471"/>
      <w:bookmarkStart w:id="421" w:name="_Toc195111782"/>
      <w:bookmarkStart w:id="422" w:name="_Toc152610707"/>
      <w:bookmarkStart w:id="423" w:name="_Toc152693046"/>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总占地面积7056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，其中全封闭造粒生产车间</w:t>
      </w:r>
      <w:r>
        <w:rPr>
          <w:rFonts w:hint="default" w:ascii="Times New Roman" w:hAnsi="Times New Roman" w:eastAsia="宋体" w:cs="Times New Roman"/>
          <w:color w:val="auto"/>
          <w:sz w:val="24"/>
          <w:szCs w:val="24"/>
          <w:highlight w:val="none"/>
          <w:lang w:val="en-US" w:eastAsia="zh-CN"/>
        </w:rPr>
        <w:t>600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，全封闭</w:t>
      </w:r>
      <w:r>
        <w:rPr>
          <w:rFonts w:hint="default" w:ascii="Times New Roman" w:hAnsi="Times New Roman" w:eastAsia="宋体" w:cs="Times New Roman"/>
          <w:color w:val="auto"/>
          <w:sz w:val="24"/>
          <w:szCs w:val="24"/>
          <w:highlight w:val="none"/>
          <w:lang w:eastAsia="zh-CN"/>
        </w:rPr>
        <w:t>塑料制品生产车间</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，全封闭</w:t>
      </w:r>
      <w:r>
        <w:rPr>
          <w:rFonts w:hint="default" w:ascii="Times New Roman" w:hAnsi="Times New Roman" w:eastAsia="宋体" w:cs="Times New Roman"/>
          <w:color w:val="auto"/>
          <w:sz w:val="24"/>
          <w:szCs w:val="24"/>
          <w:highlight w:val="none"/>
          <w:lang w:eastAsia="zh-CN"/>
        </w:rPr>
        <w:t>原材料库</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和全封闭成品库</w:t>
      </w:r>
      <w:r>
        <w:rPr>
          <w:rFonts w:hint="default"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办公室360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val="en-US" w:eastAsia="zh-CN"/>
        </w:rPr>
        <w:t>。</w:t>
      </w:r>
    </w:p>
    <w:p>
      <w:pPr>
        <w:shd w:val="clear"/>
        <w:tabs>
          <w:tab w:val="center" w:pos="4153"/>
          <w:tab w:val="right" w:pos="8306"/>
        </w:tabs>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主要建设2条再生塑料颗粒生产线，</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条滴灌带生产线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4条PE管材管件生产线和2条地膜生产线。</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年回收</w:t>
      </w:r>
      <w:r>
        <w:rPr>
          <w:rFonts w:hint="default" w:ascii="Times New Roman" w:hAnsi="Times New Roman" w:eastAsia="宋体" w:cs="Times New Roman"/>
          <w:color w:val="auto"/>
          <w:sz w:val="24"/>
          <w:szCs w:val="24"/>
          <w:highlight w:val="none"/>
          <w:lang w:eastAsia="zh-CN"/>
        </w:rPr>
        <w:t>处理</w:t>
      </w:r>
      <w:r>
        <w:rPr>
          <w:rFonts w:hint="default" w:ascii="Times New Roman" w:hAnsi="Times New Roman" w:eastAsia="宋体" w:cs="Times New Roman"/>
          <w:color w:val="auto"/>
          <w:sz w:val="24"/>
          <w:szCs w:val="24"/>
          <w:highlight w:val="none"/>
        </w:rPr>
        <w:t>废旧塑料</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 xml:space="preserve">000吨，年生产滴灌带5000t，年生产地膜2000t，年生产PE管材管件2000t。 </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9.1.2项目与产业政策的符合性</w:t>
      </w:r>
      <w:bookmarkEnd w:id="414"/>
      <w:bookmarkEnd w:id="415"/>
      <w:bookmarkEnd w:id="416"/>
      <w:bookmarkEnd w:id="417"/>
      <w:bookmarkEnd w:id="418"/>
      <w:bookmarkEnd w:id="419"/>
      <w:bookmarkEnd w:id="420"/>
      <w:bookmarkEnd w:id="421"/>
      <w:bookmarkEnd w:id="422"/>
      <w:bookmarkEnd w:id="423"/>
    </w:p>
    <w:p>
      <w:pPr>
        <w:shd w:val="clear"/>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本</w:t>
      </w:r>
      <w:r>
        <w:rPr>
          <w:rFonts w:hint="default" w:ascii="Times New Roman" w:hAnsi="Times New Roman" w:eastAsia="宋体" w:cs="Times New Roman"/>
          <w:bCs/>
          <w:color w:val="auto"/>
          <w:kern w:val="0"/>
          <w:sz w:val="24"/>
          <w:highlight w:val="none"/>
        </w:rPr>
        <w:t>项目</w:t>
      </w:r>
      <w:r>
        <w:rPr>
          <w:rFonts w:hint="default" w:ascii="Times New Roman" w:hAnsi="Times New Roman" w:eastAsia="宋体" w:cs="Times New Roman"/>
          <w:bCs/>
          <w:color w:val="auto"/>
          <w:kern w:val="0"/>
          <w:sz w:val="24"/>
          <w:highlight w:val="none"/>
          <w:lang w:val="en-US" w:eastAsia="zh-CN"/>
        </w:rPr>
        <w:t>利用废旧塑料生产可再生塑料颗粒，进一步生产</w:t>
      </w:r>
      <w:r>
        <w:rPr>
          <w:rFonts w:hint="default" w:ascii="Times New Roman" w:hAnsi="Times New Roman" w:eastAsia="宋体" w:cs="Times New Roman"/>
          <w:color w:val="auto"/>
          <w:sz w:val="24"/>
          <w:highlight w:val="none"/>
        </w:rPr>
        <w:t>滴灌带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地膜、PE管材管件</w:t>
      </w:r>
      <w:r>
        <w:rPr>
          <w:rFonts w:hint="default" w:ascii="Times New Roman" w:hAnsi="Times New Roman" w:eastAsia="宋体" w:cs="Times New Roman"/>
          <w:bCs/>
          <w:color w:val="auto"/>
          <w:kern w:val="0"/>
          <w:sz w:val="24"/>
          <w:highlight w:val="none"/>
          <w:lang w:val="en-US" w:eastAsia="zh-CN"/>
        </w:rPr>
        <w:t>。</w:t>
      </w:r>
    </w:p>
    <w:p>
      <w:pPr>
        <w:shd w:val="clear"/>
        <w:spacing w:line="360" w:lineRule="auto"/>
        <w:ind w:firstLine="480" w:firstLineChars="200"/>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Cs/>
          <w:color w:val="auto"/>
          <w:kern w:val="0"/>
          <w:sz w:val="24"/>
          <w:highlight w:val="none"/>
          <w:lang w:val="en-US" w:eastAsia="zh-CN"/>
        </w:rPr>
        <w:t>利用废旧塑料生产可再生塑料颗粒</w:t>
      </w:r>
      <w:r>
        <w:rPr>
          <w:rFonts w:hint="default" w:ascii="Times New Roman" w:hAnsi="Times New Roman" w:eastAsia="宋体" w:cs="Times New Roman"/>
          <w:bCs/>
          <w:color w:val="auto"/>
          <w:kern w:val="0"/>
          <w:sz w:val="24"/>
          <w:highlight w:val="none"/>
        </w:rPr>
        <w:t>属于废塑料资源化回收利用，符合中华人民共和国国家发展和改革委员会《产业结构调整指导目录（2019年本）中第一类鼓励类：“四十三、环境保护与资源节约综合利用</w:t>
      </w:r>
      <w:r>
        <w:rPr>
          <w:rFonts w:hint="default" w:ascii="Times New Roman" w:hAnsi="Times New Roman" w:eastAsia="宋体" w:cs="Times New Roman"/>
          <w:bCs/>
          <w:color w:val="auto"/>
          <w:kern w:val="0"/>
          <w:sz w:val="24"/>
          <w:highlight w:val="none"/>
          <w:lang w:val="en-US" w:eastAsia="zh-CN"/>
        </w:rPr>
        <w:t>--</w:t>
      </w:r>
      <w:r>
        <w:rPr>
          <w:rFonts w:hint="default" w:ascii="Times New Roman" w:hAnsi="Times New Roman" w:eastAsia="宋体" w:cs="Times New Roman"/>
          <w:bCs/>
          <w:color w:val="auto"/>
          <w:kern w:val="0"/>
          <w:sz w:val="24"/>
          <w:highlight w:val="none"/>
        </w:rPr>
        <w:t>27、废旧木材、废旧电器电子产品、废印刷电路板、废旧电池、废旧船舶、废旧农机、</w:t>
      </w:r>
      <w:r>
        <w:rPr>
          <w:rFonts w:hint="default" w:ascii="Times New Roman" w:hAnsi="Times New Roman" w:eastAsia="宋体" w:cs="Times New Roman"/>
          <w:b/>
          <w:bCs w:val="0"/>
          <w:color w:val="auto"/>
          <w:kern w:val="0"/>
          <w:sz w:val="24"/>
          <w:highlight w:val="none"/>
        </w:rPr>
        <w:t>废塑料、</w:t>
      </w:r>
      <w:r>
        <w:rPr>
          <w:rFonts w:hint="default" w:ascii="Times New Roman" w:hAnsi="Times New Roman" w:eastAsia="宋体" w:cs="Times New Roman"/>
          <w:bCs/>
          <w:color w:val="auto"/>
          <w:kern w:val="0"/>
          <w:sz w:val="24"/>
          <w:highlight w:val="none"/>
        </w:rPr>
        <w:t>废旧纺织品及纺织废料和边角料、废（碎）玻璃、废橡胶、废弃油脂等废旧物资等资源循环再利用技术、设备开发及应用”</w:t>
      </w:r>
      <w:r>
        <w:rPr>
          <w:rFonts w:hint="default" w:ascii="Times New Roman" w:hAnsi="Times New Roman" w:eastAsia="宋体" w:cs="Times New Roman"/>
          <w:bCs/>
          <w:color w:val="auto"/>
          <w:kern w:val="0"/>
          <w:sz w:val="24"/>
          <w:highlight w:val="none"/>
          <w:lang w:eastAsia="zh-CN"/>
        </w:rPr>
        <w:t>；生产</w:t>
      </w:r>
      <w:r>
        <w:rPr>
          <w:rFonts w:hint="default" w:ascii="Times New Roman" w:hAnsi="Times New Roman" w:eastAsia="宋体" w:cs="Times New Roman"/>
          <w:color w:val="auto"/>
          <w:sz w:val="24"/>
          <w:highlight w:val="none"/>
        </w:rPr>
        <w:t>滴灌带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地膜、PE管材管件</w:t>
      </w:r>
      <w:r>
        <w:rPr>
          <w:rFonts w:hint="default" w:ascii="Times New Roman" w:hAnsi="Times New Roman" w:eastAsia="宋体" w:cs="Times New Roman"/>
          <w:bCs/>
          <w:color w:val="auto"/>
          <w:kern w:val="0"/>
          <w:sz w:val="24"/>
          <w:highlight w:val="none"/>
          <w:lang w:eastAsia="zh-CN"/>
        </w:rPr>
        <w:t>属于塑料制品制造业，</w:t>
      </w:r>
      <w:r>
        <w:rPr>
          <w:rFonts w:hint="default" w:ascii="Times New Roman" w:hAnsi="Times New Roman" w:eastAsia="宋体" w:cs="Times New Roman"/>
          <w:b w:val="0"/>
          <w:bCs w:val="0"/>
          <w:color w:val="auto"/>
          <w:sz w:val="24"/>
          <w:szCs w:val="24"/>
          <w:vertAlign w:val="baseline"/>
          <w:lang w:eastAsia="zh-CN"/>
        </w:rPr>
        <w:t>不属于《产业结构调整指导目录（2019年本）》（国家发展和改革委员会令 第29号）中鼓励类、限制类、淘汰类，故本项目属于国家政策允许建设的项目。</w:t>
      </w:r>
    </w:p>
    <w:p>
      <w:pPr>
        <w:keepNext w:val="0"/>
        <w:keepLines w:val="0"/>
        <w:pageBreakBefore w:val="0"/>
        <w:widowControl w:val="0"/>
        <w:shd w:val="clear"/>
        <w:kinsoku/>
        <w:wordWrap/>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本项目已取得乌拉特前旗发展和改革委员会出具的《项目备案告知书》，项目代码：2020-150823-29-03-025414。</w:t>
      </w:r>
    </w:p>
    <w:p>
      <w:pPr>
        <w:shd w:val="clear"/>
        <w:spacing w:line="360" w:lineRule="auto"/>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 w:val="0"/>
          <w:bCs w:val="0"/>
          <w:color w:val="auto"/>
          <w:sz w:val="24"/>
          <w:szCs w:val="24"/>
          <w:vertAlign w:val="baseline"/>
          <w:lang w:eastAsia="zh-CN"/>
        </w:rPr>
        <w:t>综上，本项目的建设符合国家产业政策</w:t>
      </w:r>
      <w:r>
        <w:rPr>
          <w:rFonts w:hint="default" w:ascii="Times New Roman" w:hAnsi="Times New Roman" w:eastAsia="宋体" w:cs="Times New Roman"/>
          <w:bCs/>
          <w:color w:val="auto"/>
          <w:kern w:val="0"/>
          <w:sz w:val="24"/>
          <w:highlight w:val="none"/>
        </w:rPr>
        <w:t>。</w:t>
      </w:r>
    </w:p>
    <w:p>
      <w:pPr>
        <w:pStyle w:val="6"/>
        <w:bidi w:val="0"/>
        <w:rPr>
          <w:rFonts w:hint="default" w:ascii="Times New Roman" w:hAnsi="Times New Roman" w:eastAsia="宋体" w:cs="Times New Roman"/>
          <w:color w:val="auto"/>
        </w:rPr>
      </w:pPr>
      <w:bookmarkStart w:id="424" w:name="_Toc152121851"/>
      <w:bookmarkStart w:id="425" w:name="_Toc211659854"/>
      <w:bookmarkStart w:id="426" w:name="_Toc243119472"/>
      <w:bookmarkStart w:id="427" w:name="_Toc152693047"/>
      <w:bookmarkStart w:id="428" w:name="_Toc193279714"/>
      <w:bookmarkStart w:id="429" w:name="_Toc144834662"/>
      <w:bookmarkStart w:id="430" w:name="_Toc152610708"/>
      <w:bookmarkStart w:id="431" w:name="_Toc145169645"/>
      <w:bookmarkStart w:id="432" w:name="_Toc148972678"/>
      <w:bookmarkStart w:id="433" w:name="_Toc177204558"/>
      <w:bookmarkStart w:id="434" w:name="_Toc150828956"/>
      <w:bookmarkStart w:id="435" w:name="_Toc150829229"/>
      <w:bookmarkStart w:id="436" w:name="_Toc464475518"/>
      <w:bookmarkStart w:id="437" w:name="_Toc195111783"/>
      <w:bookmarkStart w:id="438" w:name="_Toc144835271"/>
      <w:bookmarkStart w:id="439" w:name="_Toc144833955"/>
      <w:bookmarkStart w:id="440" w:name="_Toc327383269"/>
      <w:r>
        <w:rPr>
          <w:rFonts w:hint="default" w:ascii="Times New Roman" w:hAnsi="Times New Roman" w:eastAsia="宋体" w:cs="Times New Roman"/>
          <w:color w:val="auto"/>
        </w:rPr>
        <w:t>9.1.3环境质量现状</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环境空气</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kern w:val="0"/>
          <w:sz w:val="24"/>
          <w:szCs w:val="24"/>
          <w:highlight w:val="none"/>
          <w:lang w:eastAsia="zh-CN"/>
        </w:rPr>
        <w:t>《巴彦淖尔市环境质量状况公报（</w:t>
      </w:r>
      <w:r>
        <w:rPr>
          <w:rFonts w:hint="default" w:ascii="Times New Roman" w:hAnsi="Times New Roman" w:eastAsia="宋体" w:cs="Times New Roman"/>
          <w:color w:val="auto"/>
          <w:kern w:val="0"/>
          <w:sz w:val="24"/>
          <w:szCs w:val="24"/>
          <w:highlight w:val="none"/>
          <w:lang w:val="en-US" w:eastAsia="zh-CN"/>
        </w:rPr>
        <w:t>2020年</w:t>
      </w:r>
      <w:r>
        <w:rPr>
          <w:rFonts w:hint="default" w:ascii="Times New Roman" w:hAnsi="Times New Roman" w:eastAsia="宋体" w:cs="Times New Roman"/>
          <w:color w:val="auto"/>
          <w:kern w:val="0"/>
          <w:sz w:val="24"/>
          <w:szCs w:val="24"/>
          <w:highlight w:val="none"/>
          <w:lang w:eastAsia="zh-CN"/>
        </w:rPr>
        <w:t>）》，本项目所在地巴彦淖尔市乌拉特前旗</w:t>
      </w:r>
      <w:r>
        <w:rPr>
          <w:rFonts w:hint="default" w:ascii="Times New Roman" w:hAnsi="Times New Roman" w:eastAsia="宋体" w:cs="Times New Roman"/>
          <w:color w:val="auto"/>
          <w:kern w:val="0"/>
          <w:sz w:val="24"/>
          <w:szCs w:val="24"/>
          <w:highlight w:val="none"/>
          <w:lang w:val="en-US" w:eastAsia="zh-CN"/>
        </w:rPr>
        <w:t>2020年大气环境中6项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default" w:ascii="Times New Roman" w:hAnsi="Times New Roman" w:eastAsia="宋体" w:cs="Times New Roman"/>
          <w:color w:val="auto"/>
          <w:kern w:val="0"/>
          <w:sz w:val="24"/>
          <w:szCs w:val="24"/>
          <w:highlight w:val="none"/>
          <w:lang w:eastAsia="zh-CN"/>
        </w:rPr>
        <w:t>。</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eastAsia="zh-CN"/>
        </w:rPr>
        <w:t>根据</w:t>
      </w:r>
      <w:r>
        <w:rPr>
          <w:rFonts w:hint="default" w:ascii="Times New Roman" w:hAnsi="Times New Roman" w:eastAsia="宋体" w:cs="Times New Roman"/>
          <w:color w:val="auto"/>
          <w:sz w:val="24"/>
          <w:szCs w:val="24"/>
          <w:highlight w:val="none"/>
        </w:rPr>
        <w:t>特征因子</w:t>
      </w:r>
      <w:r>
        <w:rPr>
          <w:rFonts w:hint="default" w:ascii="Times New Roman" w:hAnsi="Times New Roman" w:eastAsia="宋体" w:cs="Times New Roman"/>
          <w:color w:val="auto"/>
          <w:kern w:val="0"/>
          <w:sz w:val="24"/>
          <w:szCs w:val="24"/>
          <w:highlight w:val="none"/>
          <w:lang w:eastAsia="zh-CN"/>
        </w:rPr>
        <w:t>监测结果可知，</w:t>
      </w:r>
      <w:r>
        <w:rPr>
          <w:rFonts w:hint="default" w:ascii="Times New Roman" w:hAnsi="Times New Roman" w:eastAsia="宋体" w:cs="Times New Roman"/>
          <w:color w:val="auto"/>
          <w:kern w:val="0"/>
          <w:sz w:val="24"/>
          <w:szCs w:val="24"/>
          <w:highlight w:val="none"/>
          <w:lang w:val="en-US" w:eastAsia="zh-CN"/>
        </w:rPr>
        <w:t>TSP环境</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vertAlign w:val="baseline"/>
          <w:lang w:eastAsia="zh-CN"/>
        </w:rPr>
        <w:t>；</w:t>
      </w:r>
      <w:r>
        <w:rPr>
          <w:rFonts w:hint="default" w:ascii="Times New Roman" w:hAnsi="Times New Roman" w:eastAsia="宋体" w:cs="Times New Roman"/>
          <w:color w:val="auto"/>
          <w:kern w:val="0"/>
          <w:sz w:val="24"/>
          <w:szCs w:val="24"/>
          <w:highlight w:val="none"/>
        </w:rPr>
        <w:t>非甲烷总烃</w:t>
      </w:r>
      <w:r>
        <w:rPr>
          <w:rFonts w:hint="default" w:ascii="Times New Roman" w:hAnsi="Times New Roman" w:eastAsia="宋体" w:cs="Times New Roman"/>
          <w:color w:val="auto"/>
          <w:kern w:val="0"/>
          <w:sz w:val="24"/>
          <w:szCs w:val="24"/>
          <w:highlight w:val="none"/>
          <w:lang w:val="en-US" w:eastAsia="zh-CN"/>
        </w:rPr>
        <w:t>环境</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满足</w:t>
      </w:r>
      <w:r>
        <w:rPr>
          <w:rFonts w:hint="default" w:ascii="Times New Roman" w:hAnsi="Times New Roman" w:eastAsia="宋体" w:cs="Times New Roman"/>
          <w:color w:val="auto"/>
          <w:kern w:val="0"/>
          <w:sz w:val="24"/>
          <w:szCs w:val="24"/>
          <w:highlight w:val="none"/>
        </w:rPr>
        <w:t>河北省地方标准《环境空气质量</w:t>
      </w:r>
      <w:r>
        <w:rPr>
          <w:rFonts w:hint="default"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rPr>
        <w:t>非甲烷总烃限值》（</w:t>
      </w:r>
      <w:r>
        <w:rPr>
          <w:rFonts w:hint="default" w:ascii="Times New Roman" w:hAnsi="Times New Roman" w:eastAsia="宋体" w:cs="Times New Roman"/>
          <w:color w:val="auto"/>
          <w:kern w:val="0"/>
          <w:sz w:val="24"/>
          <w:szCs w:val="24"/>
          <w:highlight w:val="none"/>
          <w:lang w:eastAsia="zh-CN"/>
        </w:rPr>
        <w:t>DB13/1577</w:t>
      </w:r>
      <w:r>
        <w:rPr>
          <w:rFonts w:hint="default" w:ascii="Times New Roman" w:hAnsi="Times New Roman" w:eastAsia="宋体" w:cs="Times New Roman"/>
          <w:color w:val="auto"/>
          <w:kern w:val="0"/>
          <w:sz w:val="24"/>
          <w:szCs w:val="24"/>
          <w:highlight w:val="none"/>
        </w:rPr>
        <w:t>-2012）标准要求</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）地下</w:t>
      </w:r>
      <w:r>
        <w:rPr>
          <w:rFonts w:hint="default" w:ascii="Times New Roman" w:hAnsi="Times New Roman" w:eastAsia="宋体" w:cs="Times New Roman"/>
          <w:color w:val="auto"/>
          <w:sz w:val="24"/>
          <w:szCs w:val="24"/>
          <w:highlight w:val="none"/>
        </w:rPr>
        <w:t>水环境</w:t>
      </w:r>
    </w:p>
    <w:p>
      <w:pPr>
        <w:keepNext w:val="0"/>
        <w:keepLines w:val="0"/>
        <w:pageBreakBefore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从</w:t>
      </w:r>
      <w:r>
        <w:rPr>
          <w:rFonts w:hint="default" w:ascii="Times New Roman" w:hAnsi="Times New Roman" w:eastAsia="宋体" w:cs="Times New Roman"/>
          <w:color w:val="auto"/>
          <w:sz w:val="24"/>
          <w:szCs w:val="24"/>
          <w:highlight w:val="none"/>
        </w:rPr>
        <w:t>地下水监测结果可以看出，</w:t>
      </w:r>
      <w:r>
        <w:rPr>
          <w:rFonts w:hint="default" w:ascii="Times New Roman" w:hAnsi="Times New Roman" w:eastAsia="宋体" w:cs="Times New Roman"/>
          <w:color w:val="auto"/>
          <w:sz w:val="24"/>
          <w:szCs w:val="24"/>
          <w:highlight w:val="none"/>
          <w:lang w:eastAsia="zh-CN"/>
        </w:rPr>
        <w:t>该区域地下水环境各监测因子中</w:t>
      </w:r>
      <w:r>
        <w:rPr>
          <w:rFonts w:hint="default" w:ascii="Times New Roman" w:hAnsi="Times New Roman" w:eastAsia="宋体" w:cs="Times New Roman"/>
          <w:color w:val="auto"/>
          <w:sz w:val="24"/>
          <w:szCs w:val="24"/>
          <w:highlight w:val="none"/>
        </w:rPr>
        <w:t>溶解性总固体、高锰酸盐指数（耗氧量）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总硬度、</w:t>
      </w:r>
      <w:r>
        <w:rPr>
          <w:rFonts w:hint="default" w:ascii="Times New Roman" w:hAnsi="Times New Roman" w:eastAsia="宋体" w:cs="Times New Roman"/>
          <w:color w:val="auto"/>
          <w:sz w:val="24"/>
          <w:szCs w:val="24"/>
          <w:highlight w:val="none"/>
          <w:lang w:eastAsia="zh-CN"/>
        </w:rPr>
        <w:t>氟化物、硫酸盐、硝酸盐等指标</w:t>
      </w:r>
      <w:r>
        <w:rPr>
          <w:rFonts w:hint="default" w:ascii="Times New Roman" w:hAnsi="Times New Roman" w:eastAsia="宋体" w:cs="Times New Roman"/>
          <w:color w:val="auto"/>
          <w:sz w:val="24"/>
          <w:szCs w:val="24"/>
          <w:highlight w:val="none"/>
        </w:rPr>
        <w:t>超</w:t>
      </w:r>
      <w:r>
        <w:rPr>
          <w:rFonts w:hint="default" w:ascii="Times New Roman" w:hAnsi="Times New Roman" w:eastAsia="宋体" w:cs="Times New Roman"/>
          <w:color w:val="auto"/>
          <w:sz w:val="24"/>
          <w:szCs w:val="24"/>
          <w:highlight w:val="none"/>
          <w:lang w:eastAsia="zh-CN"/>
        </w:rPr>
        <w:t>过</w:t>
      </w:r>
      <w:r>
        <w:rPr>
          <w:rFonts w:hint="default" w:ascii="Times New Roman" w:hAnsi="Times New Roman" w:eastAsia="宋体" w:cs="Times New Roman"/>
          <w:color w:val="auto"/>
          <w:sz w:val="24"/>
          <w:szCs w:val="24"/>
          <w:highlight w:val="none"/>
        </w:rPr>
        <w:t>《地下水质量标准》（GB/T14848-2017</w:t>
      </w:r>
      <w:r>
        <w:rPr>
          <w:rFonts w:hint="default" w:ascii="Times New Roman" w:hAnsi="Times New Roman" w:eastAsia="宋体" w:cs="Times New Roman"/>
          <w:color w:val="auto"/>
          <w:sz w:val="24"/>
          <w:szCs w:val="24"/>
          <w:highlight w:val="none"/>
          <w:lang w:eastAsia="zh-CN"/>
        </w:rPr>
        <w:t>）Ⅲ</w:t>
      </w:r>
      <w:r>
        <w:rPr>
          <w:rFonts w:hint="default" w:ascii="Times New Roman" w:hAnsi="Times New Roman" w:eastAsia="宋体" w:cs="Times New Roman"/>
          <w:color w:val="auto"/>
          <w:sz w:val="24"/>
          <w:szCs w:val="24"/>
          <w:highlight w:val="none"/>
        </w:rPr>
        <w:t>类标准，其它所检因子均符合《地下水质量标准》（GB/T14848-2017</w:t>
      </w:r>
      <w:r>
        <w:rPr>
          <w:rFonts w:hint="default" w:ascii="Times New Roman" w:hAnsi="Times New Roman" w:eastAsia="宋体" w:cs="Times New Roman"/>
          <w:color w:val="auto"/>
          <w:sz w:val="24"/>
          <w:szCs w:val="24"/>
          <w:highlight w:val="none"/>
          <w:lang w:eastAsia="zh-CN"/>
        </w:rPr>
        <w:t>）Ⅲ</w:t>
      </w:r>
      <w:r>
        <w:rPr>
          <w:rFonts w:hint="default" w:ascii="Times New Roman" w:hAnsi="Times New Roman" w:eastAsia="宋体" w:cs="Times New Roman"/>
          <w:color w:val="auto"/>
          <w:sz w:val="24"/>
          <w:szCs w:val="24"/>
          <w:highlight w:val="none"/>
        </w:rPr>
        <w:t>类标准。</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超标原因：溶解性总固体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总硬度、</w:t>
      </w:r>
      <w:r>
        <w:rPr>
          <w:rFonts w:hint="default" w:ascii="Times New Roman" w:hAnsi="Times New Roman" w:eastAsia="宋体" w:cs="Times New Roman"/>
          <w:color w:val="auto"/>
          <w:sz w:val="24"/>
          <w:szCs w:val="24"/>
          <w:highlight w:val="none"/>
          <w:lang w:eastAsia="zh-CN"/>
        </w:rPr>
        <w:t>氟化物、硫酸盐、硝酸盐</w:t>
      </w:r>
      <w:r>
        <w:rPr>
          <w:rFonts w:hint="default" w:ascii="Times New Roman" w:hAnsi="Times New Roman" w:eastAsia="宋体" w:cs="Times New Roman"/>
          <w:color w:val="auto"/>
          <w:sz w:val="24"/>
          <w:szCs w:val="24"/>
          <w:highlight w:val="none"/>
        </w:rPr>
        <w:t>出现超标，是评价区含水层形成环境与现状地下水特征所决定的。高锰酸盐指数（耗氧量）超标，是由于评价区内浅层潜水含水层与浅层承压水含水层以湖积相为主，表明形成时为还原环境；地下水水位埋藏较浅，蒸发强烈、径流滞缓。</w:t>
      </w:r>
    </w:p>
    <w:p>
      <w:pPr>
        <w:keepNext w:val="0"/>
        <w:keepLines w:val="0"/>
        <w:pageBreakBefore w:val="0"/>
        <w:widowControl w:val="0"/>
        <w:shd w:val="clear"/>
        <w:tabs>
          <w:tab w:val="left" w:pos="42"/>
          <w:tab w:val="left" w:pos="4584"/>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环境噪声</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bookmarkStart w:id="441" w:name="_Toc229201590"/>
      <w:bookmarkStart w:id="442" w:name="_Toc243119473"/>
      <w:bookmarkStart w:id="443" w:name="_Toc195111785"/>
      <w:bookmarkStart w:id="444" w:name="_Toc193279716"/>
      <w:bookmarkStart w:id="445" w:name="_Toc327383270"/>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声环境</w:t>
      </w:r>
      <w:r>
        <w:rPr>
          <w:rFonts w:hint="default" w:ascii="Times New Roman" w:hAnsi="Times New Roman" w:eastAsia="宋体" w:cs="Times New Roman"/>
          <w:color w:val="auto"/>
          <w:sz w:val="24"/>
          <w:szCs w:val="24"/>
          <w:highlight w:val="none"/>
        </w:rPr>
        <w:t>监测结果</w:t>
      </w:r>
      <w:r>
        <w:rPr>
          <w:rFonts w:hint="default" w:ascii="Times New Roman" w:hAnsi="Times New Roman" w:eastAsia="宋体" w:cs="Times New Roman"/>
          <w:color w:val="auto"/>
          <w:kern w:val="0"/>
          <w:sz w:val="24"/>
          <w:szCs w:val="24"/>
          <w:highlight w:val="none"/>
          <w:lang w:eastAsia="zh-CN"/>
        </w:rPr>
        <w:t>可知</w:t>
      </w:r>
      <w:r>
        <w:rPr>
          <w:rFonts w:hint="default" w:ascii="Times New Roman" w:hAnsi="Times New Roman" w:eastAsia="宋体" w:cs="Times New Roman"/>
          <w:color w:val="auto"/>
          <w:sz w:val="24"/>
          <w:szCs w:val="24"/>
          <w:highlight w:val="none"/>
          <w:lang w:eastAsia="zh-CN"/>
        </w:rPr>
        <w:t>，厂界四周及各敏感点处的声环境</w:t>
      </w:r>
      <w:r>
        <w:rPr>
          <w:rFonts w:hint="default" w:ascii="Times New Roman" w:hAnsi="Times New Roman" w:eastAsia="宋体" w:cs="Times New Roman"/>
          <w:color w:val="auto"/>
          <w:sz w:val="24"/>
          <w:szCs w:val="24"/>
          <w:highlight w:val="none"/>
        </w:rPr>
        <w:t>监测值</w:t>
      </w:r>
      <w:r>
        <w:rPr>
          <w:rFonts w:hint="default" w:ascii="Times New Roman" w:hAnsi="Times New Roman" w:eastAsia="宋体" w:cs="Times New Roman"/>
          <w:color w:val="auto"/>
          <w:sz w:val="24"/>
          <w:szCs w:val="24"/>
          <w:highlight w:val="none"/>
          <w:lang w:eastAsia="zh-CN"/>
        </w:rPr>
        <w:t>均</w:t>
      </w:r>
      <w:r>
        <w:rPr>
          <w:rFonts w:hint="default" w:ascii="Times New Roman" w:hAnsi="Times New Roman" w:eastAsia="宋体" w:cs="Times New Roman"/>
          <w:color w:val="auto"/>
          <w:sz w:val="24"/>
          <w:szCs w:val="24"/>
          <w:highlight w:val="none"/>
        </w:rPr>
        <w:t>满足《声环境质量标准》（GB3096-2008）</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说明</w:t>
      </w:r>
      <w:r>
        <w:rPr>
          <w:rFonts w:hint="default" w:ascii="Times New Roman" w:hAnsi="Times New Roman" w:eastAsia="宋体" w:cs="Times New Roman"/>
          <w:color w:val="auto"/>
          <w:sz w:val="24"/>
          <w:szCs w:val="24"/>
          <w:highlight w:val="none"/>
        </w:rPr>
        <w:t>拟建项目所在区域声环境良好</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土壤环境</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eastAsia="zh-CN"/>
        </w:rPr>
        <w:t>根据</w:t>
      </w:r>
      <w:r>
        <w:rPr>
          <w:rFonts w:hint="default" w:ascii="Times New Roman" w:hAnsi="Times New Roman" w:eastAsia="宋体" w:cs="Times New Roman"/>
          <w:color w:val="auto"/>
          <w:sz w:val="24"/>
          <w:szCs w:val="24"/>
          <w:highlight w:val="none"/>
          <w:lang w:eastAsia="zh-CN"/>
        </w:rPr>
        <w:t>土壤环境</w:t>
      </w:r>
      <w:r>
        <w:rPr>
          <w:rFonts w:hint="default" w:ascii="Times New Roman" w:hAnsi="Times New Roman" w:eastAsia="宋体" w:cs="Times New Roman"/>
          <w:color w:val="auto"/>
          <w:kern w:val="0"/>
          <w:sz w:val="24"/>
          <w:szCs w:val="24"/>
          <w:highlight w:val="none"/>
          <w:lang w:eastAsia="zh-CN"/>
        </w:rPr>
        <w:t>监测结果可知，</w:t>
      </w:r>
      <w:r>
        <w:rPr>
          <w:rFonts w:hint="default" w:ascii="Times New Roman" w:hAnsi="Times New Roman" w:eastAsia="宋体" w:cs="Times New Roman"/>
          <w:color w:val="auto"/>
          <w:sz w:val="24"/>
          <w:szCs w:val="24"/>
          <w:highlight w:val="none"/>
        </w:rPr>
        <w:t>各</w:t>
      </w: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因子均满足《土壤环境质量</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建设用地土壤污染风险管控标准》（GB36600-2018）中第二类用地的筛选值。</w:t>
      </w:r>
    </w:p>
    <w:p>
      <w:pPr>
        <w:pStyle w:val="6"/>
        <w:bidi w:val="0"/>
        <w:rPr>
          <w:rFonts w:hint="default" w:ascii="Times New Roman" w:hAnsi="Times New Roman" w:eastAsia="宋体" w:cs="Times New Roman"/>
          <w:color w:val="auto"/>
        </w:rPr>
      </w:pPr>
      <w:bookmarkStart w:id="446" w:name="_Toc464475519"/>
      <w:r>
        <w:rPr>
          <w:rFonts w:hint="default" w:ascii="Times New Roman" w:hAnsi="Times New Roman" w:eastAsia="宋体" w:cs="Times New Roman"/>
          <w:color w:val="auto"/>
        </w:rPr>
        <w:t>9.1.4主要</w:t>
      </w:r>
      <w:bookmarkEnd w:id="441"/>
      <w:bookmarkEnd w:id="442"/>
      <w:bookmarkEnd w:id="443"/>
      <w:bookmarkEnd w:id="444"/>
      <w:bookmarkEnd w:id="445"/>
      <w:bookmarkEnd w:id="446"/>
      <w:r>
        <w:rPr>
          <w:rFonts w:hint="default" w:ascii="Times New Roman" w:hAnsi="Times New Roman" w:eastAsia="宋体" w:cs="Times New Roman"/>
          <w:color w:val="auto"/>
        </w:rPr>
        <w:t>环境影响</w:t>
      </w:r>
    </w:p>
    <w:p>
      <w:pPr>
        <w:shd w:val="clear"/>
        <w:tabs>
          <w:tab w:val="center" w:pos="4153"/>
          <w:tab w:val="right" w:pos="8306"/>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环境空气影响分析</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1）有组织排放源</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根据估算模式分析，造粒生产车间排气筒P1有组织排放的非甲烷总烃下风向最大落地浓度为</w:t>
      </w:r>
      <w:r>
        <w:rPr>
          <w:rFonts w:hint="default" w:ascii="Times New Roman" w:hAnsi="Times New Roman" w:eastAsia="宋体" w:cs="Times New Roman"/>
          <w:color w:val="auto"/>
          <w:sz w:val="24"/>
          <w:szCs w:val="24"/>
          <w:highlight w:val="none"/>
          <w:lang w:val="en-US" w:eastAsia="zh-CN"/>
        </w:rPr>
        <w:t>23.7627</w:t>
      </w:r>
      <w:r>
        <w:rPr>
          <w:rFonts w:hint="default" w:ascii="Times New Roman" w:hAnsi="Times New Roman" w:eastAsia="宋体" w:cs="Times New Roman"/>
          <w:color w:val="auto"/>
          <w:sz w:val="24"/>
          <w:szCs w:val="24"/>
          <w:highlight w:val="none"/>
          <w:lang w:eastAsia="zh-CN"/>
        </w:rPr>
        <w:t>μg/m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，占标率为</w:t>
      </w:r>
      <w:r>
        <w:rPr>
          <w:rFonts w:hint="default" w:ascii="Times New Roman" w:hAnsi="Times New Roman" w:eastAsia="宋体" w:cs="Times New Roman"/>
          <w:color w:val="auto"/>
          <w:sz w:val="24"/>
          <w:szCs w:val="24"/>
          <w:highlight w:val="none"/>
          <w:lang w:val="en-US" w:eastAsia="zh-CN"/>
        </w:rPr>
        <w:t>1.19</w:t>
      </w:r>
      <w:r>
        <w:rPr>
          <w:rFonts w:hint="default" w:ascii="Times New Roman" w:hAnsi="Times New Roman" w:eastAsia="宋体" w:cs="Times New Roman"/>
          <w:color w:val="auto"/>
          <w:sz w:val="24"/>
          <w:szCs w:val="24"/>
          <w:highlight w:val="none"/>
          <w:lang w:eastAsia="zh-CN"/>
        </w:rPr>
        <w:t>%，下风向最大浓度出现的距离为</w:t>
      </w:r>
      <w:r>
        <w:rPr>
          <w:rFonts w:hint="default" w:ascii="Times New Roman" w:hAnsi="Times New Roman" w:eastAsia="宋体" w:cs="Times New Roman"/>
          <w:color w:val="auto"/>
          <w:sz w:val="24"/>
          <w:szCs w:val="24"/>
          <w:highlight w:val="none"/>
          <w:lang w:val="en-US" w:eastAsia="zh-CN"/>
        </w:rPr>
        <w:t>1810</w:t>
      </w:r>
      <w:r>
        <w:rPr>
          <w:rFonts w:hint="default" w:ascii="Times New Roman" w:hAnsi="Times New Roman" w:eastAsia="宋体" w:cs="Times New Roman"/>
          <w:color w:val="auto"/>
          <w:sz w:val="24"/>
          <w:szCs w:val="24"/>
          <w:highlight w:val="none"/>
          <w:lang w:eastAsia="zh-CN"/>
        </w:rPr>
        <w:t>m；有组织排放的颗粒物下风向最大落地浓度为</w:t>
      </w:r>
      <w:r>
        <w:rPr>
          <w:rFonts w:hint="default" w:ascii="Times New Roman" w:hAnsi="Times New Roman" w:eastAsia="宋体" w:cs="Times New Roman"/>
          <w:color w:val="auto"/>
          <w:sz w:val="24"/>
          <w:szCs w:val="24"/>
          <w:highlight w:val="none"/>
          <w:lang w:val="en-US" w:eastAsia="zh-CN"/>
        </w:rPr>
        <w:t>33.098</w:t>
      </w:r>
      <w:r>
        <w:rPr>
          <w:rFonts w:hint="default" w:ascii="Times New Roman" w:hAnsi="Times New Roman" w:eastAsia="宋体" w:cs="Times New Roman"/>
          <w:color w:val="auto"/>
          <w:sz w:val="24"/>
          <w:szCs w:val="24"/>
          <w:highlight w:val="none"/>
          <w:lang w:eastAsia="zh-CN"/>
        </w:rPr>
        <w:t>μg/m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，占标率为</w:t>
      </w:r>
      <w:r>
        <w:rPr>
          <w:rFonts w:hint="default" w:ascii="Times New Roman" w:hAnsi="Times New Roman" w:eastAsia="宋体" w:cs="Times New Roman"/>
          <w:color w:val="auto"/>
          <w:sz w:val="24"/>
          <w:szCs w:val="24"/>
          <w:highlight w:val="none"/>
          <w:lang w:val="en-US" w:eastAsia="zh-CN"/>
        </w:rPr>
        <w:t>7.36</w:t>
      </w:r>
      <w:r>
        <w:rPr>
          <w:rFonts w:hint="default" w:ascii="Times New Roman" w:hAnsi="Times New Roman" w:eastAsia="宋体" w:cs="Times New Roman"/>
          <w:color w:val="auto"/>
          <w:sz w:val="24"/>
          <w:szCs w:val="24"/>
          <w:highlight w:val="none"/>
          <w:lang w:eastAsia="zh-CN"/>
        </w:rPr>
        <w:t>%，下风向最大浓度出现的距离为</w:t>
      </w:r>
      <w:r>
        <w:rPr>
          <w:rFonts w:hint="default" w:ascii="Times New Roman" w:hAnsi="Times New Roman" w:eastAsia="宋体" w:cs="Times New Roman"/>
          <w:color w:val="auto"/>
          <w:sz w:val="24"/>
          <w:szCs w:val="24"/>
          <w:highlight w:val="none"/>
          <w:lang w:val="en-US" w:eastAsia="zh-CN"/>
        </w:rPr>
        <w:t>1810</w:t>
      </w:r>
      <w:r>
        <w:rPr>
          <w:rFonts w:hint="default" w:ascii="Times New Roman" w:hAnsi="Times New Roman" w:eastAsia="宋体" w:cs="Times New Roman"/>
          <w:color w:val="auto"/>
          <w:sz w:val="24"/>
          <w:szCs w:val="24"/>
          <w:highlight w:val="none"/>
          <w:lang w:eastAsia="zh-CN"/>
        </w:rPr>
        <w:t>m；</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根据估算模式分析，塑料制品生产车间排气筒P2有组织排放的非甲烷总烃下风向最大落地浓度为</w:t>
      </w:r>
      <w:r>
        <w:rPr>
          <w:rFonts w:hint="default" w:ascii="Times New Roman" w:hAnsi="Times New Roman" w:eastAsia="宋体" w:cs="Times New Roman"/>
          <w:color w:val="auto"/>
          <w:sz w:val="24"/>
          <w:szCs w:val="24"/>
          <w:highlight w:val="none"/>
          <w:lang w:val="en-US" w:eastAsia="zh-CN"/>
        </w:rPr>
        <w:t>98.8672</w:t>
      </w:r>
      <w:r>
        <w:rPr>
          <w:rFonts w:hint="default" w:ascii="Times New Roman" w:hAnsi="Times New Roman" w:eastAsia="宋体" w:cs="Times New Roman"/>
          <w:color w:val="auto"/>
          <w:sz w:val="24"/>
          <w:szCs w:val="24"/>
          <w:highlight w:val="none"/>
          <w:lang w:eastAsia="zh-CN"/>
        </w:rPr>
        <w:t>μg/m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，占标率为</w:t>
      </w:r>
      <w:r>
        <w:rPr>
          <w:rFonts w:hint="default" w:ascii="Times New Roman" w:hAnsi="Times New Roman" w:eastAsia="宋体" w:cs="Times New Roman"/>
          <w:color w:val="auto"/>
          <w:sz w:val="24"/>
          <w:szCs w:val="24"/>
          <w:highlight w:val="none"/>
          <w:lang w:val="en-US" w:eastAsia="zh-CN"/>
        </w:rPr>
        <w:t>4.94</w:t>
      </w:r>
      <w:r>
        <w:rPr>
          <w:rFonts w:hint="default" w:ascii="Times New Roman" w:hAnsi="Times New Roman" w:eastAsia="宋体" w:cs="Times New Roman"/>
          <w:color w:val="auto"/>
          <w:sz w:val="24"/>
          <w:szCs w:val="24"/>
          <w:highlight w:val="none"/>
          <w:lang w:eastAsia="zh-CN"/>
        </w:rPr>
        <w:t>%，下风向最大浓度出现的距离为</w:t>
      </w:r>
      <w:r>
        <w:rPr>
          <w:rFonts w:hint="default" w:ascii="Times New Roman" w:hAnsi="Times New Roman" w:eastAsia="宋体" w:cs="Times New Roman"/>
          <w:color w:val="auto"/>
          <w:sz w:val="24"/>
          <w:szCs w:val="24"/>
          <w:highlight w:val="none"/>
          <w:lang w:val="en-US" w:eastAsia="zh-CN"/>
        </w:rPr>
        <w:t>1810</w:t>
      </w:r>
      <w:r>
        <w:rPr>
          <w:rFonts w:hint="default" w:ascii="Times New Roman" w:hAnsi="Times New Roman" w:eastAsia="宋体" w:cs="Times New Roman"/>
          <w:color w:val="auto"/>
          <w:sz w:val="24"/>
          <w:szCs w:val="24"/>
          <w:highlight w:val="none"/>
          <w:lang w:eastAsia="zh-CN"/>
        </w:rPr>
        <w:t>m；有组织排放的颗粒物下风向最大落地浓度为</w:t>
      </w:r>
      <w:r>
        <w:rPr>
          <w:rFonts w:hint="default" w:ascii="Times New Roman" w:hAnsi="Times New Roman" w:eastAsia="宋体" w:cs="Times New Roman"/>
          <w:color w:val="auto"/>
          <w:sz w:val="24"/>
          <w:szCs w:val="24"/>
          <w:highlight w:val="none"/>
          <w:lang w:val="en-US" w:eastAsia="zh-CN"/>
        </w:rPr>
        <w:t>13.154</w:t>
      </w:r>
      <w:r>
        <w:rPr>
          <w:rFonts w:hint="default" w:ascii="Times New Roman" w:hAnsi="Times New Roman" w:eastAsia="宋体" w:cs="Times New Roman"/>
          <w:color w:val="auto"/>
          <w:sz w:val="24"/>
          <w:szCs w:val="24"/>
          <w:highlight w:val="none"/>
          <w:lang w:eastAsia="zh-CN"/>
        </w:rPr>
        <w:t>μg/m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，占标率为</w:t>
      </w:r>
      <w:r>
        <w:rPr>
          <w:rFonts w:hint="default" w:ascii="Times New Roman" w:hAnsi="Times New Roman" w:eastAsia="宋体" w:cs="Times New Roman"/>
          <w:color w:val="auto"/>
          <w:sz w:val="24"/>
          <w:szCs w:val="24"/>
          <w:highlight w:val="none"/>
          <w:lang w:val="en-US" w:eastAsia="zh-CN"/>
        </w:rPr>
        <w:t>2.92</w:t>
      </w:r>
      <w:r>
        <w:rPr>
          <w:rFonts w:hint="default" w:ascii="Times New Roman" w:hAnsi="Times New Roman" w:eastAsia="宋体" w:cs="Times New Roman"/>
          <w:color w:val="auto"/>
          <w:sz w:val="24"/>
          <w:szCs w:val="24"/>
          <w:highlight w:val="none"/>
          <w:lang w:eastAsia="zh-CN"/>
        </w:rPr>
        <w:t>%，下风向最大浓度出现的距离为</w:t>
      </w:r>
      <w:r>
        <w:rPr>
          <w:rFonts w:hint="default" w:ascii="Times New Roman" w:hAnsi="Times New Roman" w:eastAsia="宋体" w:cs="Times New Roman"/>
          <w:color w:val="auto"/>
          <w:sz w:val="24"/>
          <w:szCs w:val="24"/>
          <w:highlight w:val="none"/>
          <w:lang w:val="en-US" w:eastAsia="zh-CN"/>
        </w:rPr>
        <w:t>1810</w:t>
      </w:r>
      <w:r>
        <w:rPr>
          <w:rFonts w:hint="default" w:ascii="Times New Roman" w:hAnsi="Times New Roman" w:eastAsia="宋体" w:cs="Times New Roman"/>
          <w:color w:val="auto"/>
          <w:sz w:val="24"/>
          <w:szCs w:val="24"/>
          <w:highlight w:val="none"/>
          <w:lang w:eastAsia="zh-CN"/>
        </w:rPr>
        <w:t>m；</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2）无组织排放源</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根据估算模式分析，</w:t>
      </w:r>
      <w:r>
        <w:rPr>
          <w:rFonts w:hint="default" w:ascii="Times New Roman" w:hAnsi="Times New Roman" w:eastAsia="宋体" w:cs="Times New Roman"/>
          <w:color w:val="auto"/>
          <w:sz w:val="24"/>
          <w:szCs w:val="24"/>
          <w:highlight w:val="none"/>
          <w:lang w:eastAsia="zh-CN"/>
        </w:rPr>
        <w:t>造粒生产车间无组织排放的</w:t>
      </w:r>
      <w:r>
        <w:rPr>
          <w:rFonts w:hint="default" w:ascii="Times New Roman" w:hAnsi="Times New Roman" w:eastAsia="宋体" w:cs="Times New Roman"/>
          <w:color w:val="auto"/>
          <w:sz w:val="24"/>
          <w:szCs w:val="24"/>
          <w:highlight w:val="none"/>
        </w:rPr>
        <w:t>非甲烷总烃下风向最大落地浓度为56.6012</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，占标率为2.83%，下风向最大浓度出现的距离为</w:t>
      </w:r>
      <w:r>
        <w:rPr>
          <w:rFonts w:hint="default" w:ascii="Times New Roman" w:hAnsi="Times New Roman" w:eastAsia="宋体" w:cs="Times New Roman"/>
          <w:color w:val="auto"/>
          <w:sz w:val="24"/>
          <w:szCs w:val="24"/>
          <w:highlight w:val="none"/>
          <w:lang w:val="en-US" w:eastAsia="zh-CN"/>
        </w:rPr>
        <w:t>74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；无组织排放的颗粒物</w:t>
      </w:r>
      <w:r>
        <w:rPr>
          <w:rFonts w:hint="default" w:ascii="Times New Roman" w:hAnsi="Times New Roman" w:eastAsia="宋体" w:cs="Times New Roman"/>
          <w:color w:val="auto"/>
          <w:sz w:val="24"/>
          <w:szCs w:val="24"/>
          <w:highlight w:val="none"/>
        </w:rPr>
        <w:t>下风向最大落地浓度为71.208</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，占标率为7.9</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%，下风向最大浓度出现的距离为</w:t>
      </w:r>
      <w:r>
        <w:rPr>
          <w:rFonts w:hint="default" w:ascii="Times New Roman" w:hAnsi="Times New Roman" w:eastAsia="宋体" w:cs="Times New Roman"/>
          <w:color w:val="auto"/>
          <w:sz w:val="24"/>
          <w:szCs w:val="24"/>
          <w:highlight w:val="none"/>
          <w:lang w:val="en-US" w:eastAsia="zh-CN"/>
        </w:rPr>
        <w:t>74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根据估算模式分析，</w:t>
      </w:r>
      <w:r>
        <w:rPr>
          <w:rFonts w:hint="default" w:ascii="Times New Roman" w:hAnsi="Times New Roman" w:eastAsia="宋体" w:cs="Times New Roman"/>
          <w:color w:val="auto"/>
          <w:sz w:val="24"/>
          <w:szCs w:val="24"/>
          <w:highlight w:val="none"/>
          <w:lang w:eastAsia="zh-CN"/>
        </w:rPr>
        <w:t>塑料制品生产车间无组织排放的</w:t>
      </w:r>
      <w:r>
        <w:rPr>
          <w:rFonts w:hint="default" w:ascii="Times New Roman" w:hAnsi="Times New Roman" w:eastAsia="宋体" w:cs="Times New Roman"/>
          <w:color w:val="auto"/>
          <w:sz w:val="24"/>
          <w:szCs w:val="24"/>
          <w:highlight w:val="none"/>
        </w:rPr>
        <w:t>非甲烷总烃下风向最大落地浓度为186.927</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，占标率为9.3</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%，下风向最大浓度出现的距离为</w:t>
      </w:r>
      <w:r>
        <w:rPr>
          <w:rFonts w:hint="default" w:ascii="Times New Roman" w:hAnsi="Times New Roman" w:eastAsia="宋体" w:cs="Times New Roman"/>
          <w:color w:val="auto"/>
          <w:sz w:val="24"/>
          <w:szCs w:val="24"/>
          <w:highlight w:val="none"/>
          <w:lang w:val="en-US" w:eastAsia="zh-CN"/>
        </w:rPr>
        <w:t>1002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；无组织排放的颗粒物</w:t>
      </w:r>
      <w:r>
        <w:rPr>
          <w:rFonts w:hint="default" w:ascii="Times New Roman" w:hAnsi="Times New Roman" w:eastAsia="宋体" w:cs="Times New Roman"/>
          <w:color w:val="auto"/>
          <w:sz w:val="24"/>
          <w:szCs w:val="24"/>
          <w:highlight w:val="none"/>
        </w:rPr>
        <w:t>下风向最大落地浓度为55.65</w:t>
      </w:r>
      <w:r>
        <w:rPr>
          <w:rFonts w:hint="default" w:ascii="Times New Roman" w:hAnsi="Times New Roman" w:eastAsia="宋体" w:cs="Times New Roman"/>
          <w:color w:val="auto"/>
          <w:sz w:val="24"/>
          <w:szCs w:val="24"/>
          <w:highlight w:val="none"/>
          <w:lang w:eastAsia="zh-CN"/>
        </w:rPr>
        <w:t>μ</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，占标率为6.18%，下风向最大浓度出现的距离为</w:t>
      </w:r>
      <w:r>
        <w:rPr>
          <w:rFonts w:hint="default" w:ascii="Times New Roman" w:hAnsi="Times New Roman" w:eastAsia="宋体" w:cs="Times New Roman"/>
          <w:color w:val="auto"/>
          <w:sz w:val="24"/>
          <w:szCs w:val="24"/>
          <w:highlight w:val="none"/>
          <w:lang w:val="en-US" w:eastAsia="zh-CN"/>
        </w:rPr>
        <w:t>1002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有组织污染物排放浓度和无组织污染物排放浓度叠加，本项目厂界四周非甲烷总烃、颗粒物排放浓度均满足《合成树脂工业污染物排放标准》（GB31572-2015）表9企业边界大气污染物浓度限值；</w:t>
      </w:r>
    </w:p>
    <w:p>
      <w:pPr>
        <w:shd w:val="clear"/>
        <w:tabs>
          <w:tab w:val="center" w:pos="4153"/>
          <w:tab w:val="right" w:pos="8306"/>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废气对周围大气环境质量</w:t>
      </w:r>
      <w:r>
        <w:rPr>
          <w:rFonts w:hint="default" w:ascii="Times New Roman" w:hAnsi="Times New Roman" w:eastAsia="宋体" w:cs="Times New Roman"/>
          <w:color w:val="auto"/>
          <w:sz w:val="24"/>
          <w:szCs w:val="24"/>
          <w:highlight w:val="none"/>
          <w:lang w:val="en-US" w:eastAsia="zh-CN"/>
        </w:rPr>
        <w:t>和敏感点</w:t>
      </w:r>
      <w:r>
        <w:rPr>
          <w:rFonts w:hint="default" w:ascii="Times New Roman" w:hAnsi="Times New Roman" w:eastAsia="宋体" w:cs="Times New Roman"/>
          <w:color w:val="auto"/>
          <w:sz w:val="24"/>
          <w:szCs w:val="24"/>
          <w:highlight w:val="none"/>
        </w:rPr>
        <w:t>影响</w:t>
      </w:r>
      <w:r>
        <w:rPr>
          <w:rFonts w:hint="default" w:ascii="Times New Roman" w:hAnsi="Times New Roman" w:eastAsia="宋体" w:cs="Times New Roman"/>
          <w:color w:val="auto"/>
          <w:sz w:val="24"/>
          <w:szCs w:val="24"/>
          <w:highlight w:val="none"/>
          <w:lang w:val="en-US" w:eastAsia="zh-CN"/>
        </w:rPr>
        <w:t>较小</w:t>
      </w:r>
      <w:r>
        <w:rPr>
          <w:rFonts w:hint="default" w:ascii="Times New Roman" w:hAnsi="Times New Roman" w:eastAsia="宋体" w:cs="Times New Roman"/>
          <w:color w:val="auto"/>
          <w:sz w:val="24"/>
          <w:szCs w:val="24"/>
          <w:highlight w:val="none"/>
        </w:rPr>
        <w:t>。</w:t>
      </w:r>
    </w:p>
    <w:p>
      <w:pPr>
        <w:shd w:val="clear"/>
        <w:tabs>
          <w:tab w:val="center" w:pos="4153"/>
          <w:tab w:val="right" w:pos="8306"/>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地下水环境影响分析</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造粒生产车间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湿法破碎废水、清洗废水和甩干废水经</w:t>
      </w:r>
      <w:r>
        <w:rPr>
          <w:rFonts w:hint="default" w:ascii="Times New Roman" w:hAnsi="Times New Roman" w:eastAsia="宋体" w:cs="Times New Roman"/>
          <w:color w:val="auto"/>
          <w:sz w:val="24"/>
          <w:szCs w:val="24"/>
          <w:highlight w:val="none"/>
          <w:lang w:eastAsia="zh-CN"/>
        </w:rPr>
        <w:t>三级沉淀池</w:t>
      </w:r>
      <w:r>
        <w:rPr>
          <w:rFonts w:hint="default" w:ascii="Times New Roman" w:hAnsi="Times New Roman" w:eastAsia="宋体" w:cs="Times New Roman"/>
          <w:color w:val="auto"/>
          <w:sz w:val="24"/>
          <w:szCs w:val="24"/>
          <w:highlight w:val="none"/>
        </w:rPr>
        <w:t>沉淀后，上清液回用于</w:t>
      </w:r>
      <w:r>
        <w:rPr>
          <w:rFonts w:hint="default" w:ascii="Times New Roman" w:hAnsi="Times New Roman" w:eastAsia="宋体" w:cs="Times New Roman"/>
          <w:color w:val="auto"/>
          <w:sz w:val="24"/>
          <w:highlight w:val="none"/>
        </w:rPr>
        <w:t>湿法破碎用水和清洗用水、造粒冷却水</w:t>
      </w:r>
      <w:r>
        <w:rPr>
          <w:rFonts w:hint="default" w:ascii="Times New Roman" w:hAnsi="Times New Roman" w:eastAsia="宋体" w:cs="Times New Roman"/>
          <w:color w:val="auto"/>
          <w:sz w:val="24"/>
          <w:szCs w:val="24"/>
          <w:highlight w:val="none"/>
        </w:rPr>
        <w:t>，循环使用，不外排；</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塑料制品生产车间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6条滴灌带生产线，4条PE管材管件生产线冷却水槽内废水收集于冷却水池，经风冷却塔冷却后，回用于6条滴灌带生产线，4条PE管材管件生产线冷却水槽内，循环使用，不外排；</w:t>
      </w:r>
    </w:p>
    <w:p>
      <w:pPr>
        <w:shd w:val="clear"/>
        <w:tabs>
          <w:tab w:val="center" w:pos="4153"/>
          <w:tab w:val="right" w:pos="8306"/>
        </w:tabs>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生活污水排入</w:t>
      </w:r>
      <w:r>
        <w:rPr>
          <w:rFonts w:hint="default" w:ascii="Times New Roman" w:hAnsi="Times New Roman" w:eastAsia="宋体" w:cs="Times New Roman"/>
          <w:color w:val="auto"/>
          <w:sz w:val="24"/>
          <w:szCs w:val="24"/>
          <w:highlight w:val="none"/>
          <w:lang w:eastAsia="zh-CN"/>
        </w:rPr>
        <w:t>防渗化粪池</w:t>
      </w:r>
      <w:r>
        <w:rPr>
          <w:rFonts w:hint="default" w:ascii="Times New Roman" w:hAnsi="Times New Roman" w:eastAsia="宋体" w:cs="Times New Roman"/>
          <w:color w:val="auto"/>
          <w:sz w:val="24"/>
          <w:szCs w:val="24"/>
          <w:highlight w:val="none"/>
        </w:rPr>
        <w:t>内，定期清掏</w:t>
      </w:r>
      <w:r>
        <w:rPr>
          <w:rFonts w:hint="default" w:ascii="Times New Roman" w:hAnsi="Times New Roman" w:eastAsia="宋体" w:cs="Times New Roman"/>
          <w:color w:val="auto"/>
          <w:sz w:val="24"/>
          <w:szCs w:val="24"/>
          <w:highlight w:val="none"/>
          <w:lang w:eastAsia="zh-CN"/>
        </w:rPr>
        <w:t>。</w:t>
      </w:r>
    </w:p>
    <w:p>
      <w:pPr>
        <w:shd w:val="clear"/>
        <w:tabs>
          <w:tab w:val="center" w:pos="4153"/>
          <w:tab w:val="right" w:pos="8306"/>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项目厂区内按不同使用功能分别进行防渗，项目不会对周边水环境产生明显影响。</w:t>
      </w:r>
    </w:p>
    <w:p>
      <w:pPr>
        <w:keepNext w:val="0"/>
        <w:keepLines w:val="0"/>
        <w:pageBreakBefore w:val="0"/>
        <w:widowControl w:val="0"/>
        <w:shd w:val="clear"/>
        <w:tabs>
          <w:tab w:val="center" w:pos="4153"/>
          <w:tab w:val="right" w:pos="8306"/>
        </w:tabs>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声环境影响分析</w:t>
      </w:r>
    </w:p>
    <w:p>
      <w:pPr>
        <w:keepNext w:val="0"/>
        <w:keepLines w:val="0"/>
        <w:pageBreakBefore w:val="0"/>
        <w:widowControl w:val="0"/>
        <w:shd w:val="clear"/>
        <w:tabs>
          <w:tab w:val="center" w:pos="4153"/>
          <w:tab w:val="right" w:pos="8306"/>
        </w:tabs>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本项目生产设备</w:t>
      </w:r>
      <w:r>
        <w:rPr>
          <w:rFonts w:hint="default" w:ascii="Times New Roman" w:hAnsi="Times New Roman" w:eastAsia="宋体" w:cs="Times New Roman"/>
          <w:color w:val="auto"/>
          <w:sz w:val="24"/>
          <w:szCs w:val="24"/>
          <w:highlight w:val="none"/>
          <w:lang w:eastAsia="zh-CN"/>
        </w:rPr>
        <w:t>运行过程中</w:t>
      </w:r>
      <w:r>
        <w:rPr>
          <w:rFonts w:hint="default" w:ascii="Times New Roman" w:hAnsi="Times New Roman" w:eastAsia="宋体" w:cs="Times New Roman"/>
          <w:color w:val="auto"/>
          <w:sz w:val="24"/>
          <w:szCs w:val="24"/>
          <w:highlight w:val="none"/>
        </w:rPr>
        <w:t>产生的噪声，经</w:t>
      </w:r>
      <w:r>
        <w:rPr>
          <w:rFonts w:hint="default" w:ascii="Times New Roman" w:hAnsi="Times New Roman" w:eastAsia="宋体" w:cs="Times New Roman"/>
          <w:color w:val="auto"/>
          <w:sz w:val="24"/>
          <w:szCs w:val="24"/>
          <w:highlight w:val="none"/>
          <w:lang w:eastAsia="zh-CN"/>
        </w:rPr>
        <w:t>采取减振、</w:t>
      </w:r>
      <w:r>
        <w:rPr>
          <w:rFonts w:hint="default" w:ascii="Times New Roman" w:hAnsi="Times New Roman" w:eastAsia="宋体" w:cs="Times New Roman"/>
          <w:color w:val="auto"/>
          <w:sz w:val="24"/>
          <w:szCs w:val="24"/>
          <w:highlight w:val="none"/>
        </w:rPr>
        <w:t>隔声降噪后可达到《工业企业厂界环境噪声排放标准》（GB12348-2008）中</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类标准要求，</w:t>
      </w:r>
      <w:r>
        <w:rPr>
          <w:rFonts w:hint="default" w:ascii="Times New Roman" w:hAnsi="Times New Roman" w:eastAsia="宋体" w:cs="Times New Roman"/>
          <w:color w:val="auto"/>
          <w:sz w:val="24"/>
          <w:szCs w:val="24"/>
          <w:highlight w:val="none"/>
          <w:lang w:eastAsia="zh-CN"/>
        </w:rPr>
        <w:t>敏感点处声环境满足《声环境质量标准》(GB3096-2008) 2类标准要求，因此</w:t>
      </w:r>
      <w:r>
        <w:rPr>
          <w:rFonts w:hint="default" w:ascii="Times New Roman" w:hAnsi="Times New Roman" w:eastAsia="宋体" w:cs="Times New Roman"/>
          <w:color w:val="auto"/>
          <w:sz w:val="24"/>
          <w:szCs w:val="24"/>
          <w:highlight w:val="none"/>
        </w:rPr>
        <w:t>对环境影响较小。</w:t>
      </w:r>
    </w:p>
    <w:p>
      <w:pPr>
        <w:keepNext w:val="0"/>
        <w:keepLines w:val="0"/>
        <w:pageBreakBefore w:val="0"/>
        <w:widowControl w:val="0"/>
        <w:shd w:val="clear"/>
        <w:tabs>
          <w:tab w:val="center" w:pos="4153"/>
          <w:tab w:val="right" w:pos="8306"/>
        </w:tabs>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固体废物影响</w:t>
      </w:r>
    </w:p>
    <w:p>
      <w:pPr>
        <w:keepNext w:val="0"/>
        <w:keepLines w:val="0"/>
        <w:pageBreakBefore w:val="0"/>
        <w:widowControl w:val="0"/>
        <w:shd w:val="clea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本项目产生的固体废物主要有分拣废物、沉淀池</w:t>
      </w:r>
      <w:r>
        <w:rPr>
          <w:rFonts w:hint="default" w:ascii="Times New Roman" w:hAnsi="Times New Roman" w:eastAsia="宋体" w:cs="Times New Roman"/>
          <w:color w:val="auto"/>
          <w:sz w:val="24"/>
          <w:szCs w:val="24"/>
          <w:highlight w:val="none"/>
          <w:lang w:eastAsia="zh-CN"/>
        </w:rPr>
        <w:t>沉渣</w:t>
      </w:r>
      <w:r>
        <w:rPr>
          <w:rFonts w:hint="default" w:ascii="Times New Roman" w:hAnsi="Times New Roman" w:eastAsia="宋体" w:cs="Times New Roman"/>
          <w:color w:val="auto"/>
          <w:sz w:val="24"/>
          <w:szCs w:val="24"/>
          <w:highlight w:val="none"/>
        </w:rPr>
        <w:t>、废滤网</w:t>
      </w:r>
      <w:r>
        <w:rPr>
          <w:rFonts w:hint="default" w:ascii="Times New Roman" w:hAnsi="Times New Roman" w:eastAsia="宋体" w:cs="Times New Roman"/>
          <w:color w:val="auto"/>
          <w:sz w:val="24"/>
          <w:szCs w:val="24"/>
          <w:highlight w:val="none"/>
          <w:lang w:eastAsia="zh-CN"/>
        </w:rPr>
        <w:t>、混料工序收集的颗粒物、</w:t>
      </w:r>
      <w:r>
        <w:rPr>
          <w:rFonts w:hint="default" w:ascii="Times New Roman" w:hAnsi="Times New Roman" w:eastAsia="宋体" w:cs="Times New Roman"/>
          <w:color w:val="auto"/>
          <w:sz w:val="24"/>
          <w:szCs w:val="24"/>
          <w:highlight w:val="none"/>
        </w:rPr>
        <w:t>废</w:t>
      </w:r>
      <w:r>
        <w:rPr>
          <w:rFonts w:hint="default" w:ascii="Times New Roman" w:hAnsi="Times New Roman" w:eastAsia="宋体" w:cs="Times New Roman"/>
          <w:color w:val="auto"/>
          <w:sz w:val="24"/>
          <w:szCs w:val="24"/>
          <w:highlight w:val="none"/>
          <w:lang w:eastAsia="zh-CN"/>
        </w:rPr>
        <w:t>耐高温过滤棉</w:t>
      </w:r>
      <w:r>
        <w:rPr>
          <w:rFonts w:hint="eastAsia" w:cs="Times New Roman"/>
          <w:color w:val="auto"/>
          <w:sz w:val="24"/>
          <w:szCs w:val="24"/>
          <w:highlight w:val="none"/>
          <w:lang w:eastAsia="zh-CN"/>
        </w:rPr>
        <w:t>、废灯管</w:t>
      </w:r>
      <w:r>
        <w:rPr>
          <w:rFonts w:hint="default" w:ascii="Times New Roman" w:hAnsi="Times New Roman" w:eastAsia="宋体" w:cs="Times New Roman"/>
          <w:color w:val="auto"/>
          <w:sz w:val="24"/>
          <w:szCs w:val="24"/>
          <w:highlight w:val="none"/>
        </w:rPr>
        <w:t>及废活性炭。其中</w:t>
      </w:r>
      <w:r>
        <w:rPr>
          <w:rFonts w:hint="default" w:ascii="Times New Roman" w:hAnsi="Times New Roman" w:eastAsia="宋体" w:cs="Times New Roman"/>
          <w:color w:val="auto"/>
          <w:kern w:val="0"/>
          <w:sz w:val="24"/>
          <w:szCs w:val="24"/>
          <w:highlight w:val="none"/>
        </w:rPr>
        <w:t>分拣废物交由当地环卫部门清运，统一处置</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沉淀池</w:t>
      </w:r>
      <w:r>
        <w:rPr>
          <w:rFonts w:hint="default" w:ascii="Times New Roman" w:hAnsi="Times New Roman" w:eastAsia="宋体" w:cs="Times New Roman"/>
          <w:color w:val="auto"/>
          <w:kern w:val="0"/>
          <w:sz w:val="24"/>
          <w:szCs w:val="24"/>
          <w:highlight w:val="none"/>
          <w:lang w:eastAsia="zh-CN"/>
        </w:rPr>
        <w:t>沉渣</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交由当地环卫部门清运，统一处置</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混料工序收集的粉尘回用于生产，不外排；</w:t>
      </w:r>
      <w:r>
        <w:rPr>
          <w:rFonts w:hint="default" w:ascii="Times New Roman" w:hAnsi="Times New Roman" w:eastAsia="宋体" w:cs="Times New Roman"/>
          <w:color w:val="auto"/>
          <w:kern w:val="0"/>
          <w:sz w:val="24"/>
          <w:szCs w:val="24"/>
          <w:highlight w:val="none"/>
        </w:rPr>
        <w:t>废滤网</w:t>
      </w:r>
      <w:r>
        <w:rPr>
          <w:rFonts w:hint="default" w:ascii="Times New Roman" w:hAnsi="Times New Roman" w:eastAsia="宋体" w:cs="Times New Roman"/>
          <w:color w:val="auto"/>
          <w:kern w:val="0"/>
          <w:sz w:val="24"/>
          <w:szCs w:val="24"/>
          <w:highlight w:val="none"/>
          <w:lang w:eastAsia="zh-TW"/>
        </w:rPr>
        <w:t>属于</w:t>
      </w:r>
      <w:r>
        <w:rPr>
          <w:rFonts w:hint="default" w:ascii="Times New Roman" w:hAnsi="Times New Roman" w:eastAsia="宋体" w:cs="Times New Roman"/>
          <w:color w:val="auto"/>
          <w:kern w:val="0"/>
          <w:sz w:val="24"/>
          <w:szCs w:val="24"/>
          <w:highlight w:val="none"/>
        </w:rPr>
        <w:t>一般固废</w:t>
      </w:r>
      <w:r>
        <w:rPr>
          <w:rFonts w:hint="default" w:ascii="Times New Roman" w:hAnsi="Times New Roman" w:eastAsia="宋体" w:cs="Times New Roman"/>
          <w:color w:val="auto"/>
          <w:kern w:val="0"/>
          <w:sz w:val="24"/>
          <w:szCs w:val="24"/>
          <w:highlight w:val="none"/>
          <w:lang w:eastAsia="zh-TW"/>
        </w:rPr>
        <w:t>，</w:t>
      </w:r>
      <w:r>
        <w:rPr>
          <w:rFonts w:hint="default" w:ascii="Times New Roman" w:hAnsi="Times New Roman" w:eastAsia="宋体" w:cs="Times New Roman"/>
          <w:color w:val="auto"/>
          <w:kern w:val="0"/>
          <w:sz w:val="24"/>
          <w:szCs w:val="24"/>
          <w:highlight w:val="none"/>
        </w:rPr>
        <w:t>产生后由</w:t>
      </w:r>
      <w:r>
        <w:rPr>
          <w:rFonts w:hint="default" w:ascii="Times New Roman" w:hAnsi="Times New Roman" w:eastAsia="宋体" w:cs="Times New Roman"/>
          <w:color w:val="auto"/>
          <w:kern w:val="0"/>
          <w:sz w:val="24"/>
          <w:szCs w:val="24"/>
          <w:highlight w:val="none"/>
          <w:lang w:eastAsia="zh-TW"/>
        </w:rPr>
        <w:t>厂家回收</w:t>
      </w:r>
      <w:r>
        <w:rPr>
          <w:rFonts w:hint="default" w:ascii="Times New Roman" w:hAnsi="Times New Roman" w:eastAsia="宋体" w:cs="Times New Roman"/>
          <w:color w:val="auto"/>
          <w:kern w:val="0"/>
          <w:sz w:val="24"/>
          <w:szCs w:val="24"/>
          <w:highlight w:val="none"/>
        </w:rPr>
        <w:t>；耐高温过滤棉</w:t>
      </w:r>
      <w:r>
        <w:rPr>
          <w:rFonts w:hint="default" w:ascii="Times New Roman" w:hAnsi="Times New Roman" w:eastAsia="宋体" w:cs="Times New Roman"/>
          <w:color w:val="auto"/>
          <w:kern w:val="0"/>
          <w:sz w:val="24"/>
          <w:szCs w:val="24"/>
          <w:highlight w:val="none"/>
          <w:lang w:eastAsia="zh-CN"/>
        </w:rPr>
        <w:t>和</w:t>
      </w:r>
      <w:r>
        <w:rPr>
          <w:rFonts w:hint="default" w:ascii="Times New Roman" w:hAnsi="Times New Roman" w:eastAsia="宋体" w:cs="Times New Roman"/>
          <w:color w:val="auto"/>
          <w:kern w:val="0"/>
          <w:sz w:val="24"/>
          <w:szCs w:val="24"/>
          <w:highlight w:val="none"/>
          <w:lang w:eastAsia="zh-TW"/>
        </w:rPr>
        <w:t>废活性炭属于危险废物，交由有资质的单位进行处置；</w:t>
      </w:r>
      <w:r>
        <w:rPr>
          <w:rFonts w:hint="default" w:ascii="Times New Roman" w:hAnsi="Times New Roman" w:eastAsia="宋体" w:cs="Times New Roman"/>
          <w:color w:val="auto"/>
          <w:kern w:val="0"/>
          <w:sz w:val="24"/>
          <w:szCs w:val="24"/>
          <w:highlight w:val="none"/>
        </w:rPr>
        <w:t>生活垃圾交由当地环卫部门清运，统一处置</w:t>
      </w:r>
      <w:r>
        <w:rPr>
          <w:rFonts w:hint="default" w:ascii="Times New Roman" w:hAnsi="Times New Roman" w:eastAsia="宋体" w:cs="Times New Roman"/>
          <w:color w:val="auto"/>
          <w:sz w:val="24"/>
          <w:szCs w:val="24"/>
          <w:highlight w:val="none"/>
        </w:rPr>
        <w:t>。项目固体废物均合理处置，不外排。</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9.1.5环境保护措施</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废气污染防治措施</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造粒生产车间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破碎工序采取湿法破碎；</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造粒生产车间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2台造粒线挤出机出口、2台切粒机出口上方各设置1套集气罩（共4套），废气收集后，由1套耐高温过滤棉（1#）+</w:t>
      </w:r>
      <w:r>
        <w:rPr>
          <w:rFonts w:hint="default" w:ascii="Times New Roman" w:hAnsi="Times New Roman" w:eastAsia="宋体" w:cs="Times New Roman"/>
          <w:color w:val="auto"/>
          <w:sz w:val="24"/>
          <w:szCs w:val="24"/>
          <w:highlight w:val="none"/>
        </w:rPr>
        <w:t>UV光氧催化（</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活性炭吸附装置（1#）处理后，通过1根15m高排气筒（P1）排放；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塑料制品生产车间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6台滴灌带挤出机出口、4台PE管材管件挤出机出口和2台地膜挤出机出口上方各设置1套集气罩（共12套），废气收集后，由1套耐高温过滤棉（2#）+</w:t>
      </w:r>
      <w:r>
        <w:rPr>
          <w:rFonts w:hint="default" w:ascii="Times New Roman" w:hAnsi="Times New Roman" w:eastAsia="宋体" w:cs="Times New Roman"/>
          <w:color w:val="auto"/>
          <w:sz w:val="24"/>
          <w:szCs w:val="24"/>
          <w:highlight w:val="none"/>
        </w:rPr>
        <w:t>UV光氧催化（</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活性炭吸附装置（2#）处理后，通过1根15m高排气筒（P2）排放；</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塑料制品生产车间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混料废气经除尘滤芯处理后，以无组织形式排放。</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废水污染防治措施</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按“源头控制，分区防渗”的原则制定地下水污染防治措施，项目厂区按一般防渗区要求进行防渗，可以将污染物跑、冒、滴、漏降低到最低限度，同时，开展地下水跟踪监测计划，以便及时发现问题，及时处理。项目采取的地下水污染防治措施技术经济可行。</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噪声污染防治措施</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在设备选型时选用先进的低噪声设备，各噪声设备采用基础减震、软连接，厂房隔音，厂区设备合理布置。项目采取以上降噪措施后并经过距离衰减后，厂界噪声可达标，项目采取的噪声防治措施技术经济可行。</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固体废物防治措施</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本项目产生的固体废物主要有分拣废物、沉淀池</w:t>
      </w:r>
      <w:r>
        <w:rPr>
          <w:rFonts w:hint="default" w:ascii="Times New Roman" w:hAnsi="Times New Roman" w:eastAsia="宋体" w:cs="Times New Roman"/>
          <w:color w:val="auto"/>
          <w:sz w:val="24"/>
          <w:szCs w:val="24"/>
          <w:highlight w:val="none"/>
          <w:lang w:eastAsia="zh-CN"/>
        </w:rPr>
        <w:t>沉渣</w:t>
      </w:r>
      <w:r>
        <w:rPr>
          <w:rFonts w:hint="default" w:ascii="Times New Roman" w:hAnsi="Times New Roman" w:eastAsia="宋体" w:cs="Times New Roman"/>
          <w:color w:val="auto"/>
          <w:sz w:val="24"/>
          <w:szCs w:val="24"/>
          <w:highlight w:val="none"/>
        </w:rPr>
        <w:t>、废滤网</w:t>
      </w:r>
      <w:r>
        <w:rPr>
          <w:rFonts w:hint="default" w:ascii="Times New Roman" w:hAnsi="Times New Roman" w:eastAsia="宋体" w:cs="Times New Roman"/>
          <w:color w:val="auto"/>
          <w:sz w:val="24"/>
          <w:szCs w:val="24"/>
          <w:highlight w:val="none"/>
          <w:lang w:eastAsia="zh-CN"/>
        </w:rPr>
        <w:t>、混料工序收集的颗粒物、</w:t>
      </w:r>
      <w:r>
        <w:rPr>
          <w:rFonts w:hint="default" w:ascii="Times New Roman" w:hAnsi="Times New Roman" w:eastAsia="宋体" w:cs="Times New Roman"/>
          <w:color w:val="auto"/>
          <w:sz w:val="24"/>
          <w:szCs w:val="24"/>
          <w:highlight w:val="none"/>
        </w:rPr>
        <w:t>废</w:t>
      </w:r>
      <w:r>
        <w:rPr>
          <w:rFonts w:hint="default" w:ascii="Times New Roman" w:hAnsi="Times New Roman" w:eastAsia="宋体" w:cs="Times New Roman"/>
          <w:color w:val="auto"/>
          <w:sz w:val="24"/>
          <w:szCs w:val="24"/>
          <w:highlight w:val="none"/>
          <w:lang w:eastAsia="zh-CN"/>
        </w:rPr>
        <w:t>耐高温过滤棉</w:t>
      </w:r>
      <w:r>
        <w:rPr>
          <w:rFonts w:hint="eastAsia" w:cs="Times New Roman"/>
          <w:color w:val="auto"/>
          <w:sz w:val="24"/>
          <w:szCs w:val="24"/>
          <w:highlight w:val="none"/>
          <w:lang w:eastAsia="zh-CN"/>
        </w:rPr>
        <w:t>、废灯管</w:t>
      </w:r>
      <w:r>
        <w:rPr>
          <w:rFonts w:hint="default" w:ascii="Times New Roman" w:hAnsi="Times New Roman" w:eastAsia="宋体" w:cs="Times New Roman"/>
          <w:color w:val="auto"/>
          <w:sz w:val="24"/>
          <w:szCs w:val="24"/>
          <w:highlight w:val="none"/>
        </w:rPr>
        <w:t>及废活性炭。其中</w:t>
      </w:r>
      <w:r>
        <w:rPr>
          <w:rFonts w:hint="default" w:ascii="Times New Roman" w:hAnsi="Times New Roman" w:eastAsia="宋体" w:cs="Times New Roman"/>
          <w:color w:val="auto"/>
          <w:kern w:val="0"/>
          <w:sz w:val="24"/>
          <w:szCs w:val="24"/>
          <w:highlight w:val="none"/>
        </w:rPr>
        <w:t>分拣废物交由当地环卫部门清运，统一处置</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沉淀池</w:t>
      </w:r>
      <w:r>
        <w:rPr>
          <w:rFonts w:hint="default" w:ascii="Times New Roman" w:hAnsi="Times New Roman" w:eastAsia="宋体" w:cs="Times New Roman"/>
          <w:color w:val="auto"/>
          <w:kern w:val="0"/>
          <w:sz w:val="24"/>
          <w:szCs w:val="24"/>
          <w:highlight w:val="none"/>
          <w:lang w:eastAsia="zh-CN"/>
        </w:rPr>
        <w:t>沉渣</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交由当地环卫部门清运，统一处置</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混料工序收集的粉尘回用于生产，不外排；</w:t>
      </w:r>
      <w:r>
        <w:rPr>
          <w:rFonts w:hint="default" w:ascii="Times New Roman" w:hAnsi="Times New Roman" w:eastAsia="宋体" w:cs="Times New Roman"/>
          <w:color w:val="auto"/>
          <w:kern w:val="0"/>
          <w:sz w:val="24"/>
          <w:szCs w:val="24"/>
          <w:highlight w:val="none"/>
        </w:rPr>
        <w:t>废滤网</w:t>
      </w:r>
      <w:r>
        <w:rPr>
          <w:rFonts w:hint="default" w:ascii="Times New Roman" w:hAnsi="Times New Roman" w:eastAsia="宋体" w:cs="Times New Roman"/>
          <w:color w:val="auto"/>
          <w:kern w:val="0"/>
          <w:sz w:val="24"/>
          <w:szCs w:val="24"/>
          <w:highlight w:val="none"/>
          <w:lang w:eastAsia="zh-TW"/>
        </w:rPr>
        <w:t>属于</w:t>
      </w:r>
      <w:r>
        <w:rPr>
          <w:rFonts w:hint="default" w:ascii="Times New Roman" w:hAnsi="Times New Roman" w:eastAsia="宋体" w:cs="Times New Roman"/>
          <w:color w:val="auto"/>
          <w:kern w:val="0"/>
          <w:sz w:val="24"/>
          <w:szCs w:val="24"/>
          <w:highlight w:val="none"/>
        </w:rPr>
        <w:t>一般固废</w:t>
      </w:r>
      <w:r>
        <w:rPr>
          <w:rFonts w:hint="default" w:ascii="Times New Roman" w:hAnsi="Times New Roman" w:eastAsia="宋体" w:cs="Times New Roman"/>
          <w:color w:val="auto"/>
          <w:kern w:val="0"/>
          <w:sz w:val="24"/>
          <w:szCs w:val="24"/>
          <w:highlight w:val="none"/>
          <w:lang w:eastAsia="zh-TW"/>
        </w:rPr>
        <w:t>，</w:t>
      </w:r>
      <w:r>
        <w:rPr>
          <w:rFonts w:hint="default" w:ascii="Times New Roman" w:hAnsi="Times New Roman" w:eastAsia="宋体" w:cs="Times New Roman"/>
          <w:color w:val="auto"/>
          <w:kern w:val="0"/>
          <w:sz w:val="24"/>
          <w:szCs w:val="24"/>
          <w:highlight w:val="none"/>
        </w:rPr>
        <w:t>产生后由</w:t>
      </w:r>
      <w:r>
        <w:rPr>
          <w:rFonts w:hint="default" w:ascii="Times New Roman" w:hAnsi="Times New Roman" w:eastAsia="宋体" w:cs="Times New Roman"/>
          <w:color w:val="auto"/>
          <w:kern w:val="0"/>
          <w:sz w:val="24"/>
          <w:szCs w:val="24"/>
          <w:highlight w:val="none"/>
          <w:lang w:eastAsia="zh-TW"/>
        </w:rPr>
        <w:t>厂家回收</w:t>
      </w:r>
      <w:r>
        <w:rPr>
          <w:rFonts w:hint="default" w:ascii="Times New Roman" w:hAnsi="Times New Roman" w:eastAsia="宋体" w:cs="Times New Roman"/>
          <w:color w:val="auto"/>
          <w:kern w:val="0"/>
          <w:sz w:val="24"/>
          <w:szCs w:val="24"/>
          <w:highlight w:val="none"/>
        </w:rPr>
        <w:t>；耐高温过滤棉</w:t>
      </w:r>
      <w:r>
        <w:rPr>
          <w:rFonts w:hint="eastAsia" w:cs="Times New Roman"/>
          <w:color w:val="auto"/>
          <w:sz w:val="24"/>
          <w:szCs w:val="24"/>
          <w:highlight w:val="none"/>
          <w:lang w:eastAsia="zh-CN"/>
        </w:rPr>
        <w:t>、废灯管</w:t>
      </w:r>
      <w:r>
        <w:rPr>
          <w:rFonts w:hint="default" w:ascii="Times New Roman" w:hAnsi="Times New Roman" w:eastAsia="宋体" w:cs="Times New Roman"/>
          <w:color w:val="auto"/>
          <w:kern w:val="0"/>
          <w:sz w:val="24"/>
          <w:szCs w:val="24"/>
          <w:highlight w:val="none"/>
          <w:lang w:eastAsia="zh-CN"/>
        </w:rPr>
        <w:t>和</w:t>
      </w:r>
      <w:r>
        <w:rPr>
          <w:rFonts w:hint="default" w:ascii="Times New Roman" w:hAnsi="Times New Roman" w:eastAsia="宋体" w:cs="Times New Roman"/>
          <w:color w:val="auto"/>
          <w:kern w:val="0"/>
          <w:sz w:val="24"/>
          <w:szCs w:val="24"/>
          <w:highlight w:val="none"/>
          <w:lang w:eastAsia="zh-TW"/>
        </w:rPr>
        <w:t>废活性炭属于危险废物，交由有资质的单位进行处置；</w:t>
      </w:r>
      <w:r>
        <w:rPr>
          <w:rFonts w:hint="default" w:ascii="Times New Roman" w:hAnsi="Times New Roman" w:eastAsia="宋体" w:cs="Times New Roman"/>
          <w:color w:val="auto"/>
          <w:kern w:val="0"/>
          <w:sz w:val="24"/>
          <w:szCs w:val="24"/>
          <w:highlight w:val="none"/>
        </w:rPr>
        <w:t>生活垃圾交由当地环卫部门清运，统一处置</w:t>
      </w:r>
      <w:r>
        <w:rPr>
          <w:rFonts w:hint="default" w:ascii="Times New Roman" w:hAnsi="Times New Roman" w:eastAsia="宋体" w:cs="Times New Roman"/>
          <w:color w:val="auto"/>
          <w:sz w:val="24"/>
          <w:highlight w:val="none"/>
        </w:rPr>
        <w:t>。固体废物暂存场所设置满足国家相关规定要求，固体废物均能得到合理妥善处置。因此，本项目采取的固体废物防治措施技术经济可行。</w:t>
      </w:r>
    </w:p>
    <w:p>
      <w:pPr>
        <w:pStyle w:val="6"/>
        <w:bidi w:val="0"/>
        <w:rPr>
          <w:rFonts w:hint="default" w:ascii="Times New Roman" w:hAnsi="Times New Roman" w:eastAsia="宋体" w:cs="Times New Roman"/>
          <w:color w:val="auto"/>
        </w:rPr>
      </w:pPr>
      <w:bookmarkStart w:id="447" w:name="_Toc177204561"/>
      <w:bookmarkStart w:id="448" w:name="_Toc152693050"/>
      <w:bookmarkStart w:id="449" w:name="_Toc195111786"/>
      <w:bookmarkStart w:id="450" w:name="_Toc229201591"/>
      <w:bookmarkStart w:id="451" w:name="_Toc193279717"/>
      <w:bookmarkStart w:id="452" w:name="_Toc464475520"/>
      <w:bookmarkStart w:id="453" w:name="_Toc327383271"/>
      <w:bookmarkStart w:id="454" w:name="_Toc152121867"/>
      <w:bookmarkStart w:id="455" w:name="_Toc243119474"/>
      <w:bookmarkStart w:id="456" w:name="_Toc152610724"/>
      <w:r>
        <w:rPr>
          <w:rFonts w:hint="default" w:ascii="Times New Roman" w:hAnsi="Times New Roman" w:eastAsia="宋体" w:cs="Times New Roman"/>
          <w:color w:val="auto"/>
        </w:rPr>
        <w:t>9.1.6总量控制指标</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国家环境保护“十三五”规划基本思路》，继续实施全国二氧化硫、氮氧化物、化学需氧量、氨氮排放总量控制，初步考虑，对全国实施重点行业工业烟粉尘总量控制，对总氮、总磷和挥发性有机物实施重点区域与重点行业相结合的总量控制。根据本工程的实际情况，本项目不产生二氧化硫、氮氧化物；本项目生产废水全部回用，生活污水</w:t>
      </w:r>
      <w:r>
        <w:rPr>
          <w:rFonts w:hint="default" w:ascii="Times New Roman" w:hAnsi="Times New Roman" w:eastAsia="宋体" w:cs="Times New Roman"/>
          <w:color w:val="auto"/>
          <w:sz w:val="24"/>
          <w:szCs w:val="32"/>
          <w:highlight w:val="none"/>
          <w:lang w:eastAsia="zh-CN"/>
        </w:rPr>
        <w:t>排入防渗化粪池，定期清掏，</w:t>
      </w:r>
      <w:r>
        <w:rPr>
          <w:rFonts w:hint="default" w:ascii="Times New Roman" w:hAnsi="Times New Roman" w:eastAsia="宋体" w:cs="Times New Roman"/>
          <w:color w:val="auto"/>
          <w:sz w:val="24"/>
          <w:szCs w:val="32"/>
          <w:highlight w:val="none"/>
        </w:rPr>
        <w:t>无需申请COD、NH</w:t>
      </w:r>
      <w:r>
        <w:rPr>
          <w:rFonts w:hint="default" w:ascii="Times New Roman" w:hAnsi="Times New Roman" w:eastAsia="宋体" w:cs="Times New Roman"/>
          <w:color w:val="auto"/>
          <w:sz w:val="24"/>
          <w:szCs w:val="32"/>
          <w:highlight w:val="none"/>
          <w:vertAlign w:val="subscript"/>
        </w:rPr>
        <w:t>3</w:t>
      </w:r>
      <w:r>
        <w:rPr>
          <w:rFonts w:hint="default" w:ascii="Times New Roman" w:hAnsi="Times New Roman" w:eastAsia="宋体" w:cs="Times New Roman"/>
          <w:color w:val="auto"/>
          <w:sz w:val="24"/>
          <w:szCs w:val="32"/>
          <w:highlight w:val="none"/>
        </w:rPr>
        <w:t>-N的水污染物总量。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本项目非甲烷总烃申请总量指标为8.89t/a。</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9.1.7清洁生产分析</w:t>
      </w:r>
      <w:bookmarkEnd w:id="447"/>
      <w:bookmarkEnd w:id="448"/>
      <w:bookmarkEnd w:id="449"/>
      <w:bookmarkEnd w:id="450"/>
      <w:bookmarkEnd w:id="451"/>
      <w:bookmarkEnd w:id="452"/>
      <w:bookmarkEnd w:id="453"/>
      <w:bookmarkEnd w:id="454"/>
      <w:bookmarkEnd w:id="455"/>
      <w:bookmarkEnd w:id="456"/>
    </w:p>
    <w:p>
      <w:pPr>
        <w:keepNext w:val="0"/>
        <w:shd w:val="clear"/>
        <w:tabs>
          <w:tab w:val="center" w:pos="4153"/>
          <w:tab w:val="right" w:pos="8306"/>
        </w:tabs>
        <w:spacing w:line="360" w:lineRule="auto"/>
        <w:ind w:firstLine="48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原料消耗较少，利用率较高；设备大部分选用国内先进设备，降低了物料损耗，噪声值小；生产工艺先进；生产过程产生的污染物较少，均能达标排放，得到妥善处理。因此，本项目的建设符合国家相关产业政策，较好地实现清洁生产。</w:t>
      </w:r>
    </w:p>
    <w:p>
      <w:pPr>
        <w:pStyle w:val="6"/>
        <w:bidi w:val="0"/>
        <w:rPr>
          <w:rFonts w:hint="default" w:ascii="Times New Roman" w:hAnsi="Times New Roman" w:eastAsia="宋体" w:cs="Times New Roman"/>
          <w:color w:val="auto"/>
        </w:rPr>
      </w:pPr>
      <w:bookmarkStart w:id="457" w:name="_Toc193279719"/>
      <w:bookmarkStart w:id="458" w:name="_Toc195111788"/>
      <w:bookmarkStart w:id="459" w:name="_Toc229201593"/>
      <w:bookmarkStart w:id="460" w:name="_Toc464475522"/>
      <w:bookmarkStart w:id="461" w:name="_Toc152610726"/>
      <w:bookmarkStart w:id="462" w:name="_Toc152693052"/>
      <w:bookmarkStart w:id="463" w:name="_Toc177204563"/>
      <w:bookmarkStart w:id="464" w:name="_Toc327383273"/>
      <w:bookmarkStart w:id="465" w:name="_Toc243119476"/>
      <w:bookmarkStart w:id="466" w:name="_Toc152121869"/>
      <w:r>
        <w:rPr>
          <w:rFonts w:hint="default" w:ascii="Times New Roman" w:hAnsi="Times New Roman" w:eastAsia="宋体" w:cs="Times New Roman"/>
          <w:color w:val="auto"/>
        </w:rPr>
        <w:t>9.1.8公众参与</w:t>
      </w:r>
      <w:bookmarkEnd w:id="457"/>
      <w:bookmarkEnd w:id="458"/>
      <w:bookmarkEnd w:id="459"/>
      <w:bookmarkEnd w:id="460"/>
      <w:bookmarkEnd w:id="461"/>
      <w:bookmarkEnd w:id="462"/>
      <w:bookmarkEnd w:id="463"/>
      <w:bookmarkEnd w:id="464"/>
      <w:bookmarkEnd w:id="465"/>
      <w:bookmarkEnd w:id="466"/>
    </w:p>
    <w:p>
      <w:pPr>
        <w:shd w:val="clear"/>
        <w:spacing w:line="360" w:lineRule="auto"/>
        <w:ind w:firstLine="480"/>
        <w:rPr>
          <w:rFonts w:hint="default" w:ascii="Times New Roman" w:hAnsi="Times New Roman" w:eastAsia="宋体" w:cs="Times New Roman"/>
          <w:color w:val="auto"/>
          <w:kern w:val="0"/>
          <w:sz w:val="24"/>
          <w:szCs w:val="32"/>
          <w:highlight w:val="none"/>
        </w:rPr>
      </w:pPr>
      <w:r>
        <w:rPr>
          <w:rFonts w:hint="default" w:ascii="Times New Roman" w:hAnsi="Times New Roman" w:eastAsia="宋体" w:cs="Times New Roman"/>
          <w:color w:val="auto"/>
          <w:kern w:val="0"/>
          <w:sz w:val="24"/>
          <w:szCs w:val="32"/>
          <w:highlight w:val="none"/>
        </w:rPr>
        <w:t>本评价共进行了两次公众参与。第一次是在接受环评任务的七天内，2020年9月14日，内蒙古华伟泽农业有限公司在乌拉特前旗人民政府网站以网络的方式向首次公众公示了拟建项目的环境影响公示材料，介绍项目的基本情况及建设、评价单位情况；第二次是在环评报告书编制基本完成后，</w:t>
      </w:r>
      <w:r>
        <w:rPr>
          <w:rFonts w:hint="default" w:ascii="Times New Roman" w:hAnsi="Times New Roman" w:eastAsia="宋体" w:cs="Times New Roman"/>
          <w:color w:val="auto"/>
          <w:sz w:val="24"/>
          <w:szCs w:val="28"/>
        </w:rPr>
        <w:t>2020年11月4日至2020年11月18日</w:t>
      </w:r>
      <w:r>
        <w:rPr>
          <w:rFonts w:hint="default" w:ascii="Times New Roman" w:hAnsi="Times New Roman" w:eastAsia="宋体" w:cs="Times New Roman"/>
          <w:color w:val="auto"/>
          <w:sz w:val="24"/>
          <w:szCs w:val="32"/>
        </w:rPr>
        <w:t>在</w:t>
      </w:r>
      <w:r>
        <w:rPr>
          <w:rFonts w:hint="default" w:ascii="Times New Roman" w:hAnsi="Times New Roman" w:eastAsia="宋体" w:cs="Times New Roman"/>
          <w:color w:val="auto"/>
          <w:sz w:val="24"/>
          <w:szCs w:val="32"/>
          <w:lang w:eastAsia="zh-CN"/>
        </w:rPr>
        <w:t>乌拉特前旗人民政府网站公示</w:t>
      </w:r>
      <w:r>
        <w:rPr>
          <w:rFonts w:hint="default" w:ascii="Times New Roman" w:hAnsi="Times New Roman" w:eastAsia="宋体" w:cs="Times New Roman"/>
          <w:color w:val="auto"/>
          <w:kern w:val="0"/>
          <w:sz w:val="24"/>
          <w:szCs w:val="32"/>
          <w:highlight w:val="none"/>
        </w:rPr>
        <w:t>、</w:t>
      </w:r>
      <w:r>
        <w:rPr>
          <w:rFonts w:hint="default" w:ascii="Times New Roman" w:hAnsi="Times New Roman" w:eastAsia="宋体" w:cs="Times New Roman"/>
          <w:color w:val="auto"/>
          <w:sz w:val="24"/>
          <w:szCs w:val="32"/>
        </w:rPr>
        <w:t>202</w:t>
      </w:r>
      <w:r>
        <w:rPr>
          <w:rFonts w:hint="default" w:ascii="Times New Roman" w:hAnsi="Times New Roman" w:eastAsia="宋体" w:cs="Times New Roman"/>
          <w:color w:val="auto"/>
          <w:sz w:val="24"/>
          <w:szCs w:val="32"/>
          <w:lang w:val="en-US" w:eastAsia="zh-CN"/>
        </w:rPr>
        <w:t>0</w:t>
      </w:r>
      <w:r>
        <w:rPr>
          <w:rFonts w:hint="default" w:ascii="Times New Roman" w:hAnsi="Times New Roman" w:eastAsia="宋体" w:cs="Times New Roman"/>
          <w:color w:val="auto"/>
          <w:sz w:val="24"/>
          <w:szCs w:val="32"/>
        </w:rPr>
        <w:t>年</w:t>
      </w:r>
      <w:r>
        <w:rPr>
          <w:rFonts w:hint="default" w:ascii="Times New Roman" w:hAnsi="Times New Roman" w:eastAsia="宋体" w:cs="Times New Roman"/>
          <w:color w:val="auto"/>
          <w:sz w:val="24"/>
          <w:szCs w:val="32"/>
          <w:lang w:val="en-US" w:eastAsia="zh-CN"/>
        </w:rPr>
        <w:t>9</w:t>
      </w:r>
      <w:r>
        <w:rPr>
          <w:rFonts w:hint="default" w:ascii="Times New Roman" w:hAnsi="Times New Roman" w:eastAsia="宋体" w:cs="Times New Roman"/>
          <w:color w:val="auto"/>
          <w:sz w:val="24"/>
          <w:szCs w:val="32"/>
        </w:rPr>
        <w:t>月</w:t>
      </w:r>
      <w:r>
        <w:rPr>
          <w:rFonts w:hint="default" w:ascii="Times New Roman" w:hAnsi="Times New Roman" w:eastAsia="宋体" w:cs="Times New Roman"/>
          <w:color w:val="auto"/>
          <w:sz w:val="24"/>
          <w:szCs w:val="32"/>
          <w:lang w:val="en-US" w:eastAsia="zh-CN"/>
        </w:rPr>
        <w:t>14</w:t>
      </w:r>
      <w:r>
        <w:rPr>
          <w:rFonts w:hint="default" w:ascii="Times New Roman" w:hAnsi="Times New Roman" w:eastAsia="宋体" w:cs="Times New Roman"/>
          <w:color w:val="auto"/>
          <w:sz w:val="24"/>
          <w:szCs w:val="32"/>
        </w:rPr>
        <w:t>日和202</w:t>
      </w:r>
      <w:r>
        <w:rPr>
          <w:rFonts w:hint="default" w:ascii="Times New Roman" w:hAnsi="Times New Roman" w:eastAsia="宋体" w:cs="Times New Roman"/>
          <w:color w:val="auto"/>
          <w:sz w:val="24"/>
          <w:szCs w:val="32"/>
          <w:lang w:val="en-US" w:eastAsia="zh-CN"/>
        </w:rPr>
        <w:t>0</w:t>
      </w:r>
      <w:r>
        <w:rPr>
          <w:rFonts w:hint="default" w:ascii="Times New Roman" w:hAnsi="Times New Roman" w:eastAsia="宋体" w:cs="Times New Roman"/>
          <w:color w:val="auto"/>
          <w:sz w:val="24"/>
          <w:szCs w:val="32"/>
        </w:rPr>
        <w:t>年</w:t>
      </w:r>
      <w:r>
        <w:rPr>
          <w:rFonts w:hint="default" w:ascii="Times New Roman" w:hAnsi="Times New Roman" w:eastAsia="宋体" w:cs="Times New Roman"/>
          <w:color w:val="auto"/>
          <w:sz w:val="24"/>
          <w:szCs w:val="32"/>
          <w:lang w:val="en-US" w:eastAsia="zh-CN"/>
        </w:rPr>
        <w:t>11</w:t>
      </w:r>
      <w:r>
        <w:rPr>
          <w:rFonts w:hint="default" w:ascii="Times New Roman" w:hAnsi="Times New Roman" w:eastAsia="宋体" w:cs="Times New Roman"/>
          <w:color w:val="auto"/>
          <w:sz w:val="24"/>
          <w:szCs w:val="32"/>
        </w:rPr>
        <w:t>月</w:t>
      </w:r>
      <w:r>
        <w:rPr>
          <w:rFonts w:hint="default" w:ascii="Times New Roman" w:hAnsi="Times New Roman" w:eastAsia="宋体" w:cs="Times New Roman"/>
          <w:color w:val="auto"/>
          <w:sz w:val="24"/>
          <w:szCs w:val="32"/>
          <w:lang w:val="en-US" w:eastAsia="zh-CN"/>
        </w:rPr>
        <w:t>4</w:t>
      </w:r>
      <w:r>
        <w:rPr>
          <w:rFonts w:hint="default" w:ascii="Times New Roman" w:hAnsi="Times New Roman" w:eastAsia="宋体" w:cs="Times New Roman"/>
          <w:color w:val="auto"/>
          <w:sz w:val="24"/>
          <w:szCs w:val="32"/>
        </w:rPr>
        <w:t>日在《</w:t>
      </w:r>
      <w:r>
        <w:rPr>
          <w:rFonts w:hint="default" w:ascii="Times New Roman" w:hAnsi="Times New Roman" w:eastAsia="宋体" w:cs="Times New Roman"/>
          <w:color w:val="auto"/>
          <w:sz w:val="24"/>
          <w:szCs w:val="32"/>
          <w:lang w:eastAsia="zh-CN"/>
        </w:rPr>
        <w:t>乌拉特前旗生活向导报</w:t>
      </w:r>
      <w:r>
        <w:rPr>
          <w:rFonts w:hint="default" w:ascii="Times New Roman" w:hAnsi="Times New Roman" w:eastAsia="宋体" w:cs="Times New Roman"/>
          <w:color w:val="auto"/>
          <w:sz w:val="24"/>
          <w:szCs w:val="32"/>
        </w:rPr>
        <w:t>》刊登</w:t>
      </w:r>
      <w:r>
        <w:rPr>
          <w:rFonts w:hint="default" w:ascii="Times New Roman" w:hAnsi="Times New Roman" w:eastAsia="宋体" w:cs="Times New Roman"/>
          <w:color w:val="auto"/>
          <w:kern w:val="0"/>
          <w:sz w:val="24"/>
          <w:szCs w:val="32"/>
          <w:highlight w:val="none"/>
        </w:rPr>
        <w:t>、2020年11月4日至2020年11月18日在项目所在地以张贴公告的形式进行了公示。</w:t>
      </w:r>
    </w:p>
    <w:p>
      <w:pPr>
        <w:shd w:val="clear"/>
        <w:spacing w:line="360" w:lineRule="auto"/>
        <w:ind w:firstLine="480"/>
        <w:rPr>
          <w:rFonts w:hint="default" w:ascii="Times New Roman" w:hAnsi="Times New Roman" w:eastAsia="宋体" w:cs="Times New Roman"/>
          <w:color w:val="auto"/>
          <w:kern w:val="0"/>
          <w:sz w:val="24"/>
          <w:szCs w:val="32"/>
          <w:highlight w:val="none"/>
        </w:rPr>
      </w:pPr>
      <w:r>
        <w:rPr>
          <w:rFonts w:hint="default" w:ascii="Times New Roman" w:hAnsi="Times New Roman" w:eastAsia="宋体" w:cs="Times New Roman"/>
          <w:color w:val="auto"/>
          <w:kern w:val="0"/>
          <w:sz w:val="24"/>
          <w:szCs w:val="32"/>
          <w:highlight w:val="none"/>
        </w:rPr>
        <w:t>公示期间，建设单位和环评单位均未接到有关反对项目建设的电话、信函、电子邮件等，亦未收到公众意见表。</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9.1.9环境影响经济损益分析</w:t>
      </w:r>
    </w:p>
    <w:p>
      <w:pPr>
        <w:shd w:val="clear"/>
        <w:spacing w:line="360" w:lineRule="auto"/>
        <w:ind w:firstLine="480"/>
        <w:rPr>
          <w:rFonts w:hint="default" w:ascii="Times New Roman" w:hAnsi="Times New Roman" w:eastAsia="宋体" w:cs="Times New Roman"/>
          <w:color w:val="auto"/>
          <w:kern w:val="0"/>
          <w:sz w:val="24"/>
          <w:szCs w:val="32"/>
          <w:highlight w:val="none"/>
        </w:rPr>
      </w:pPr>
      <w:r>
        <w:rPr>
          <w:rFonts w:hint="default" w:ascii="Times New Roman" w:hAnsi="Times New Roman" w:eastAsia="宋体" w:cs="Times New Roman"/>
          <w:color w:val="auto"/>
          <w:kern w:val="0"/>
          <w:sz w:val="24"/>
          <w:szCs w:val="32"/>
          <w:highlight w:val="none"/>
        </w:rPr>
        <w:t>从经济角度分析，本项目建设可行，同时，项目建设具有良好的社会效益和环境经济效益。</w:t>
      </w:r>
    </w:p>
    <w:p>
      <w:pPr>
        <w:pStyle w:val="6"/>
        <w:bidi w:val="0"/>
        <w:rPr>
          <w:rFonts w:hint="default" w:ascii="Times New Roman" w:hAnsi="Times New Roman" w:eastAsia="宋体" w:cs="Times New Roman"/>
          <w:color w:val="auto"/>
        </w:rPr>
      </w:pPr>
      <w:r>
        <w:rPr>
          <w:rFonts w:hint="default" w:ascii="Times New Roman" w:hAnsi="Times New Roman" w:eastAsia="宋体" w:cs="Times New Roman"/>
          <w:color w:val="auto"/>
        </w:rPr>
        <w:t>9.1.10环境管理与监测计划</w:t>
      </w:r>
    </w:p>
    <w:p>
      <w:pPr>
        <w:shd w:val="clear"/>
        <w:spacing w:line="360" w:lineRule="auto"/>
        <w:ind w:firstLine="480"/>
        <w:rPr>
          <w:rFonts w:hint="default" w:ascii="Times New Roman" w:hAnsi="Times New Roman" w:eastAsia="宋体" w:cs="Times New Roman"/>
          <w:color w:val="auto"/>
          <w:kern w:val="0"/>
          <w:sz w:val="24"/>
          <w:szCs w:val="32"/>
          <w:highlight w:val="none"/>
        </w:rPr>
      </w:pPr>
      <w:r>
        <w:rPr>
          <w:rFonts w:hint="default" w:ascii="Times New Roman" w:hAnsi="Times New Roman" w:eastAsia="宋体" w:cs="Times New Roman"/>
          <w:color w:val="auto"/>
          <w:kern w:val="0"/>
          <w:sz w:val="24"/>
          <w:szCs w:val="32"/>
          <w:highlight w:val="none"/>
        </w:rPr>
        <w:t>本项目建设单位应制定详细的环境管理制度与环境监测计划，企业委托有资质监测部门定期对项目生产过程中所产生污染物进行日常监测，对可能受影响居住区环境空气、声环境、地下水环境开展监测，建立健全监测档案，发现问题及时处理。</w:t>
      </w:r>
    </w:p>
    <w:p>
      <w:pPr>
        <w:pStyle w:val="6"/>
        <w:bidi w:val="0"/>
        <w:rPr>
          <w:rFonts w:hint="default" w:ascii="Times New Roman" w:hAnsi="Times New Roman" w:eastAsia="宋体" w:cs="Times New Roman"/>
          <w:color w:val="auto"/>
          <w:lang w:val="en-US" w:eastAsia="zh-CN"/>
        </w:rPr>
      </w:pPr>
      <w:bookmarkStart w:id="467" w:name="_Toc464475523"/>
      <w:r>
        <w:rPr>
          <w:rFonts w:hint="default" w:ascii="Times New Roman" w:hAnsi="Times New Roman" w:eastAsia="宋体" w:cs="Times New Roman"/>
          <w:color w:val="auto"/>
          <w:lang w:val="en-US" w:eastAsia="zh-CN"/>
        </w:rPr>
        <w:t>9.1.11总结论</w:t>
      </w:r>
      <w:bookmarkEnd w:id="467"/>
    </w:p>
    <w:p>
      <w:pPr>
        <w:shd w:val="clea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所述，本项目建设符合国家相关产业政策及相关规划要求，符合清洁生产要求，在严格落实本报告提出的各项环境污染治理措施和环境管理措施的前提下，能实现达标排放且对环境影响较小，事故风险水平是可以接受的，公示期间，建设单位和环评单位均未接到有关反对项目建设的电话、信函、电子邮件等。从环保角度看，本项目建设是可行的。</w:t>
      </w:r>
    </w:p>
    <w:p>
      <w:pPr>
        <w:pStyle w:val="5"/>
        <w:bidi w:val="0"/>
        <w:rPr>
          <w:rFonts w:hint="default" w:ascii="Times New Roman" w:hAnsi="Times New Roman" w:eastAsia="宋体" w:cs="Times New Roman"/>
          <w:color w:val="auto"/>
        </w:rPr>
      </w:pPr>
      <w:bookmarkStart w:id="468" w:name="_Toc327383274"/>
      <w:bookmarkStart w:id="469" w:name="_Toc229201594"/>
      <w:bookmarkStart w:id="470" w:name="_Toc243119477"/>
      <w:bookmarkStart w:id="471" w:name="_Toc464475524"/>
      <w:bookmarkStart w:id="472" w:name="_Toc24628"/>
      <w:r>
        <w:rPr>
          <w:rFonts w:hint="default" w:ascii="Times New Roman" w:hAnsi="Times New Roman" w:eastAsia="宋体" w:cs="Times New Roman"/>
          <w:color w:val="auto"/>
        </w:rPr>
        <w:t>9.2建议</w:t>
      </w:r>
      <w:bookmarkEnd w:id="468"/>
      <w:bookmarkEnd w:id="469"/>
      <w:bookmarkEnd w:id="470"/>
      <w:bookmarkEnd w:id="471"/>
      <w:bookmarkEnd w:id="472"/>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（1）强化各项污染防治设施的落实，尽快安装运行环保设置，确保不发生非正常排放污染事故。</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（2）建立健全环境保护规章制度，设立专职环境保护管理部门，配置必要人员，确保各项污染防治设施稳定高效运行。</w:t>
      </w:r>
    </w:p>
    <w:p>
      <w:pPr>
        <w:keepNext w:val="0"/>
        <w:keepLines w:val="0"/>
        <w:pageBreakBefore w:val="0"/>
        <w:widowControl w:val="0"/>
        <w:shd w:val="clear"/>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rPr>
        <w:t>（3）重视操作工人的培训，提高工人素质，加强对生产工人的劳动保护。</w:t>
      </w:r>
    </w:p>
    <w:bookmarkEnd w:id="473"/>
    <w:sectPr>
      <w:pgSz w:w="11906" w:h="16838"/>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_GB2312">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new times roma">
    <w:altName w:val="Times New Roman"/>
    <w:panose1 w:val="00000000000000000000"/>
    <w:charset w:val="00"/>
    <w:family w:val="roma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none" w:color="auto" w:sz="0" w:space="0"/>
      </w:pBd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jc w:val="center"/>
    </w:pPr>
    <w:r>
      <w:rPr>
        <w:kern w:val="0"/>
      </w:rPr>
      <w:t xml:space="preserve">- </w:t>
    </w:r>
    <w:r>
      <w:rPr>
        <w:kern w:val="0"/>
      </w:rPr>
      <w:fldChar w:fldCharType="begin"/>
    </w:r>
    <w:r>
      <w:rPr>
        <w:kern w:val="0"/>
      </w:rPr>
      <w:instrText xml:space="preserve"> PAGE </w:instrText>
    </w:r>
    <w:r>
      <w:rPr>
        <w:kern w:val="0"/>
      </w:rPr>
      <w:fldChar w:fldCharType="separate"/>
    </w:r>
    <w:r>
      <w:rPr>
        <w:kern w:val="0"/>
      </w:rPr>
      <w:t>33</w:t>
    </w:r>
    <w:r>
      <w:rPr>
        <w:kern w:val="0"/>
      </w:rPr>
      <w:fldChar w:fldCharType="end"/>
    </w:r>
    <w:r>
      <w:rPr>
        <w:kern w:val="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sz w:val="21"/>
      </w:rPr>
      <mc:AlternateContent>
        <mc:Choice Requires="wps">
          <w:drawing>
            <wp:anchor distT="0" distB="0" distL="114300" distR="114300" simplePos="0" relativeHeight="251790336" behindDoc="0" locked="0" layoutInCell="1" allowOverlap="1">
              <wp:simplePos x="0" y="0"/>
              <wp:positionH relativeFrom="margin">
                <wp:posOffset>31115</wp:posOffset>
              </wp:positionH>
              <wp:positionV relativeFrom="paragraph">
                <wp:posOffset>-15240</wp:posOffset>
              </wp:positionV>
              <wp:extent cx="519303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1930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8"/>
                            <w:jc w:val="center"/>
                          </w:pPr>
                          <w:r>
                            <w:t xml:space="preserve">- </w:t>
                          </w:r>
                          <w:r>
                            <w:fldChar w:fldCharType="begin"/>
                          </w:r>
                          <w:r>
                            <w:instrText xml:space="preserve"> PAGE </w:instrText>
                          </w:r>
                          <w:r>
                            <w:fldChar w:fldCharType="separate"/>
                          </w:r>
                          <w:r>
                            <w:t>3</w:t>
                          </w:r>
                          <w:r>
                            <w:fldChar w:fldCharType="end"/>
                          </w:r>
                          <w:r>
                            <w:t xml:space="preserve"> -</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5pt;margin-top:-1.2pt;height:144pt;width:408.9pt;mso-position-horizontal-relative:margin;z-index:251790336;mso-width-relative:page;mso-height-relative:page;" filled="f" stroked="f" coordsize="21600,21600" o:gfxdata="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mvWwz2AAAAAgBAAAPAAAAAAAAAAEAIAAAACIAAABkcnMvZG93&#10;bnJldi54bWxQSwECFAAUAAAACACHTuJAnRYlnDkCAABlBAAADgAAAAAAAAABACAAAAAnAQAAZHJz&#10;L2Uyb0RvYy54bWxQSwUGAAAAAAYABgBZAQAA0gUAAAAA&#10;">
              <v:fill on="f" focussize="0,0"/>
              <v:stroke on="f" weight="0.5pt"/>
              <v:imagedata o:title=""/>
              <o:lock v:ext="edit" aspectratio="f"/>
              <v:textbox inset="0mm,0mm,0mm,0mm" style="mso-fit-shape-to-text:t;">
                <w:txbxContent>
                  <w:p>
                    <w:pPr>
                      <w:pStyle w:val="58"/>
                      <w:jc w:val="center"/>
                    </w:pPr>
                    <w:r>
                      <w:t xml:space="preserve">- </w:t>
                    </w:r>
                    <w:r>
                      <w:fldChar w:fldCharType="begin"/>
                    </w:r>
                    <w:r>
                      <w:instrText xml:space="preserve"> PAGE </w:instrText>
                    </w:r>
                    <w:r>
                      <w:fldChar w:fldCharType="separate"/>
                    </w:r>
                    <w:r>
                      <w:t>3</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sz w:val="21"/>
      </w:rPr>
      <mc:AlternateContent>
        <mc:Choice Requires="wps">
          <w:drawing>
            <wp:anchor distT="0" distB="0" distL="114300" distR="114300" simplePos="0" relativeHeight="251705344" behindDoc="0" locked="0" layoutInCell="1" allowOverlap="1">
              <wp:simplePos x="0" y="0"/>
              <wp:positionH relativeFrom="margin">
                <wp:posOffset>31115</wp:posOffset>
              </wp:positionH>
              <wp:positionV relativeFrom="paragraph">
                <wp:posOffset>-15240</wp:posOffset>
              </wp:positionV>
              <wp:extent cx="519303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51930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8"/>
                            <w:jc w:val="center"/>
                          </w:pPr>
                          <w:r>
                            <w:t xml:space="preserve">- </w:t>
                          </w:r>
                          <w:r>
                            <w:fldChar w:fldCharType="begin"/>
                          </w:r>
                          <w:r>
                            <w:instrText xml:space="preserve"> PAGE </w:instrText>
                          </w:r>
                          <w:r>
                            <w:fldChar w:fldCharType="separate"/>
                          </w:r>
                          <w:r>
                            <w:t>3</w:t>
                          </w:r>
                          <w:r>
                            <w:fldChar w:fldCharType="end"/>
                          </w:r>
                          <w:r>
                            <w:t xml:space="preserve"> -</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5pt;margin-top:-1.2pt;height:144pt;width:408.9pt;mso-position-horizontal-relative:margin;z-index:251705344;mso-width-relative:page;mso-height-relative:page;" filled="f" stroked="f" coordsize="21600,21600" o:gfxdata="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r1sM9gAAAAIAQAADwAAAAAAAAABACAAAAAiAAAAZHJzL2Rv&#10;d25yZXYueG1sUEsBAhQAFAAAAAgAh07iQM1YMk46AgAAZQQAAA4AAAAAAAAAAQAgAAAAJwEAAGRy&#10;cy9lMm9Eb2MueG1sUEsFBgAAAAAGAAYAWQEAANMFAAAAAA==&#10;">
              <v:fill on="f" focussize="0,0"/>
              <v:stroke on="f" weight="0.5pt"/>
              <v:imagedata o:title=""/>
              <o:lock v:ext="edit" aspectratio="f"/>
              <v:textbox inset="0mm,0mm,0mm,0mm" style="mso-fit-shape-to-text:t;">
                <w:txbxContent>
                  <w:p>
                    <w:pPr>
                      <w:pStyle w:val="58"/>
                      <w:jc w:val="center"/>
                    </w:pPr>
                    <w:r>
                      <w:t xml:space="preserve">- </w:t>
                    </w:r>
                    <w:r>
                      <w:fldChar w:fldCharType="begin"/>
                    </w:r>
                    <w:r>
                      <w:instrText xml:space="preserve"> PAGE </w:instrText>
                    </w:r>
                    <w:r>
                      <w:fldChar w:fldCharType="separate"/>
                    </w:r>
                    <w:r>
                      <w:t>3</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jc w:val="left"/>
    </w:pPr>
    <w:r>
      <w:rPr>
        <w:sz w:val="21"/>
      </w:rPr>
      <mc:AlternateContent>
        <mc:Choice Requires="wps">
          <w:drawing>
            <wp:anchor distT="0" distB="0" distL="114300" distR="114300" simplePos="0" relativeHeight="251659264" behindDoc="0" locked="0" layoutInCell="1" allowOverlap="1">
              <wp:simplePos x="0" y="0"/>
              <wp:positionH relativeFrom="margin">
                <wp:posOffset>2493645</wp:posOffset>
              </wp:positionH>
              <wp:positionV relativeFrom="paragraph">
                <wp:posOffset>-23495</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8"/>
                            <w:jc w:val="left"/>
                          </w:pPr>
                          <w:r>
                            <w:t xml:space="preserve">- </w:t>
                          </w:r>
                          <w:r>
                            <w:fldChar w:fldCharType="begin"/>
                          </w:r>
                          <w:r>
                            <w:instrText xml:space="preserve"> PAGE </w:instrText>
                          </w:r>
                          <w:r>
                            <w:fldChar w:fldCharType="separate"/>
                          </w:r>
                          <w:r>
                            <w:t>109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6.35pt;margin-top:-1.85pt;height:144pt;width:144pt;mso-position-horizontal-relative:margin;mso-wrap-style:none;z-index:251659264;mso-width-relative:page;mso-height-relative:page;" filled="f" stroked="f" coordsize="21600,21600" o:gfxdata="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S+EgdcAAAAKAQAADwAAAAAAAAABACAAAAAiAAAAZHJzL2Rvd25yZXYueG1s&#10;UEsBAhQAFAAAAAgAh07iQL2tg+EyAgAAZQQAAA4AAAAAAAAAAQAgAAAAJgEAAGRycy9lMm9Eb2Mu&#10;eG1sUEsFBgAAAAAGAAYAWQEAAMoFAAAAAA==&#10;">
              <v:fill on="f" focussize="0,0"/>
              <v:stroke on="f" weight="0.5pt"/>
              <v:imagedata o:title=""/>
              <o:lock v:ext="edit" aspectratio="f"/>
              <v:textbox inset="0mm,0mm,0mm,0mm" style="mso-fit-shape-to-text:t;">
                <w:txbxContent>
                  <w:p>
                    <w:pPr>
                      <w:pStyle w:val="58"/>
                      <w:jc w:val="left"/>
                    </w:pPr>
                    <w:r>
                      <w:t xml:space="preserve">- </w:t>
                    </w:r>
                    <w:r>
                      <w:fldChar w:fldCharType="begin"/>
                    </w:r>
                    <w:r>
                      <w:instrText xml:space="preserve"> PAGE </w:instrText>
                    </w:r>
                    <w:r>
                      <w:fldChar w:fldCharType="separate"/>
                    </w:r>
                    <w:r>
                      <w:t>109</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Style w:val="95"/>
      </w:rPr>
    </w:pPr>
    <w:r>
      <w:rPr>
        <w:rStyle w:val="95"/>
      </w:rPr>
      <w:fldChar w:fldCharType="begin"/>
    </w:r>
    <w:r>
      <w:rPr>
        <w:rStyle w:val="95"/>
      </w:rPr>
      <w:instrText xml:space="preserve">PAGE  </w:instrText>
    </w:r>
    <w:r>
      <w:rPr>
        <w:rStyle w:val="95"/>
      </w:rPr>
      <w:fldChar w:fldCharType="separate"/>
    </w:r>
    <w:r>
      <w:rPr>
        <w:rStyle w:val="95"/>
      </w:rPr>
      <w:t>9</w:t>
    </w:r>
    <w:r>
      <w:rPr>
        <w:rStyle w:val="95"/>
      </w:rPr>
      <w:fldChar w:fldCharType="end"/>
    </w:r>
  </w:p>
  <w:p>
    <w:pPr>
      <w:pStyle w:val="5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rFonts w:hint="eastAsia" w:eastAsia="黑体"/>
        <w:sz w:val="18"/>
        <w:szCs w:val="18"/>
        <w:lang w:eastAsia="zh-CN"/>
      </w:rPr>
    </w:pPr>
    <w:r>
      <w:rPr>
        <w:rFonts w:hint="eastAsia"/>
        <w:sz w:val="18"/>
        <w:szCs w:val="18"/>
        <w:lang w:eastAsia="zh-CN"/>
      </w:rPr>
      <w:t>内蒙古华伟泽农业有限公司</w:t>
    </w:r>
    <w:r>
      <w:rPr>
        <w:rFonts w:hint="eastAsia"/>
        <w:sz w:val="18"/>
        <w:szCs w:val="18"/>
        <w:lang w:val="en-US" w:eastAsia="zh-CN"/>
      </w:rPr>
      <w:t>建设项目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rPr>
        <w:sz w:val="18"/>
        <w:szCs w:val="18"/>
      </w:rPr>
    </w:pPr>
    <w:r>
      <w:rPr>
        <w:rFonts w:hint="eastAsia" w:ascii="宋体" w:hAnsi="宋体" w:eastAsia="宋体" w:cs="宋体"/>
        <w:sz w:val="18"/>
        <w:szCs w:val="18"/>
      </w:rPr>
      <w:t>内蒙古华伟泽农业有限公司高新滴灌带（管）、PE管材管件、地膜、再生资源回收利用建设项目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F2990"/>
    <w:multiLevelType w:val="multilevel"/>
    <w:tmpl w:val="16DF2990"/>
    <w:lvl w:ilvl="0" w:tentative="0">
      <w:start w:val="1"/>
      <w:numFmt w:val="decimal"/>
      <w:lvlText w:val="%1"/>
      <w:lvlJc w:val="left"/>
      <w:pPr>
        <w:tabs>
          <w:tab w:val="left" w:pos="942"/>
        </w:tabs>
        <w:ind w:left="942" w:hanging="432"/>
      </w:pPr>
    </w:lvl>
    <w:lvl w:ilvl="1" w:tentative="0">
      <w:start w:val="1"/>
      <w:numFmt w:val="decimal"/>
      <w:lvlText w:val="%1.%2"/>
      <w:lvlJc w:val="left"/>
      <w:pPr>
        <w:tabs>
          <w:tab w:val="left" w:pos="1086"/>
        </w:tabs>
        <w:ind w:left="1086" w:hanging="576"/>
      </w:pPr>
    </w:lvl>
    <w:lvl w:ilvl="2" w:tentative="0">
      <w:start w:val="1"/>
      <w:numFmt w:val="decimal"/>
      <w:lvlText w:val="%1.%2.%3"/>
      <w:lvlJc w:val="left"/>
      <w:pPr>
        <w:tabs>
          <w:tab w:val="left" w:pos="1230"/>
        </w:tabs>
        <w:ind w:left="1230" w:hanging="720"/>
      </w:pPr>
      <w:rPr>
        <w:color w:val="auto"/>
      </w:rPr>
    </w:lvl>
    <w:lvl w:ilvl="3" w:tentative="0">
      <w:start w:val="1"/>
      <w:numFmt w:val="decimal"/>
      <w:pStyle w:val="119"/>
      <w:lvlText w:val="%1.%2.%3.%4"/>
      <w:lvlJc w:val="left"/>
      <w:pPr>
        <w:tabs>
          <w:tab w:val="left" w:pos="1944"/>
        </w:tabs>
        <w:ind w:left="1944" w:hanging="864"/>
      </w:pPr>
    </w:lvl>
    <w:lvl w:ilvl="4" w:tentative="0">
      <w:start w:val="1"/>
      <w:numFmt w:val="decimal"/>
      <w:lvlText w:val="%1.%2.%3.%4.%5"/>
      <w:lvlJc w:val="left"/>
      <w:pPr>
        <w:tabs>
          <w:tab w:val="left" w:pos="1518"/>
        </w:tabs>
        <w:ind w:left="1518" w:hanging="1008"/>
      </w:pPr>
    </w:lvl>
    <w:lvl w:ilvl="5" w:tentative="0">
      <w:start w:val="1"/>
      <w:numFmt w:val="decimal"/>
      <w:lvlText w:val="%1.%2.%3.%4.%5.%6"/>
      <w:lvlJc w:val="left"/>
      <w:pPr>
        <w:tabs>
          <w:tab w:val="left" w:pos="1662"/>
        </w:tabs>
        <w:ind w:left="1662" w:hanging="1152"/>
      </w:pPr>
    </w:lvl>
    <w:lvl w:ilvl="6" w:tentative="0">
      <w:start w:val="1"/>
      <w:numFmt w:val="decimal"/>
      <w:lvlText w:val="%1.%2.%3.%4.%5.%6.%7"/>
      <w:lvlJc w:val="left"/>
      <w:pPr>
        <w:tabs>
          <w:tab w:val="left" w:pos="1806"/>
        </w:tabs>
        <w:ind w:left="1806" w:hanging="1296"/>
      </w:pPr>
    </w:lvl>
    <w:lvl w:ilvl="7" w:tentative="0">
      <w:start w:val="1"/>
      <w:numFmt w:val="decimal"/>
      <w:lvlText w:val="%1.%2.%3.%4.%5.%6.%7.%8"/>
      <w:lvlJc w:val="left"/>
      <w:pPr>
        <w:tabs>
          <w:tab w:val="left" w:pos="1950"/>
        </w:tabs>
        <w:ind w:left="1950" w:hanging="1440"/>
      </w:pPr>
    </w:lvl>
    <w:lvl w:ilvl="8" w:tentative="0">
      <w:start w:val="1"/>
      <w:numFmt w:val="decimal"/>
      <w:lvlText w:val="%1.%2.%3.%4.%5.%6.%7.%8.%9"/>
      <w:lvlJc w:val="left"/>
      <w:pPr>
        <w:tabs>
          <w:tab w:val="left" w:pos="2094"/>
        </w:tabs>
        <w:ind w:left="2094" w:hanging="1584"/>
      </w:pPr>
    </w:lvl>
  </w:abstractNum>
  <w:abstractNum w:abstractNumId="1">
    <w:nsid w:val="52CC2667"/>
    <w:multiLevelType w:val="multilevel"/>
    <w:tmpl w:val="52CC2667"/>
    <w:lvl w:ilvl="0" w:tentative="0">
      <w:start w:val="1"/>
      <w:numFmt w:val="decimal"/>
      <w:pStyle w:val="227"/>
      <w:lvlText w:val="%1.0"/>
      <w:lvlJc w:val="left"/>
      <w:pPr>
        <w:tabs>
          <w:tab w:val="left" w:pos="1107"/>
        </w:tabs>
        <w:ind w:left="1107" w:hanging="567"/>
      </w:pPr>
    </w:lvl>
    <w:lvl w:ilvl="1" w:tentative="0">
      <w:start w:val="2"/>
      <w:numFmt w:val="decimal"/>
      <w:lvlText w:val="%1.%2"/>
      <w:lvlJc w:val="left"/>
      <w:pPr>
        <w:tabs>
          <w:tab w:val="left" w:pos="1077"/>
        </w:tabs>
        <w:ind w:left="1077" w:hanging="1077"/>
      </w:pPr>
      <w:rPr>
        <w:rFonts w:hint="default" w:ascii="Arial" w:hAnsi="Arial" w:cs="Times New Roman"/>
        <w:b/>
        <w:i w:val="0"/>
        <w:sz w:val="22"/>
      </w:rPr>
    </w:lvl>
    <w:lvl w:ilvl="2" w:tentative="0">
      <w:start w:val="1"/>
      <w:numFmt w:val="decimal"/>
      <w:lvlText w:val="%1.%2.%3"/>
      <w:lvlJc w:val="left"/>
      <w:pPr>
        <w:tabs>
          <w:tab w:val="left" w:pos="1211"/>
        </w:tabs>
        <w:ind w:left="1607" w:hanging="1247"/>
      </w:pPr>
    </w:lvl>
    <w:lvl w:ilvl="3" w:tentative="0">
      <w:start w:val="1"/>
      <w:numFmt w:val="decimal"/>
      <w:lvlText w:val="%1.%2.%3.%4"/>
      <w:lvlJc w:val="left"/>
      <w:pPr>
        <w:tabs>
          <w:tab w:val="left" w:pos="1077"/>
        </w:tabs>
        <w:ind w:left="1077" w:hanging="1077"/>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0"/>
  </w:num>
  <w:num w:numId="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mODk5MjE0Njk3ZjFjZjNjNmEyMzdhZjIzMjhjNjAifQ=="/>
  </w:docVars>
  <w:rsids>
    <w:rsidRoot w:val="006E4AF9"/>
    <w:rsid w:val="0000003D"/>
    <w:rsid w:val="00000350"/>
    <w:rsid w:val="00000479"/>
    <w:rsid w:val="000007C0"/>
    <w:rsid w:val="0000083E"/>
    <w:rsid w:val="0000098D"/>
    <w:rsid w:val="00000E6A"/>
    <w:rsid w:val="000011E1"/>
    <w:rsid w:val="000011EC"/>
    <w:rsid w:val="0000181E"/>
    <w:rsid w:val="000019CC"/>
    <w:rsid w:val="00001D2F"/>
    <w:rsid w:val="00002306"/>
    <w:rsid w:val="000023A1"/>
    <w:rsid w:val="000023AE"/>
    <w:rsid w:val="00002B5E"/>
    <w:rsid w:val="00002D79"/>
    <w:rsid w:val="00002EB8"/>
    <w:rsid w:val="000030A6"/>
    <w:rsid w:val="00003285"/>
    <w:rsid w:val="00003A22"/>
    <w:rsid w:val="00003CD1"/>
    <w:rsid w:val="00003D0B"/>
    <w:rsid w:val="00004372"/>
    <w:rsid w:val="0000444A"/>
    <w:rsid w:val="000049C3"/>
    <w:rsid w:val="00004C26"/>
    <w:rsid w:val="00004D49"/>
    <w:rsid w:val="0000508E"/>
    <w:rsid w:val="000059D7"/>
    <w:rsid w:val="00005EC8"/>
    <w:rsid w:val="00006014"/>
    <w:rsid w:val="00006181"/>
    <w:rsid w:val="00006651"/>
    <w:rsid w:val="00006AED"/>
    <w:rsid w:val="00006B90"/>
    <w:rsid w:val="00006C96"/>
    <w:rsid w:val="00006E01"/>
    <w:rsid w:val="00006F61"/>
    <w:rsid w:val="00006FC5"/>
    <w:rsid w:val="000073E9"/>
    <w:rsid w:val="00007631"/>
    <w:rsid w:val="00007648"/>
    <w:rsid w:val="00007800"/>
    <w:rsid w:val="00007ED6"/>
    <w:rsid w:val="00010606"/>
    <w:rsid w:val="000107AF"/>
    <w:rsid w:val="00010C69"/>
    <w:rsid w:val="00011751"/>
    <w:rsid w:val="00011865"/>
    <w:rsid w:val="0001190B"/>
    <w:rsid w:val="00011A9C"/>
    <w:rsid w:val="00011F16"/>
    <w:rsid w:val="0001261C"/>
    <w:rsid w:val="00012B69"/>
    <w:rsid w:val="000130D5"/>
    <w:rsid w:val="00013456"/>
    <w:rsid w:val="000134AE"/>
    <w:rsid w:val="000137A4"/>
    <w:rsid w:val="000139C2"/>
    <w:rsid w:val="00013E7B"/>
    <w:rsid w:val="000143F9"/>
    <w:rsid w:val="000148D8"/>
    <w:rsid w:val="00014C98"/>
    <w:rsid w:val="00014E93"/>
    <w:rsid w:val="00014E9F"/>
    <w:rsid w:val="0001589E"/>
    <w:rsid w:val="00015929"/>
    <w:rsid w:val="000164F3"/>
    <w:rsid w:val="00016A4B"/>
    <w:rsid w:val="00016E43"/>
    <w:rsid w:val="00016E8D"/>
    <w:rsid w:val="000174BC"/>
    <w:rsid w:val="00017562"/>
    <w:rsid w:val="0001776D"/>
    <w:rsid w:val="000178F6"/>
    <w:rsid w:val="00017AE2"/>
    <w:rsid w:val="00017AE6"/>
    <w:rsid w:val="00017C8B"/>
    <w:rsid w:val="000202F2"/>
    <w:rsid w:val="000207BC"/>
    <w:rsid w:val="00020D62"/>
    <w:rsid w:val="00020DA3"/>
    <w:rsid w:val="00020FBA"/>
    <w:rsid w:val="00021510"/>
    <w:rsid w:val="000215F2"/>
    <w:rsid w:val="000217E5"/>
    <w:rsid w:val="00021901"/>
    <w:rsid w:val="00021925"/>
    <w:rsid w:val="00021AB9"/>
    <w:rsid w:val="00021B56"/>
    <w:rsid w:val="00021CD9"/>
    <w:rsid w:val="00022B2D"/>
    <w:rsid w:val="00023031"/>
    <w:rsid w:val="00023772"/>
    <w:rsid w:val="00023897"/>
    <w:rsid w:val="00023A3A"/>
    <w:rsid w:val="0002428E"/>
    <w:rsid w:val="000244CA"/>
    <w:rsid w:val="00024B13"/>
    <w:rsid w:val="0002531A"/>
    <w:rsid w:val="000256F9"/>
    <w:rsid w:val="00025BDB"/>
    <w:rsid w:val="00025E8A"/>
    <w:rsid w:val="000261F4"/>
    <w:rsid w:val="00026B73"/>
    <w:rsid w:val="00026E23"/>
    <w:rsid w:val="000273F2"/>
    <w:rsid w:val="0002790E"/>
    <w:rsid w:val="00027A7F"/>
    <w:rsid w:val="00027C83"/>
    <w:rsid w:val="00027F0F"/>
    <w:rsid w:val="000301EB"/>
    <w:rsid w:val="0003116D"/>
    <w:rsid w:val="000313B0"/>
    <w:rsid w:val="000317ED"/>
    <w:rsid w:val="0003189B"/>
    <w:rsid w:val="00031A11"/>
    <w:rsid w:val="00031FE6"/>
    <w:rsid w:val="00032038"/>
    <w:rsid w:val="00032173"/>
    <w:rsid w:val="000324A2"/>
    <w:rsid w:val="000327B3"/>
    <w:rsid w:val="00032E7A"/>
    <w:rsid w:val="000333FA"/>
    <w:rsid w:val="00033559"/>
    <w:rsid w:val="000338DC"/>
    <w:rsid w:val="00033C55"/>
    <w:rsid w:val="000340BC"/>
    <w:rsid w:val="000340D8"/>
    <w:rsid w:val="000341E9"/>
    <w:rsid w:val="0003431D"/>
    <w:rsid w:val="000344B3"/>
    <w:rsid w:val="000345B6"/>
    <w:rsid w:val="0003464B"/>
    <w:rsid w:val="00034903"/>
    <w:rsid w:val="00034F41"/>
    <w:rsid w:val="00035230"/>
    <w:rsid w:val="000364BD"/>
    <w:rsid w:val="000369A8"/>
    <w:rsid w:val="000369C0"/>
    <w:rsid w:val="00036A08"/>
    <w:rsid w:val="00036C96"/>
    <w:rsid w:val="00036FF5"/>
    <w:rsid w:val="0003709F"/>
    <w:rsid w:val="00037942"/>
    <w:rsid w:val="00037C6A"/>
    <w:rsid w:val="00037FD8"/>
    <w:rsid w:val="0004033F"/>
    <w:rsid w:val="000404E1"/>
    <w:rsid w:val="000406D2"/>
    <w:rsid w:val="000408E3"/>
    <w:rsid w:val="00040E25"/>
    <w:rsid w:val="000415D7"/>
    <w:rsid w:val="00041B46"/>
    <w:rsid w:val="00041D73"/>
    <w:rsid w:val="000422BE"/>
    <w:rsid w:val="000423FC"/>
    <w:rsid w:val="00042764"/>
    <w:rsid w:val="00042A8E"/>
    <w:rsid w:val="00042AAA"/>
    <w:rsid w:val="00042AB5"/>
    <w:rsid w:val="00042FF0"/>
    <w:rsid w:val="0004306F"/>
    <w:rsid w:val="0004307B"/>
    <w:rsid w:val="00043547"/>
    <w:rsid w:val="00043610"/>
    <w:rsid w:val="00043A92"/>
    <w:rsid w:val="00043C38"/>
    <w:rsid w:val="0004420A"/>
    <w:rsid w:val="0004421A"/>
    <w:rsid w:val="0004459D"/>
    <w:rsid w:val="00044B66"/>
    <w:rsid w:val="00044FA7"/>
    <w:rsid w:val="00044FD2"/>
    <w:rsid w:val="00045051"/>
    <w:rsid w:val="00045096"/>
    <w:rsid w:val="00045874"/>
    <w:rsid w:val="00045B0C"/>
    <w:rsid w:val="00045E3F"/>
    <w:rsid w:val="00045E96"/>
    <w:rsid w:val="00045EE9"/>
    <w:rsid w:val="00046758"/>
    <w:rsid w:val="00046795"/>
    <w:rsid w:val="00046BFC"/>
    <w:rsid w:val="00046C65"/>
    <w:rsid w:val="00046C6D"/>
    <w:rsid w:val="00046FDF"/>
    <w:rsid w:val="000471FF"/>
    <w:rsid w:val="0004783A"/>
    <w:rsid w:val="000479B3"/>
    <w:rsid w:val="00047B8E"/>
    <w:rsid w:val="00047CA2"/>
    <w:rsid w:val="00047D8C"/>
    <w:rsid w:val="000503E1"/>
    <w:rsid w:val="00050751"/>
    <w:rsid w:val="00050A6B"/>
    <w:rsid w:val="00050BF4"/>
    <w:rsid w:val="00051876"/>
    <w:rsid w:val="0005213D"/>
    <w:rsid w:val="0005237C"/>
    <w:rsid w:val="00052587"/>
    <w:rsid w:val="0005259A"/>
    <w:rsid w:val="00052831"/>
    <w:rsid w:val="00052A47"/>
    <w:rsid w:val="00052B65"/>
    <w:rsid w:val="00052C25"/>
    <w:rsid w:val="0005372E"/>
    <w:rsid w:val="00053735"/>
    <w:rsid w:val="000538E0"/>
    <w:rsid w:val="00053BDC"/>
    <w:rsid w:val="0005417B"/>
    <w:rsid w:val="00054442"/>
    <w:rsid w:val="00054A43"/>
    <w:rsid w:val="00054CCA"/>
    <w:rsid w:val="00054FBA"/>
    <w:rsid w:val="00055490"/>
    <w:rsid w:val="00055A2A"/>
    <w:rsid w:val="0005607B"/>
    <w:rsid w:val="00056598"/>
    <w:rsid w:val="000567A3"/>
    <w:rsid w:val="00056C2C"/>
    <w:rsid w:val="00056F12"/>
    <w:rsid w:val="00057090"/>
    <w:rsid w:val="00057722"/>
    <w:rsid w:val="00057816"/>
    <w:rsid w:val="00057CC0"/>
    <w:rsid w:val="00057CD8"/>
    <w:rsid w:val="00057DB0"/>
    <w:rsid w:val="000603B0"/>
    <w:rsid w:val="00060531"/>
    <w:rsid w:val="000605DE"/>
    <w:rsid w:val="00060B31"/>
    <w:rsid w:val="00060B8B"/>
    <w:rsid w:val="00060D2A"/>
    <w:rsid w:val="000614E1"/>
    <w:rsid w:val="0006171F"/>
    <w:rsid w:val="00061B15"/>
    <w:rsid w:val="0006208F"/>
    <w:rsid w:val="000620D2"/>
    <w:rsid w:val="00062787"/>
    <w:rsid w:val="00062F27"/>
    <w:rsid w:val="00063138"/>
    <w:rsid w:val="0006358B"/>
    <w:rsid w:val="00063D72"/>
    <w:rsid w:val="00063F0B"/>
    <w:rsid w:val="00063F0F"/>
    <w:rsid w:val="00063F72"/>
    <w:rsid w:val="000640A8"/>
    <w:rsid w:val="000649E4"/>
    <w:rsid w:val="00064C47"/>
    <w:rsid w:val="00064CB8"/>
    <w:rsid w:val="00064DFD"/>
    <w:rsid w:val="00064E96"/>
    <w:rsid w:val="0006540B"/>
    <w:rsid w:val="000656F1"/>
    <w:rsid w:val="00065729"/>
    <w:rsid w:val="00065D7B"/>
    <w:rsid w:val="00065E40"/>
    <w:rsid w:val="00065E52"/>
    <w:rsid w:val="000660EA"/>
    <w:rsid w:val="00066443"/>
    <w:rsid w:val="000669D3"/>
    <w:rsid w:val="00066BB1"/>
    <w:rsid w:val="00067194"/>
    <w:rsid w:val="0006722F"/>
    <w:rsid w:val="0006728F"/>
    <w:rsid w:val="0006729C"/>
    <w:rsid w:val="000675CB"/>
    <w:rsid w:val="0006773C"/>
    <w:rsid w:val="00067A2D"/>
    <w:rsid w:val="000700A9"/>
    <w:rsid w:val="00070188"/>
    <w:rsid w:val="00070B0E"/>
    <w:rsid w:val="00070E32"/>
    <w:rsid w:val="00070FDA"/>
    <w:rsid w:val="0007100B"/>
    <w:rsid w:val="00071037"/>
    <w:rsid w:val="00071915"/>
    <w:rsid w:val="000719A6"/>
    <w:rsid w:val="00071C48"/>
    <w:rsid w:val="00072061"/>
    <w:rsid w:val="0007277F"/>
    <w:rsid w:val="00072A93"/>
    <w:rsid w:val="00073079"/>
    <w:rsid w:val="000730A4"/>
    <w:rsid w:val="0007311A"/>
    <w:rsid w:val="00073D20"/>
    <w:rsid w:val="00073EAF"/>
    <w:rsid w:val="0007426C"/>
    <w:rsid w:val="000742B2"/>
    <w:rsid w:val="00074CCF"/>
    <w:rsid w:val="00074D3F"/>
    <w:rsid w:val="00075D08"/>
    <w:rsid w:val="00076430"/>
    <w:rsid w:val="00076484"/>
    <w:rsid w:val="0007687F"/>
    <w:rsid w:val="0007693E"/>
    <w:rsid w:val="00076EB4"/>
    <w:rsid w:val="000771DD"/>
    <w:rsid w:val="0007732A"/>
    <w:rsid w:val="000774BB"/>
    <w:rsid w:val="0007751B"/>
    <w:rsid w:val="00080723"/>
    <w:rsid w:val="00080C55"/>
    <w:rsid w:val="00081077"/>
    <w:rsid w:val="00081A2B"/>
    <w:rsid w:val="000820D6"/>
    <w:rsid w:val="000822A5"/>
    <w:rsid w:val="00082497"/>
    <w:rsid w:val="00082603"/>
    <w:rsid w:val="00082949"/>
    <w:rsid w:val="000831C7"/>
    <w:rsid w:val="0008398E"/>
    <w:rsid w:val="00083BA4"/>
    <w:rsid w:val="00083CC2"/>
    <w:rsid w:val="00084159"/>
    <w:rsid w:val="000847B5"/>
    <w:rsid w:val="00084956"/>
    <w:rsid w:val="00084B91"/>
    <w:rsid w:val="00084FA3"/>
    <w:rsid w:val="00085AE4"/>
    <w:rsid w:val="00086015"/>
    <w:rsid w:val="000867A0"/>
    <w:rsid w:val="00086C2F"/>
    <w:rsid w:val="00086FBE"/>
    <w:rsid w:val="00087288"/>
    <w:rsid w:val="00087354"/>
    <w:rsid w:val="00087901"/>
    <w:rsid w:val="00087DE4"/>
    <w:rsid w:val="00090170"/>
    <w:rsid w:val="000908A9"/>
    <w:rsid w:val="00090B4E"/>
    <w:rsid w:val="00090DD9"/>
    <w:rsid w:val="0009104A"/>
    <w:rsid w:val="00091BE2"/>
    <w:rsid w:val="000920B8"/>
    <w:rsid w:val="0009236C"/>
    <w:rsid w:val="00092681"/>
    <w:rsid w:val="000928A4"/>
    <w:rsid w:val="00092E9D"/>
    <w:rsid w:val="0009368A"/>
    <w:rsid w:val="00093B5B"/>
    <w:rsid w:val="00093CDD"/>
    <w:rsid w:val="00094388"/>
    <w:rsid w:val="00094405"/>
    <w:rsid w:val="0009474F"/>
    <w:rsid w:val="00094C99"/>
    <w:rsid w:val="000953D0"/>
    <w:rsid w:val="00095520"/>
    <w:rsid w:val="00095B0C"/>
    <w:rsid w:val="00095D77"/>
    <w:rsid w:val="0009668A"/>
    <w:rsid w:val="000967AC"/>
    <w:rsid w:val="00096DED"/>
    <w:rsid w:val="000971F1"/>
    <w:rsid w:val="0009737F"/>
    <w:rsid w:val="00097FAD"/>
    <w:rsid w:val="000A061F"/>
    <w:rsid w:val="000A0DED"/>
    <w:rsid w:val="000A101E"/>
    <w:rsid w:val="000A1550"/>
    <w:rsid w:val="000A16DA"/>
    <w:rsid w:val="000A1726"/>
    <w:rsid w:val="000A1E02"/>
    <w:rsid w:val="000A1FFD"/>
    <w:rsid w:val="000A20C6"/>
    <w:rsid w:val="000A21C3"/>
    <w:rsid w:val="000A29C5"/>
    <w:rsid w:val="000A30C8"/>
    <w:rsid w:val="000A31CA"/>
    <w:rsid w:val="000A3EF4"/>
    <w:rsid w:val="000A4470"/>
    <w:rsid w:val="000A466E"/>
    <w:rsid w:val="000A46AB"/>
    <w:rsid w:val="000A4984"/>
    <w:rsid w:val="000A4B8D"/>
    <w:rsid w:val="000A4C33"/>
    <w:rsid w:val="000A5137"/>
    <w:rsid w:val="000A5A72"/>
    <w:rsid w:val="000A5BB6"/>
    <w:rsid w:val="000A6048"/>
    <w:rsid w:val="000A60ED"/>
    <w:rsid w:val="000A615F"/>
    <w:rsid w:val="000A6244"/>
    <w:rsid w:val="000A641D"/>
    <w:rsid w:val="000A6B17"/>
    <w:rsid w:val="000A6C42"/>
    <w:rsid w:val="000A70C5"/>
    <w:rsid w:val="000A70FC"/>
    <w:rsid w:val="000A7428"/>
    <w:rsid w:val="000A748B"/>
    <w:rsid w:val="000A7513"/>
    <w:rsid w:val="000A7AD8"/>
    <w:rsid w:val="000B0068"/>
    <w:rsid w:val="000B01E1"/>
    <w:rsid w:val="000B0205"/>
    <w:rsid w:val="000B0BA1"/>
    <w:rsid w:val="000B0C5A"/>
    <w:rsid w:val="000B0E70"/>
    <w:rsid w:val="000B0FB8"/>
    <w:rsid w:val="000B108E"/>
    <w:rsid w:val="000B10F7"/>
    <w:rsid w:val="000B183E"/>
    <w:rsid w:val="000B233C"/>
    <w:rsid w:val="000B239A"/>
    <w:rsid w:val="000B2628"/>
    <w:rsid w:val="000B271D"/>
    <w:rsid w:val="000B2FDB"/>
    <w:rsid w:val="000B3388"/>
    <w:rsid w:val="000B338F"/>
    <w:rsid w:val="000B35F7"/>
    <w:rsid w:val="000B4019"/>
    <w:rsid w:val="000B4239"/>
    <w:rsid w:val="000B4868"/>
    <w:rsid w:val="000B488D"/>
    <w:rsid w:val="000B495D"/>
    <w:rsid w:val="000B4B1F"/>
    <w:rsid w:val="000B4B2A"/>
    <w:rsid w:val="000B4C8B"/>
    <w:rsid w:val="000B4CF2"/>
    <w:rsid w:val="000B4DB0"/>
    <w:rsid w:val="000B4ED5"/>
    <w:rsid w:val="000B528B"/>
    <w:rsid w:val="000B5426"/>
    <w:rsid w:val="000B5593"/>
    <w:rsid w:val="000B5900"/>
    <w:rsid w:val="000B5BBD"/>
    <w:rsid w:val="000B5EB7"/>
    <w:rsid w:val="000B5F2C"/>
    <w:rsid w:val="000B6352"/>
    <w:rsid w:val="000B6537"/>
    <w:rsid w:val="000B6610"/>
    <w:rsid w:val="000B672F"/>
    <w:rsid w:val="000B6904"/>
    <w:rsid w:val="000B6B17"/>
    <w:rsid w:val="000B6CF1"/>
    <w:rsid w:val="000B7023"/>
    <w:rsid w:val="000B708D"/>
    <w:rsid w:val="000B7915"/>
    <w:rsid w:val="000B7C6B"/>
    <w:rsid w:val="000B7CBF"/>
    <w:rsid w:val="000B7FAD"/>
    <w:rsid w:val="000C0973"/>
    <w:rsid w:val="000C0ADF"/>
    <w:rsid w:val="000C14DD"/>
    <w:rsid w:val="000C1751"/>
    <w:rsid w:val="000C17BB"/>
    <w:rsid w:val="000C18C8"/>
    <w:rsid w:val="000C1D97"/>
    <w:rsid w:val="000C204A"/>
    <w:rsid w:val="000C2135"/>
    <w:rsid w:val="000C266E"/>
    <w:rsid w:val="000C2B38"/>
    <w:rsid w:val="000C2B50"/>
    <w:rsid w:val="000C31E6"/>
    <w:rsid w:val="000C3604"/>
    <w:rsid w:val="000C36A9"/>
    <w:rsid w:val="000C3713"/>
    <w:rsid w:val="000C3947"/>
    <w:rsid w:val="000C3956"/>
    <w:rsid w:val="000C3BE6"/>
    <w:rsid w:val="000C3CE8"/>
    <w:rsid w:val="000C3FEF"/>
    <w:rsid w:val="000C4191"/>
    <w:rsid w:val="000C4244"/>
    <w:rsid w:val="000C4D9E"/>
    <w:rsid w:val="000C5001"/>
    <w:rsid w:val="000C5049"/>
    <w:rsid w:val="000C534A"/>
    <w:rsid w:val="000C5393"/>
    <w:rsid w:val="000C5AF5"/>
    <w:rsid w:val="000C5D22"/>
    <w:rsid w:val="000C6131"/>
    <w:rsid w:val="000C6881"/>
    <w:rsid w:val="000C6CF2"/>
    <w:rsid w:val="000C6ED4"/>
    <w:rsid w:val="000C71DA"/>
    <w:rsid w:val="000C7473"/>
    <w:rsid w:val="000C7858"/>
    <w:rsid w:val="000C78FF"/>
    <w:rsid w:val="000C7C29"/>
    <w:rsid w:val="000C7C87"/>
    <w:rsid w:val="000C7E36"/>
    <w:rsid w:val="000D0203"/>
    <w:rsid w:val="000D063F"/>
    <w:rsid w:val="000D185D"/>
    <w:rsid w:val="000D1EB3"/>
    <w:rsid w:val="000D1EF4"/>
    <w:rsid w:val="000D209D"/>
    <w:rsid w:val="000D2BE7"/>
    <w:rsid w:val="000D2C43"/>
    <w:rsid w:val="000D2E5D"/>
    <w:rsid w:val="000D2FB5"/>
    <w:rsid w:val="000D363B"/>
    <w:rsid w:val="000D37B9"/>
    <w:rsid w:val="000D3E06"/>
    <w:rsid w:val="000D4002"/>
    <w:rsid w:val="000D407D"/>
    <w:rsid w:val="000D43AC"/>
    <w:rsid w:val="000D45A5"/>
    <w:rsid w:val="000D4997"/>
    <w:rsid w:val="000D4CE8"/>
    <w:rsid w:val="000D52CB"/>
    <w:rsid w:val="000D5312"/>
    <w:rsid w:val="000D537A"/>
    <w:rsid w:val="000D5BBB"/>
    <w:rsid w:val="000D5C70"/>
    <w:rsid w:val="000D5DCA"/>
    <w:rsid w:val="000D5ED8"/>
    <w:rsid w:val="000D623A"/>
    <w:rsid w:val="000D68D6"/>
    <w:rsid w:val="000D6B0D"/>
    <w:rsid w:val="000D6C45"/>
    <w:rsid w:val="000D6E6B"/>
    <w:rsid w:val="000D6F0E"/>
    <w:rsid w:val="000D7548"/>
    <w:rsid w:val="000D77F0"/>
    <w:rsid w:val="000D79B8"/>
    <w:rsid w:val="000D7E47"/>
    <w:rsid w:val="000E00EC"/>
    <w:rsid w:val="000E0409"/>
    <w:rsid w:val="000E06B8"/>
    <w:rsid w:val="000E0715"/>
    <w:rsid w:val="000E0A5E"/>
    <w:rsid w:val="000E0BD6"/>
    <w:rsid w:val="000E0FD5"/>
    <w:rsid w:val="000E1426"/>
    <w:rsid w:val="000E1CEB"/>
    <w:rsid w:val="000E25DC"/>
    <w:rsid w:val="000E2A44"/>
    <w:rsid w:val="000E3AD6"/>
    <w:rsid w:val="000E3BC3"/>
    <w:rsid w:val="000E4345"/>
    <w:rsid w:val="000E4572"/>
    <w:rsid w:val="000E46D1"/>
    <w:rsid w:val="000E470E"/>
    <w:rsid w:val="000E5514"/>
    <w:rsid w:val="000E5979"/>
    <w:rsid w:val="000E59A8"/>
    <w:rsid w:val="000E5B91"/>
    <w:rsid w:val="000E5D31"/>
    <w:rsid w:val="000E627F"/>
    <w:rsid w:val="000E6379"/>
    <w:rsid w:val="000E69AC"/>
    <w:rsid w:val="000E7648"/>
    <w:rsid w:val="000E774A"/>
    <w:rsid w:val="000E7D0F"/>
    <w:rsid w:val="000E7ED6"/>
    <w:rsid w:val="000F16ED"/>
    <w:rsid w:val="000F1959"/>
    <w:rsid w:val="000F1AC3"/>
    <w:rsid w:val="000F2411"/>
    <w:rsid w:val="000F2A3E"/>
    <w:rsid w:val="000F2ADF"/>
    <w:rsid w:val="000F2BDE"/>
    <w:rsid w:val="000F34B9"/>
    <w:rsid w:val="000F44D0"/>
    <w:rsid w:val="000F4633"/>
    <w:rsid w:val="000F47B2"/>
    <w:rsid w:val="000F4808"/>
    <w:rsid w:val="000F495B"/>
    <w:rsid w:val="000F4AAB"/>
    <w:rsid w:val="000F4D2F"/>
    <w:rsid w:val="000F5121"/>
    <w:rsid w:val="000F5628"/>
    <w:rsid w:val="000F5775"/>
    <w:rsid w:val="000F5A17"/>
    <w:rsid w:val="000F5A2B"/>
    <w:rsid w:val="000F626A"/>
    <w:rsid w:val="000F6997"/>
    <w:rsid w:val="000F6AAB"/>
    <w:rsid w:val="000F6B6C"/>
    <w:rsid w:val="000F6D34"/>
    <w:rsid w:val="000F6F5E"/>
    <w:rsid w:val="000F6F97"/>
    <w:rsid w:val="000F764A"/>
    <w:rsid w:val="000F7D3B"/>
    <w:rsid w:val="001001D2"/>
    <w:rsid w:val="0010098C"/>
    <w:rsid w:val="001009B5"/>
    <w:rsid w:val="00100A75"/>
    <w:rsid w:val="00100B49"/>
    <w:rsid w:val="00100B62"/>
    <w:rsid w:val="00100DED"/>
    <w:rsid w:val="00101C35"/>
    <w:rsid w:val="0010220D"/>
    <w:rsid w:val="00102580"/>
    <w:rsid w:val="00102651"/>
    <w:rsid w:val="00102833"/>
    <w:rsid w:val="00102850"/>
    <w:rsid w:val="00102C53"/>
    <w:rsid w:val="001037AE"/>
    <w:rsid w:val="001041CB"/>
    <w:rsid w:val="001041D9"/>
    <w:rsid w:val="001043F5"/>
    <w:rsid w:val="00104772"/>
    <w:rsid w:val="001049E9"/>
    <w:rsid w:val="001053E5"/>
    <w:rsid w:val="00105833"/>
    <w:rsid w:val="00105CA1"/>
    <w:rsid w:val="00105E2B"/>
    <w:rsid w:val="00105F12"/>
    <w:rsid w:val="00106044"/>
    <w:rsid w:val="00106207"/>
    <w:rsid w:val="0010688C"/>
    <w:rsid w:val="00106A9E"/>
    <w:rsid w:val="0010719D"/>
    <w:rsid w:val="0010790D"/>
    <w:rsid w:val="00107D19"/>
    <w:rsid w:val="00107DF4"/>
    <w:rsid w:val="00107EA7"/>
    <w:rsid w:val="00107F7A"/>
    <w:rsid w:val="00110FF6"/>
    <w:rsid w:val="001112B6"/>
    <w:rsid w:val="00111597"/>
    <w:rsid w:val="00111640"/>
    <w:rsid w:val="00111C40"/>
    <w:rsid w:val="00111D56"/>
    <w:rsid w:val="001125B1"/>
    <w:rsid w:val="001128B4"/>
    <w:rsid w:val="00112BAA"/>
    <w:rsid w:val="00112C05"/>
    <w:rsid w:val="00112D66"/>
    <w:rsid w:val="00112EBE"/>
    <w:rsid w:val="0011305F"/>
    <w:rsid w:val="00113295"/>
    <w:rsid w:val="0011372B"/>
    <w:rsid w:val="00114101"/>
    <w:rsid w:val="0011458E"/>
    <w:rsid w:val="0011597D"/>
    <w:rsid w:val="0011627C"/>
    <w:rsid w:val="001166FB"/>
    <w:rsid w:val="0011683F"/>
    <w:rsid w:val="00116AD3"/>
    <w:rsid w:val="001173BD"/>
    <w:rsid w:val="001175CE"/>
    <w:rsid w:val="0011764C"/>
    <w:rsid w:val="00117716"/>
    <w:rsid w:val="0011778D"/>
    <w:rsid w:val="0011789B"/>
    <w:rsid w:val="001178C7"/>
    <w:rsid w:val="00117ACD"/>
    <w:rsid w:val="00117E29"/>
    <w:rsid w:val="001206B3"/>
    <w:rsid w:val="00120947"/>
    <w:rsid w:val="0012094C"/>
    <w:rsid w:val="00120A90"/>
    <w:rsid w:val="001212DD"/>
    <w:rsid w:val="001216D4"/>
    <w:rsid w:val="0012172F"/>
    <w:rsid w:val="00121849"/>
    <w:rsid w:val="00121BB4"/>
    <w:rsid w:val="00121C36"/>
    <w:rsid w:val="001220C3"/>
    <w:rsid w:val="00122316"/>
    <w:rsid w:val="00122495"/>
    <w:rsid w:val="00122B79"/>
    <w:rsid w:val="00122F21"/>
    <w:rsid w:val="00122F51"/>
    <w:rsid w:val="00123220"/>
    <w:rsid w:val="00123731"/>
    <w:rsid w:val="0012381A"/>
    <w:rsid w:val="00123A21"/>
    <w:rsid w:val="00123AB1"/>
    <w:rsid w:val="00123B00"/>
    <w:rsid w:val="00123B2A"/>
    <w:rsid w:val="001247CF"/>
    <w:rsid w:val="00124B8B"/>
    <w:rsid w:val="00124BE2"/>
    <w:rsid w:val="00124C19"/>
    <w:rsid w:val="00124DF7"/>
    <w:rsid w:val="0012500C"/>
    <w:rsid w:val="001250D9"/>
    <w:rsid w:val="0012564D"/>
    <w:rsid w:val="00125C94"/>
    <w:rsid w:val="0012666D"/>
    <w:rsid w:val="0012677F"/>
    <w:rsid w:val="0012699D"/>
    <w:rsid w:val="00126BC7"/>
    <w:rsid w:val="00126D77"/>
    <w:rsid w:val="001274D0"/>
    <w:rsid w:val="001276CB"/>
    <w:rsid w:val="0012785E"/>
    <w:rsid w:val="00127893"/>
    <w:rsid w:val="00127913"/>
    <w:rsid w:val="00127A29"/>
    <w:rsid w:val="00127AA4"/>
    <w:rsid w:val="00130476"/>
    <w:rsid w:val="00130778"/>
    <w:rsid w:val="00130946"/>
    <w:rsid w:val="00130D68"/>
    <w:rsid w:val="00131118"/>
    <w:rsid w:val="00131392"/>
    <w:rsid w:val="001313C8"/>
    <w:rsid w:val="00131782"/>
    <w:rsid w:val="001318B2"/>
    <w:rsid w:val="001318CB"/>
    <w:rsid w:val="00131A31"/>
    <w:rsid w:val="00131B78"/>
    <w:rsid w:val="00131E2F"/>
    <w:rsid w:val="00132184"/>
    <w:rsid w:val="001325D1"/>
    <w:rsid w:val="00133003"/>
    <w:rsid w:val="001336B1"/>
    <w:rsid w:val="00133874"/>
    <w:rsid w:val="00133AFA"/>
    <w:rsid w:val="0013417E"/>
    <w:rsid w:val="0013432C"/>
    <w:rsid w:val="00134752"/>
    <w:rsid w:val="00134B77"/>
    <w:rsid w:val="00134C41"/>
    <w:rsid w:val="00134C64"/>
    <w:rsid w:val="00134EC7"/>
    <w:rsid w:val="001352D3"/>
    <w:rsid w:val="001355DC"/>
    <w:rsid w:val="0013599D"/>
    <w:rsid w:val="00135BCA"/>
    <w:rsid w:val="00135DEA"/>
    <w:rsid w:val="00135EF6"/>
    <w:rsid w:val="00135EF7"/>
    <w:rsid w:val="00135F22"/>
    <w:rsid w:val="00136151"/>
    <w:rsid w:val="001365B0"/>
    <w:rsid w:val="001368C5"/>
    <w:rsid w:val="00136FDD"/>
    <w:rsid w:val="00137276"/>
    <w:rsid w:val="00137337"/>
    <w:rsid w:val="00137863"/>
    <w:rsid w:val="00137A1D"/>
    <w:rsid w:val="00137C51"/>
    <w:rsid w:val="0014000E"/>
    <w:rsid w:val="0014091C"/>
    <w:rsid w:val="00140CA8"/>
    <w:rsid w:val="0014110C"/>
    <w:rsid w:val="0014113C"/>
    <w:rsid w:val="00141BDB"/>
    <w:rsid w:val="00141DBE"/>
    <w:rsid w:val="001420F8"/>
    <w:rsid w:val="001426F3"/>
    <w:rsid w:val="00142A44"/>
    <w:rsid w:val="00142AB5"/>
    <w:rsid w:val="0014311F"/>
    <w:rsid w:val="00143156"/>
    <w:rsid w:val="0014332A"/>
    <w:rsid w:val="00143906"/>
    <w:rsid w:val="00143984"/>
    <w:rsid w:val="00143F92"/>
    <w:rsid w:val="00144664"/>
    <w:rsid w:val="001447DE"/>
    <w:rsid w:val="0014483D"/>
    <w:rsid w:val="0014534E"/>
    <w:rsid w:val="0014543D"/>
    <w:rsid w:val="001459AE"/>
    <w:rsid w:val="0014601D"/>
    <w:rsid w:val="001470C4"/>
    <w:rsid w:val="001473FD"/>
    <w:rsid w:val="00147AAB"/>
    <w:rsid w:val="00147BF5"/>
    <w:rsid w:val="00147D95"/>
    <w:rsid w:val="001500DD"/>
    <w:rsid w:val="00150152"/>
    <w:rsid w:val="001501D1"/>
    <w:rsid w:val="001505CD"/>
    <w:rsid w:val="00150947"/>
    <w:rsid w:val="00150A07"/>
    <w:rsid w:val="00150D72"/>
    <w:rsid w:val="00150F89"/>
    <w:rsid w:val="001510F2"/>
    <w:rsid w:val="00151555"/>
    <w:rsid w:val="001516D0"/>
    <w:rsid w:val="0015172F"/>
    <w:rsid w:val="001519C1"/>
    <w:rsid w:val="00152188"/>
    <w:rsid w:val="001521B2"/>
    <w:rsid w:val="00152347"/>
    <w:rsid w:val="00152354"/>
    <w:rsid w:val="00152598"/>
    <w:rsid w:val="0015293D"/>
    <w:rsid w:val="00152A18"/>
    <w:rsid w:val="00152A9C"/>
    <w:rsid w:val="00153033"/>
    <w:rsid w:val="001531A1"/>
    <w:rsid w:val="00153743"/>
    <w:rsid w:val="00153907"/>
    <w:rsid w:val="00153E32"/>
    <w:rsid w:val="00154298"/>
    <w:rsid w:val="00154808"/>
    <w:rsid w:val="001548E2"/>
    <w:rsid w:val="00154AAD"/>
    <w:rsid w:val="00154AC3"/>
    <w:rsid w:val="00154D86"/>
    <w:rsid w:val="00154F82"/>
    <w:rsid w:val="001550D9"/>
    <w:rsid w:val="0015517F"/>
    <w:rsid w:val="00155270"/>
    <w:rsid w:val="0015588C"/>
    <w:rsid w:val="00155BD8"/>
    <w:rsid w:val="00155D64"/>
    <w:rsid w:val="001560D5"/>
    <w:rsid w:val="0015621B"/>
    <w:rsid w:val="001565D2"/>
    <w:rsid w:val="00156611"/>
    <w:rsid w:val="00156A9B"/>
    <w:rsid w:val="00157276"/>
    <w:rsid w:val="0016081D"/>
    <w:rsid w:val="00160A6F"/>
    <w:rsid w:val="00160ED5"/>
    <w:rsid w:val="00160F63"/>
    <w:rsid w:val="00161A38"/>
    <w:rsid w:val="001622BA"/>
    <w:rsid w:val="001622F7"/>
    <w:rsid w:val="00162418"/>
    <w:rsid w:val="0016244A"/>
    <w:rsid w:val="0016258C"/>
    <w:rsid w:val="0016365A"/>
    <w:rsid w:val="00163CFA"/>
    <w:rsid w:val="00163DB8"/>
    <w:rsid w:val="0016425D"/>
    <w:rsid w:val="0016465F"/>
    <w:rsid w:val="0016489D"/>
    <w:rsid w:val="001648BC"/>
    <w:rsid w:val="00164F6A"/>
    <w:rsid w:val="0016516D"/>
    <w:rsid w:val="0016544E"/>
    <w:rsid w:val="001656DA"/>
    <w:rsid w:val="0016592E"/>
    <w:rsid w:val="00165EC1"/>
    <w:rsid w:val="001660C7"/>
    <w:rsid w:val="0016638E"/>
    <w:rsid w:val="00166519"/>
    <w:rsid w:val="00166694"/>
    <w:rsid w:val="00166ADF"/>
    <w:rsid w:val="00166B1D"/>
    <w:rsid w:val="00166D3D"/>
    <w:rsid w:val="00166F20"/>
    <w:rsid w:val="00166FFF"/>
    <w:rsid w:val="00167051"/>
    <w:rsid w:val="00167686"/>
    <w:rsid w:val="00167748"/>
    <w:rsid w:val="001679D4"/>
    <w:rsid w:val="00167E18"/>
    <w:rsid w:val="00167E4D"/>
    <w:rsid w:val="00167F30"/>
    <w:rsid w:val="00170271"/>
    <w:rsid w:val="001709ED"/>
    <w:rsid w:val="00170BE7"/>
    <w:rsid w:val="00170F73"/>
    <w:rsid w:val="00171353"/>
    <w:rsid w:val="00171598"/>
    <w:rsid w:val="001715FA"/>
    <w:rsid w:val="001716C1"/>
    <w:rsid w:val="001722CF"/>
    <w:rsid w:val="00172419"/>
    <w:rsid w:val="00172434"/>
    <w:rsid w:val="00172AD5"/>
    <w:rsid w:val="0017382F"/>
    <w:rsid w:val="00173E14"/>
    <w:rsid w:val="001741FF"/>
    <w:rsid w:val="00174C3E"/>
    <w:rsid w:val="00174E8C"/>
    <w:rsid w:val="00174E95"/>
    <w:rsid w:val="001756B1"/>
    <w:rsid w:val="0017588F"/>
    <w:rsid w:val="00175BAE"/>
    <w:rsid w:val="00175C30"/>
    <w:rsid w:val="00175D53"/>
    <w:rsid w:val="00175E95"/>
    <w:rsid w:val="00175EE2"/>
    <w:rsid w:val="0017602D"/>
    <w:rsid w:val="001760D9"/>
    <w:rsid w:val="00176106"/>
    <w:rsid w:val="00176112"/>
    <w:rsid w:val="00176119"/>
    <w:rsid w:val="001764C4"/>
    <w:rsid w:val="00176648"/>
    <w:rsid w:val="00176909"/>
    <w:rsid w:val="0017690E"/>
    <w:rsid w:val="00176D5B"/>
    <w:rsid w:val="001771C2"/>
    <w:rsid w:val="00177545"/>
    <w:rsid w:val="001775F5"/>
    <w:rsid w:val="0017779F"/>
    <w:rsid w:val="001779C0"/>
    <w:rsid w:val="001779FC"/>
    <w:rsid w:val="00177C80"/>
    <w:rsid w:val="001800DE"/>
    <w:rsid w:val="001800FF"/>
    <w:rsid w:val="00180A9B"/>
    <w:rsid w:val="00180EC7"/>
    <w:rsid w:val="00180F8C"/>
    <w:rsid w:val="001811F2"/>
    <w:rsid w:val="001814AC"/>
    <w:rsid w:val="00181716"/>
    <w:rsid w:val="00181C3A"/>
    <w:rsid w:val="00181FCA"/>
    <w:rsid w:val="00182308"/>
    <w:rsid w:val="001823D1"/>
    <w:rsid w:val="00182486"/>
    <w:rsid w:val="001826FB"/>
    <w:rsid w:val="00182A6A"/>
    <w:rsid w:val="00182B27"/>
    <w:rsid w:val="00182BC3"/>
    <w:rsid w:val="00183641"/>
    <w:rsid w:val="00183699"/>
    <w:rsid w:val="00184033"/>
    <w:rsid w:val="0018427F"/>
    <w:rsid w:val="001849C1"/>
    <w:rsid w:val="00184A17"/>
    <w:rsid w:val="00184E1D"/>
    <w:rsid w:val="00185759"/>
    <w:rsid w:val="0018591B"/>
    <w:rsid w:val="00185A80"/>
    <w:rsid w:val="00185B7A"/>
    <w:rsid w:val="00186328"/>
    <w:rsid w:val="001863AD"/>
    <w:rsid w:val="00186638"/>
    <w:rsid w:val="00186995"/>
    <w:rsid w:val="00186D87"/>
    <w:rsid w:val="00186EEC"/>
    <w:rsid w:val="00187F7B"/>
    <w:rsid w:val="0019011F"/>
    <w:rsid w:val="001901B9"/>
    <w:rsid w:val="00190552"/>
    <w:rsid w:val="0019062D"/>
    <w:rsid w:val="00190843"/>
    <w:rsid w:val="00190922"/>
    <w:rsid w:val="00190D07"/>
    <w:rsid w:val="00190EE1"/>
    <w:rsid w:val="001916FB"/>
    <w:rsid w:val="00191711"/>
    <w:rsid w:val="00191740"/>
    <w:rsid w:val="001922F2"/>
    <w:rsid w:val="0019259F"/>
    <w:rsid w:val="0019280F"/>
    <w:rsid w:val="00192D90"/>
    <w:rsid w:val="001931C8"/>
    <w:rsid w:val="0019322C"/>
    <w:rsid w:val="00193823"/>
    <w:rsid w:val="00193A6A"/>
    <w:rsid w:val="00193F30"/>
    <w:rsid w:val="001942A2"/>
    <w:rsid w:val="0019496A"/>
    <w:rsid w:val="00194E56"/>
    <w:rsid w:val="001958C5"/>
    <w:rsid w:val="00195CB3"/>
    <w:rsid w:val="00195CD3"/>
    <w:rsid w:val="0019692D"/>
    <w:rsid w:val="00196A90"/>
    <w:rsid w:val="00196F65"/>
    <w:rsid w:val="0019704E"/>
    <w:rsid w:val="0019731E"/>
    <w:rsid w:val="00197672"/>
    <w:rsid w:val="001978B6"/>
    <w:rsid w:val="00197933"/>
    <w:rsid w:val="00197F02"/>
    <w:rsid w:val="001A0184"/>
    <w:rsid w:val="001A1258"/>
    <w:rsid w:val="001A1305"/>
    <w:rsid w:val="001A1C41"/>
    <w:rsid w:val="001A2174"/>
    <w:rsid w:val="001A254B"/>
    <w:rsid w:val="001A2871"/>
    <w:rsid w:val="001A2B0F"/>
    <w:rsid w:val="001A2D01"/>
    <w:rsid w:val="001A30CD"/>
    <w:rsid w:val="001A31A7"/>
    <w:rsid w:val="001A4206"/>
    <w:rsid w:val="001A43C7"/>
    <w:rsid w:val="001A47B0"/>
    <w:rsid w:val="001A4EDF"/>
    <w:rsid w:val="001A5064"/>
    <w:rsid w:val="001A566A"/>
    <w:rsid w:val="001A571D"/>
    <w:rsid w:val="001A5A89"/>
    <w:rsid w:val="001A5DA7"/>
    <w:rsid w:val="001A5EA2"/>
    <w:rsid w:val="001A5FB5"/>
    <w:rsid w:val="001A5FE3"/>
    <w:rsid w:val="001A6354"/>
    <w:rsid w:val="001A6396"/>
    <w:rsid w:val="001A645F"/>
    <w:rsid w:val="001A686D"/>
    <w:rsid w:val="001A698A"/>
    <w:rsid w:val="001A6A4A"/>
    <w:rsid w:val="001A712D"/>
    <w:rsid w:val="001A7172"/>
    <w:rsid w:val="001A7807"/>
    <w:rsid w:val="001A7EC0"/>
    <w:rsid w:val="001A7EC1"/>
    <w:rsid w:val="001A7FFA"/>
    <w:rsid w:val="001B0638"/>
    <w:rsid w:val="001B06F0"/>
    <w:rsid w:val="001B08F4"/>
    <w:rsid w:val="001B0952"/>
    <w:rsid w:val="001B0ECB"/>
    <w:rsid w:val="001B0ECE"/>
    <w:rsid w:val="001B0F11"/>
    <w:rsid w:val="001B136D"/>
    <w:rsid w:val="001B1586"/>
    <w:rsid w:val="001B1918"/>
    <w:rsid w:val="001B1A82"/>
    <w:rsid w:val="001B2085"/>
    <w:rsid w:val="001B24D6"/>
    <w:rsid w:val="001B2516"/>
    <w:rsid w:val="001B25FF"/>
    <w:rsid w:val="001B2768"/>
    <w:rsid w:val="001B2B0A"/>
    <w:rsid w:val="001B2BF1"/>
    <w:rsid w:val="001B2C52"/>
    <w:rsid w:val="001B323E"/>
    <w:rsid w:val="001B3301"/>
    <w:rsid w:val="001B3307"/>
    <w:rsid w:val="001B33F0"/>
    <w:rsid w:val="001B340C"/>
    <w:rsid w:val="001B3AEB"/>
    <w:rsid w:val="001B3B5B"/>
    <w:rsid w:val="001B3E3E"/>
    <w:rsid w:val="001B3FAB"/>
    <w:rsid w:val="001B40C6"/>
    <w:rsid w:val="001B40EE"/>
    <w:rsid w:val="001B4554"/>
    <w:rsid w:val="001B4874"/>
    <w:rsid w:val="001B48F5"/>
    <w:rsid w:val="001B4997"/>
    <w:rsid w:val="001B4C03"/>
    <w:rsid w:val="001B501B"/>
    <w:rsid w:val="001B528F"/>
    <w:rsid w:val="001B52C7"/>
    <w:rsid w:val="001B5781"/>
    <w:rsid w:val="001B5BDE"/>
    <w:rsid w:val="001B5D9C"/>
    <w:rsid w:val="001B624F"/>
    <w:rsid w:val="001B635D"/>
    <w:rsid w:val="001B6519"/>
    <w:rsid w:val="001B65EA"/>
    <w:rsid w:val="001B6D45"/>
    <w:rsid w:val="001B6E7A"/>
    <w:rsid w:val="001B745A"/>
    <w:rsid w:val="001B74CB"/>
    <w:rsid w:val="001B76DD"/>
    <w:rsid w:val="001B7726"/>
    <w:rsid w:val="001B7902"/>
    <w:rsid w:val="001C045B"/>
    <w:rsid w:val="001C08F8"/>
    <w:rsid w:val="001C0B4A"/>
    <w:rsid w:val="001C0D2F"/>
    <w:rsid w:val="001C1015"/>
    <w:rsid w:val="001C12F5"/>
    <w:rsid w:val="001C1ADB"/>
    <w:rsid w:val="001C1D32"/>
    <w:rsid w:val="001C1DA2"/>
    <w:rsid w:val="001C1DA9"/>
    <w:rsid w:val="001C1E79"/>
    <w:rsid w:val="001C2169"/>
    <w:rsid w:val="001C2347"/>
    <w:rsid w:val="001C27D8"/>
    <w:rsid w:val="001C2F3F"/>
    <w:rsid w:val="001C3297"/>
    <w:rsid w:val="001C3540"/>
    <w:rsid w:val="001C3F0F"/>
    <w:rsid w:val="001C3FC3"/>
    <w:rsid w:val="001C4430"/>
    <w:rsid w:val="001C46A7"/>
    <w:rsid w:val="001C4C12"/>
    <w:rsid w:val="001C4D70"/>
    <w:rsid w:val="001C4E95"/>
    <w:rsid w:val="001C51D0"/>
    <w:rsid w:val="001C59DF"/>
    <w:rsid w:val="001C5E84"/>
    <w:rsid w:val="001C67E0"/>
    <w:rsid w:val="001C6B9E"/>
    <w:rsid w:val="001C6EEA"/>
    <w:rsid w:val="001C74B6"/>
    <w:rsid w:val="001C774D"/>
    <w:rsid w:val="001C7843"/>
    <w:rsid w:val="001C788D"/>
    <w:rsid w:val="001C7B0F"/>
    <w:rsid w:val="001C7DAA"/>
    <w:rsid w:val="001D01F1"/>
    <w:rsid w:val="001D0296"/>
    <w:rsid w:val="001D04DD"/>
    <w:rsid w:val="001D0677"/>
    <w:rsid w:val="001D06C7"/>
    <w:rsid w:val="001D087B"/>
    <w:rsid w:val="001D0D10"/>
    <w:rsid w:val="001D0EB1"/>
    <w:rsid w:val="001D1055"/>
    <w:rsid w:val="001D12F4"/>
    <w:rsid w:val="001D1493"/>
    <w:rsid w:val="001D1765"/>
    <w:rsid w:val="001D1995"/>
    <w:rsid w:val="001D1A83"/>
    <w:rsid w:val="001D1BD5"/>
    <w:rsid w:val="001D1DCF"/>
    <w:rsid w:val="001D202E"/>
    <w:rsid w:val="001D213A"/>
    <w:rsid w:val="001D22AF"/>
    <w:rsid w:val="001D23B3"/>
    <w:rsid w:val="001D2463"/>
    <w:rsid w:val="001D2802"/>
    <w:rsid w:val="001D2C45"/>
    <w:rsid w:val="001D3474"/>
    <w:rsid w:val="001D34FE"/>
    <w:rsid w:val="001D3A42"/>
    <w:rsid w:val="001D3A94"/>
    <w:rsid w:val="001D3ABB"/>
    <w:rsid w:val="001D3C11"/>
    <w:rsid w:val="001D3F07"/>
    <w:rsid w:val="001D40A8"/>
    <w:rsid w:val="001D4527"/>
    <w:rsid w:val="001D4714"/>
    <w:rsid w:val="001D56A9"/>
    <w:rsid w:val="001D59D1"/>
    <w:rsid w:val="001D5A1A"/>
    <w:rsid w:val="001D5C38"/>
    <w:rsid w:val="001D65B2"/>
    <w:rsid w:val="001D689C"/>
    <w:rsid w:val="001D6BCB"/>
    <w:rsid w:val="001D6C9B"/>
    <w:rsid w:val="001E0306"/>
    <w:rsid w:val="001E0553"/>
    <w:rsid w:val="001E05DE"/>
    <w:rsid w:val="001E092F"/>
    <w:rsid w:val="001E0D51"/>
    <w:rsid w:val="001E0F25"/>
    <w:rsid w:val="001E1FCF"/>
    <w:rsid w:val="001E2088"/>
    <w:rsid w:val="001E2CE8"/>
    <w:rsid w:val="001E39BD"/>
    <w:rsid w:val="001E4607"/>
    <w:rsid w:val="001E468E"/>
    <w:rsid w:val="001E4773"/>
    <w:rsid w:val="001E480F"/>
    <w:rsid w:val="001E4B92"/>
    <w:rsid w:val="001E4EA0"/>
    <w:rsid w:val="001E5C38"/>
    <w:rsid w:val="001E60F1"/>
    <w:rsid w:val="001E6253"/>
    <w:rsid w:val="001E6A57"/>
    <w:rsid w:val="001E6A7B"/>
    <w:rsid w:val="001E727F"/>
    <w:rsid w:val="001E7669"/>
    <w:rsid w:val="001E7D4C"/>
    <w:rsid w:val="001F042A"/>
    <w:rsid w:val="001F05B6"/>
    <w:rsid w:val="001F0E29"/>
    <w:rsid w:val="001F1007"/>
    <w:rsid w:val="001F11E6"/>
    <w:rsid w:val="001F23F0"/>
    <w:rsid w:val="001F2512"/>
    <w:rsid w:val="001F2559"/>
    <w:rsid w:val="001F25B7"/>
    <w:rsid w:val="001F266F"/>
    <w:rsid w:val="001F2ED8"/>
    <w:rsid w:val="001F2F58"/>
    <w:rsid w:val="001F2F60"/>
    <w:rsid w:val="001F33C1"/>
    <w:rsid w:val="001F374D"/>
    <w:rsid w:val="001F3DE9"/>
    <w:rsid w:val="001F44A1"/>
    <w:rsid w:val="001F4677"/>
    <w:rsid w:val="001F49D6"/>
    <w:rsid w:val="001F4CCF"/>
    <w:rsid w:val="001F4E61"/>
    <w:rsid w:val="001F543B"/>
    <w:rsid w:val="001F54AC"/>
    <w:rsid w:val="001F602F"/>
    <w:rsid w:val="001F67F4"/>
    <w:rsid w:val="001F68F7"/>
    <w:rsid w:val="001F6F04"/>
    <w:rsid w:val="001F6FB2"/>
    <w:rsid w:val="001F7255"/>
    <w:rsid w:val="00200A26"/>
    <w:rsid w:val="00200D32"/>
    <w:rsid w:val="0020115E"/>
    <w:rsid w:val="00201244"/>
    <w:rsid w:val="002015D4"/>
    <w:rsid w:val="0020169D"/>
    <w:rsid w:val="00202619"/>
    <w:rsid w:val="00202852"/>
    <w:rsid w:val="00202916"/>
    <w:rsid w:val="0020332A"/>
    <w:rsid w:val="00203473"/>
    <w:rsid w:val="00203706"/>
    <w:rsid w:val="002038BE"/>
    <w:rsid w:val="00203A14"/>
    <w:rsid w:val="00203A74"/>
    <w:rsid w:val="00203C03"/>
    <w:rsid w:val="00203D40"/>
    <w:rsid w:val="002041FE"/>
    <w:rsid w:val="00204503"/>
    <w:rsid w:val="00204AB3"/>
    <w:rsid w:val="002051B8"/>
    <w:rsid w:val="002054F4"/>
    <w:rsid w:val="00205660"/>
    <w:rsid w:val="0020580A"/>
    <w:rsid w:val="00205CEA"/>
    <w:rsid w:val="002060D9"/>
    <w:rsid w:val="00206260"/>
    <w:rsid w:val="0020686C"/>
    <w:rsid w:val="00206A4D"/>
    <w:rsid w:val="00206C2C"/>
    <w:rsid w:val="00206EB6"/>
    <w:rsid w:val="00207299"/>
    <w:rsid w:val="00207C89"/>
    <w:rsid w:val="002101C2"/>
    <w:rsid w:val="0021057A"/>
    <w:rsid w:val="00210713"/>
    <w:rsid w:val="00210A78"/>
    <w:rsid w:val="00210C27"/>
    <w:rsid w:val="002116BB"/>
    <w:rsid w:val="00211909"/>
    <w:rsid w:val="002120A9"/>
    <w:rsid w:val="00212586"/>
    <w:rsid w:val="002126C2"/>
    <w:rsid w:val="0021276C"/>
    <w:rsid w:val="00212EAE"/>
    <w:rsid w:val="002132B0"/>
    <w:rsid w:val="0021351A"/>
    <w:rsid w:val="0021363A"/>
    <w:rsid w:val="002136EF"/>
    <w:rsid w:val="0021384B"/>
    <w:rsid w:val="00214465"/>
    <w:rsid w:val="002145A9"/>
    <w:rsid w:val="00214A05"/>
    <w:rsid w:val="00214CC4"/>
    <w:rsid w:val="0021506A"/>
    <w:rsid w:val="00215262"/>
    <w:rsid w:val="002158C6"/>
    <w:rsid w:val="00215B7E"/>
    <w:rsid w:val="00216205"/>
    <w:rsid w:val="00216612"/>
    <w:rsid w:val="00216810"/>
    <w:rsid w:val="00216978"/>
    <w:rsid w:val="00216E4A"/>
    <w:rsid w:val="002174EC"/>
    <w:rsid w:val="00217657"/>
    <w:rsid w:val="00217931"/>
    <w:rsid w:val="0021793B"/>
    <w:rsid w:val="00217C9D"/>
    <w:rsid w:val="00217DE9"/>
    <w:rsid w:val="002200B9"/>
    <w:rsid w:val="002200F1"/>
    <w:rsid w:val="0022021D"/>
    <w:rsid w:val="002206CD"/>
    <w:rsid w:val="00220BB6"/>
    <w:rsid w:val="00220EBC"/>
    <w:rsid w:val="00221785"/>
    <w:rsid w:val="00221DB6"/>
    <w:rsid w:val="00221E0D"/>
    <w:rsid w:val="00221F54"/>
    <w:rsid w:val="0022215E"/>
    <w:rsid w:val="0022255D"/>
    <w:rsid w:val="00222571"/>
    <w:rsid w:val="00222912"/>
    <w:rsid w:val="00222E05"/>
    <w:rsid w:val="00222FE4"/>
    <w:rsid w:val="00223054"/>
    <w:rsid w:val="00223606"/>
    <w:rsid w:val="00223784"/>
    <w:rsid w:val="002248D9"/>
    <w:rsid w:val="00224D4C"/>
    <w:rsid w:val="0022501F"/>
    <w:rsid w:val="00225C7F"/>
    <w:rsid w:val="00225D2B"/>
    <w:rsid w:val="00225F1D"/>
    <w:rsid w:val="002264B9"/>
    <w:rsid w:val="002264CC"/>
    <w:rsid w:val="002264D2"/>
    <w:rsid w:val="00226758"/>
    <w:rsid w:val="002268FC"/>
    <w:rsid w:val="00226A28"/>
    <w:rsid w:val="00226AB4"/>
    <w:rsid w:val="00226F36"/>
    <w:rsid w:val="00226F63"/>
    <w:rsid w:val="00226FD2"/>
    <w:rsid w:val="00227055"/>
    <w:rsid w:val="0022753E"/>
    <w:rsid w:val="0023067A"/>
    <w:rsid w:val="0023080F"/>
    <w:rsid w:val="00230A43"/>
    <w:rsid w:val="00230AA0"/>
    <w:rsid w:val="00231195"/>
    <w:rsid w:val="002314D9"/>
    <w:rsid w:val="00231735"/>
    <w:rsid w:val="002321CB"/>
    <w:rsid w:val="00232C8F"/>
    <w:rsid w:val="00233006"/>
    <w:rsid w:val="00233209"/>
    <w:rsid w:val="00233224"/>
    <w:rsid w:val="00233275"/>
    <w:rsid w:val="002332CD"/>
    <w:rsid w:val="002338DB"/>
    <w:rsid w:val="00233F54"/>
    <w:rsid w:val="00234049"/>
    <w:rsid w:val="002346EA"/>
    <w:rsid w:val="00234881"/>
    <w:rsid w:val="00234CA6"/>
    <w:rsid w:val="0023529B"/>
    <w:rsid w:val="00235BB5"/>
    <w:rsid w:val="00235E0D"/>
    <w:rsid w:val="00235E2D"/>
    <w:rsid w:val="00235F03"/>
    <w:rsid w:val="00237156"/>
    <w:rsid w:val="00237376"/>
    <w:rsid w:val="002374CD"/>
    <w:rsid w:val="002375CE"/>
    <w:rsid w:val="002377D7"/>
    <w:rsid w:val="00237BE0"/>
    <w:rsid w:val="00237C8A"/>
    <w:rsid w:val="00237FB8"/>
    <w:rsid w:val="00240803"/>
    <w:rsid w:val="00240A39"/>
    <w:rsid w:val="00240A9B"/>
    <w:rsid w:val="00240B14"/>
    <w:rsid w:val="00240DBF"/>
    <w:rsid w:val="00241163"/>
    <w:rsid w:val="002415B4"/>
    <w:rsid w:val="00241ADA"/>
    <w:rsid w:val="00241BBE"/>
    <w:rsid w:val="00241BCE"/>
    <w:rsid w:val="00241DC0"/>
    <w:rsid w:val="00241DF3"/>
    <w:rsid w:val="002428CC"/>
    <w:rsid w:val="00242F09"/>
    <w:rsid w:val="002431FA"/>
    <w:rsid w:val="00243239"/>
    <w:rsid w:val="0024365C"/>
    <w:rsid w:val="002438C3"/>
    <w:rsid w:val="00243A30"/>
    <w:rsid w:val="00243E19"/>
    <w:rsid w:val="00243F5A"/>
    <w:rsid w:val="00244A9D"/>
    <w:rsid w:val="00244F27"/>
    <w:rsid w:val="00245608"/>
    <w:rsid w:val="002457A3"/>
    <w:rsid w:val="00245B0C"/>
    <w:rsid w:val="00245ED1"/>
    <w:rsid w:val="00246593"/>
    <w:rsid w:val="002466E7"/>
    <w:rsid w:val="0024730E"/>
    <w:rsid w:val="00247462"/>
    <w:rsid w:val="002475E3"/>
    <w:rsid w:val="002479D0"/>
    <w:rsid w:val="00247BA7"/>
    <w:rsid w:val="00247C08"/>
    <w:rsid w:val="00247C7C"/>
    <w:rsid w:val="00247C9B"/>
    <w:rsid w:val="00247D35"/>
    <w:rsid w:val="00247F2D"/>
    <w:rsid w:val="00247F86"/>
    <w:rsid w:val="00247FE0"/>
    <w:rsid w:val="0025088F"/>
    <w:rsid w:val="002508B0"/>
    <w:rsid w:val="002509F6"/>
    <w:rsid w:val="00250AA8"/>
    <w:rsid w:val="0025146D"/>
    <w:rsid w:val="0025163E"/>
    <w:rsid w:val="00251B78"/>
    <w:rsid w:val="0025205E"/>
    <w:rsid w:val="00252154"/>
    <w:rsid w:val="002524C6"/>
    <w:rsid w:val="00252D02"/>
    <w:rsid w:val="002531A1"/>
    <w:rsid w:val="002532CB"/>
    <w:rsid w:val="00253317"/>
    <w:rsid w:val="002533E0"/>
    <w:rsid w:val="00253E85"/>
    <w:rsid w:val="00254367"/>
    <w:rsid w:val="00254720"/>
    <w:rsid w:val="00254BE9"/>
    <w:rsid w:val="00255338"/>
    <w:rsid w:val="0025554C"/>
    <w:rsid w:val="00255673"/>
    <w:rsid w:val="00255920"/>
    <w:rsid w:val="00255947"/>
    <w:rsid w:val="00255C3B"/>
    <w:rsid w:val="002567F9"/>
    <w:rsid w:val="00256EB8"/>
    <w:rsid w:val="00257857"/>
    <w:rsid w:val="0025787D"/>
    <w:rsid w:val="00257B51"/>
    <w:rsid w:val="0026022B"/>
    <w:rsid w:val="00260653"/>
    <w:rsid w:val="002611D1"/>
    <w:rsid w:val="0026120A"/>
    <w:rsid w:val="002612B8"/>
    <w:rsid w:val="002614C0"/>
    <w:rsid w:val="00261556"/>
    <w:rsid w:val="00261806"/>
    <w:rsid w:val="00261ADF"/>
    <w:rsid w:val="00261B57"/>
    <w:rsid w:val="00262765"/>
    <w:rsid w:val="002632EE"/>
    <w:rsid w:val="002636D9"/>
    <w:rsid w:val="00263847"/>
    <w:rsid w:val="00263877"/>
    <w:rsid w:val="00264136"/>
    <w:rsid w:val="0026438E"/>
    <w:rsid w:val="00264788"/>
    <w:rsid w:val="00264881"/>
    <w:rsid w:val="00264B56"/>
    <w:rsid w:val="00264CB0"/>
    <w:rsid w:val="00264E27"/>
    <w:rsid w:val="002650AF"/>
    <w:rsid w:val="002650D5"/>
    <w:rsid w:val="00265465"/>
    <w:rsid w:val="002659B8"/>
    <w:rsid w:val="0026620F"/>
    <w:rsid w:val="0026640E"/>
    <w:rsid w:val="0026670B"/>
    <w:rsid w:val="00266783"/>
    <w:rsid w:val="002668FA"/>
    <w:rsid w:val="0026733B"/>
    <w:rsid w:val="00267A77"/>
    <w:rsid w:val="00267C5A"/>
    <w:rsid w:val="00270139"/>
    <w:rsid w:val="0027072F"/>
    <w:rsid w:val="00270916"/>
    <w:rsid w:val="00271438"/>
    <w:rsid w:val="00271928"/>
    <w:rsid w:val="00271BB4"/>
    <w:rsid w:val="00271CAE"/>
    <w:rsid w:val="00272043"/>
    <w:rsid w:val="002721CC"/>
    <w:rsid w:val="00272502"/>
    <w:rsid w:val="00272877"/>
    <w:rsid w:val="00272E42"/>
    <w:rsid w:val="00272F98"/>
    <w:rsid w:val="00273BA4"/>
    <w:rsid w:val="00273BE2"/>
    <w:rsid w:val="002742AE"/>
    <w:rsid w:val="002743CC"/>
    <w:rsid w:val="002747F5"/>
    <w:rsid w:val="00274930"/>
    <w:rsid w:val="00274A93"/>
    <w:rsid w:val="00274FB4"/>
    <w:rsid w:val="00275036"/>
    <w:rsid w:val="00275157"/>
    <w:rsid w:val="00275495"/>
    <w:rsid w:val="0027584C"/>
    <w:rsid w:val="00275C36"/>
    <w:rsid w:val="00275C7E"/>
    <w:rsid w:val="00275DF5"/>
    <w:rsid w:val="00275FD4"/>
    <w:rsid w:val="00276AB7"/>
    <w:rsid w:val="00276AC5"/>
    <w:rsid w:val="0027709E"/>
    <w:rsid w:val="00277578"/>
    <w:rsid w:val="0027758F"/>
    <w:rsid w:val="00277E54"/>
    <w:rsid w:val="00280119"/>
    <w:rsid w:val="00280388"/>
    <w:rsid w:val="002803D9"/>
    <w:rsid w:val="00280BC9"/>
    <w:rsid w:val="00280E8F"/>
    <w:rsid w:val="00281050"/>
    <w:rsid w:val="002818DA"/>
    <w:rsid w:val="00282070"/>
    <w:rsid w:val="00282168"/>
    <w:rsid w:val="00282683"/>
    <w:rsid w:val="00282BB6"/>
    <w:rsid w:val="00282D1F"/>
    <w:rsid w:val="00282F57"/>
    <w:rsid w:val="00282FF4"/>
    <w:rsid w:val="002830C4"/>
    <w:rsid w:val="002831A8"/>
    <w:rsid w:val="002835D9"/>
    <w:rsid w:val="002835E7"/>
    <w:rsid w:val="00283984"/>
    <w:rsid w:val="002842B1"/>
    <w:rsid w:val="00284392"/>
    <w:rsid w:val="002847AD"/>
    <w:rsid w:val="00284AC8"/>
    <w:rsid w:val="00284CFD"/>
    <w:rsid w:val="00284F8B"/>
    <w:rsid w:val="0028501C"/>
    <w:rsid w:val="00285575"/>
    <w:rsid w:val="002859DA"/>
    <w:rsid w:val="00285C12"/>
    <w:rsid w:val="00285CDA"/>
    <w:rsid w:val="00286582"/>
    <w:rsid w:val="00286841"/>
    <w:rsid w:val="00286918"/>
    <w:rsid w:val="00286A46"/>
    <w:rsid w:val="00286DE3"/>
    <w:rsid w:val="00286F45"/>
    <w:rsid w:val="00287278"/>
    <w:rsid w:val="0028777D"/>
    <w:rsid w:val="00287E4A"/>
    <w:rsid w:val="00287F74"/>
    <w:rsid w:val="0029003B"/>
    <w:rsid w:val="00290550"/>
    <w:rsid w:val="00290B73"/>
    <w:rsid w:val="00290D29"/>
    <w:rsid w:val="002912F9"/>
    <w:rsid w:val="00291BE3"/>
    <w:rsid w:val="00291E87"/>
    <w:rsid w:val="002923AC"/>
    <w:rsid w:val="00292ACB"/>
    <w:rsid w:val="00292B63"/>
    <w:rsid w:val="002932BF"/>
    <w:rsid w:val="00293627"/>
    <w:rsid w:val="00293782"/>
    <w:rsid w:val="0029397D"/>
    <w:rsid w:val="00293F4B"/>
    <w:rsid w:val="002943B0"/>
    <w:rsid w:val="0029440A"/>
    <w:rsid w:val="00294AA6"/>
    <w:rsid w:val="00295697"/>
    <w:rsid w:val="002959A2"/>
    <w:rsid w:val="002959E6"/>
    <w:rsid w:val="00295ACC"/>
    <w:rsid w:val="00295AFB"/>
    <w:rsid w:val="00295D98"/>
    <w:rsid w:val="00295DF1"/>
    <w:rsid w:val="00296887"/>
    <w:rsid w:val="0029690F"/>
    <w:rsid w:val="00296AFD"/>
    <w:rsid w:val="00296D12"/>
    <w:rsid w:val="00296E8C"/>
    <w:rsid w:val="00296F77"/>
    <w:rsid w:val="00297987"/>
    <w:rsid w:val="00297AF5"/>
    <w:rsid w:val="00297B6F"/>
    <w:rsid w:val="002A0214"/>
    <w:rsid w:val="002A03E1"/>
    <w:rsid w:val="002A04DE"/>
    <w:rsid w:val="002A05B0"/>
    <w:rsid w:val="002A0657"/>
    <w:rsid w:val="002A076F"/>
    <w:rsid w:val="002A0A8E"/>
    <w:rsid w:val="002A1042"/>
    <w:rsid w:val="002A10A1"/>
    <w:rsid w:val="002A16BA"/>
    <w:rsid w:val="002A1BA2"/>
    <w:rsid w:val="002A22F8"/>
    <w:rsid w:val="002A28B9"/>
    <w:rsid w:val="002A2A67"/>
    <w:rsid w:val="002A2CB1"/>
    <w:rsid w:val="002A31AB"/>
    <w:rsid w:val="002A3FAD"/>
    <w:rsid w:val="002A42C1"/>
    <w:rsid w:val="002A445C"/>
    <w:rsid w:val="002A4CA3"/>
    <w:rsid w:val="002A4D6C"/>
    <w:rsid w:val="002A4F06"/>
    <w:rsid w:val="002A516E"/>
    <w:rsid w:val="002A51A3"/>
    <w:rsid w:val="002A5885"/>
    <w:rsid w:val="002A5BDB"/>
    <w:rsid w:val="002A61F0"/>
    <w:rsid w:val="002A625C"/>
    <w:rsid w:val="002A6313"/>
    <w:rsid w:val="002A6B11"/>
    <w:rsid w:val="002A7154"/>
    <w:rsid w:val="002A71C2"/>
    <w:rsid w:val="002A72CE"/>
    <w:rsid w:val="002A73FF"/>
    <w:rsid w:val="002A7653"/>
    <w:rsid w:val="002A7A58"/>
    <w:rsid w:val="002A7D9F"/>
    <w:rsid w:val="002A7FC0"/>
    <w:rsid w:val="002B0037"/>
    <w:rsid w:val="002B0068"/>
    <w:rsid w:val="002B0645"/>
    <w:rsid w:val="002B07CF"/>
    <w:rsid w:val="002B09CC"/>
    <w:rsid w:val="002B0C22"/>
    <w:rsid w:val="002B1210"/>
    <w:rsid w:val="002B125C"/>
    <w:rsid w:val="002B143C"/>
    <w:rsid w:val="002B16C4"/>
    <w:rsid w:val="002B1C5A"/>
    <w:rsid w:val="002B1F79"/>
    <w:rsid w:val="002B2215"/>
    <w:rsid w:val="002B225C"/>
    <w:rsid w:val="002B23E5"/>
    <w:rsid w:val="002B2451"/>
    <w:rsid w:val="002B245B"/>
    <w:rsid w:val="002B25D8"/>
    <w:rsid w:val="002B28A5"/>
    <w:rsid w:val="002B2B90"/>
    <w:rsid w:val="002B2FF6"/>
    <w:rsid w:val="002B31E7"/>
    <w:rsid w:val="002B3255"/>
    <w:rsid w:val="002B341B"/>
    <w:rsid w:val="002B3676"/>
    <w:rsid w:val="002B36B8"/>
    <w:rsid w:val="002B38A2"/>
    <w:rsid w:val="002B3CBC"/>
    <w:rsid w:val="002B3D75"/>
    <w:rsid w:val="002B3F5B"/>
    <w:rsid w:val="002B42A9"/>
    <w:rsid w:val="002B4DB1"/>
    <w:rsid w:val="002B51AB"/>
    <w:rsid w:val="002B5356"/>
    <w:rsid w:val="002B56A6"/>
    <w:rsid w:val="002B5A4B"/>
    <w:rsid w:val="002B5D5E"/>
    <w:rsid w:val="002B5FBE"/>
    <w:rsid w:val="002B60F5"/>
    <w:rsid w:val="002B6756"/>
    <w:rsid w:val="002B68F6"/>
    <w:rsid w:val="002B6B98"/>
    <w:rsid w:val="002B6DE4"/>
    <w:rsid w:val="002B6E95"/>
    <w:rsid w:val="002B6ECC"/>
    <w:rsid w:val="002B6F69"/>
    <w:rsid w:val="002B76F3"/>
    <w:rsid w:val="002B7847"/>
    <w:rsid w:val="002B7E40"/>
    <w:rsid w:val="002B7FCC"/>
    <w:rsid w:val="002C0083"/>
    <w:rsid w:val="002C0225"/>
    <w:rsid w:val="002C04BA"/>
    <w:rsid w:val="002C086B"/>
    <w:rsid w:val="002C094F"/>
    <w:rsid w:val="002C0986"/>
    <w:rsid w:val="002C0A3B"/>
    <w:rsid w:val="002C0AD2"/>
    <w:rsid w:val="002C1359"/>
    <w:rsid w:val="002C19A0"/>
    <w:rsid w:val="002C19B0"/>
    <w:rsid w:val="002C1BA1"/>
    <w:rsid w:val="002C218E"/>
    <w:rsid w:val="002C2293"/>
    <w:rsid w:val="002C2CD7"/>
    <w:rsid w:val="002C303C"/>
    <w:rsid w:val="002C3443"/>
    <w:rsid w:val="002C3B36"/>
    <w:rsid w:val="002C3B38"/>
    <w:rsid w:val="002C3FE9"/>
    <w:rsid w:val="002C41EC"/>
    <w:rsid w:val="002C4286"/>
    <w:rsid w:val="002C4486"/>
    <w:rsid w:val="002C47D8"/>
    <w:rsid w:val="002C489B"/>
    <w:rsid w:val="002C50F0"/>
    <w:rsid w:val="002C5277"/>
    <w:rsid w:val="002C57AD"/>
    <w:rsid w:val="002C57D4"/>
    <w:rsid w:val="002C5808"/>
    <w:rsid w:val="002C5BAA"/>
    <w:rsid w:val="002C5E78"/>
    <w:rsid w:val="002C62B4"/>
    <w:rsid w:val="002C6833"/>
    <w:rsid w:val="002C690B"/>
    <w:rsid w:val="002C6A4F"/>
    <w:rsid w:val="002C6ABF"/>
    <w:rsid w:val="002C6FAE"/>
    <w:rsid w:val="002C71E7"/>
    <w:rsid w:val="002C7923"/>
    <w:rsid w:val="002C7DF6"/>
    <w:rsid w:val="002D0B44"/>
    <w:rsid w:val="002D0B77"/>
    <w:rsid w:val="002D0DA7"/>
    <w:rsid w:val="002D105F"/>
    <w:rsid w:val="002D11C1"/>
    <w:rsid w:val="002D12FA"/>
    <w:rsid w:val="002D1713"/>
    <w:rsid w:val="002D18C5"/>
    <w:rsid w:val="002D2064"/>
    <w:rsid w:val="002D2341"/>
    <w:rsid w:val="002D2927"/>
    <w:rsid w:val="002D297C"/>
    <w:rsid w:val="002D2B5F"/>
    <w:rsid w:val="002D2B7C"/>
    <w:rsid w:val="002D2FE6"/>
    <w:rsid w:val="002D309B"/>
    <w:rsid w:val="002D3A49"/>
    <w:rsid w:val="002D40DB"/>
    <w:rsid w:val="002D43B6"/>
    <w:rsid w:val="002D47F0"/>
    <w:rsid w:val="002D485D"/>
    <w:rsid w:val="002D5012"/>
    <w:rsid w:val="002D51D5"/>
    <w:rsid w:val="002D5A83"/>
    <w:rsid w:val="002D5E2A"/>
    <w:rsid w:val="002D5E65"/>
    <w:rsid w:val="002D67F0"/>
    <w:rsid w:val="002D695C"/>
    <w:rsid w:val="002D6A0C"/>
    <w:rsid w:val="002D6A28"/>
    <w:rsid w:val="002D6CC2"/>
    <w:rsid w:val="002D713A"/>
    <w:rsid w:val="002D729D"/>
    <w:rsid w:val="002D7447"/>
    <w:rsid w:val="002D7664"/>
    <w:rsid w:val="002D7C63"/>
    <w:rsid w:val="002D7E2E"/>
    <w:rsid w:val="002E0197"/>
    <w:rsid w:val="002E037D"/>
    <w:rsid w:val="002E0583"/>
    <w:rsid w:val="002E0768"/>
    <w:rsid w:val="002E0B83"/>
    <w:rsid w:val="002E0D8D"/>
    <w:rsid w:val="002E112C"/>
    <w:rsid w:val="002E113E"/>
    <w:rsid w:val="002E153B"/>
    <w:rsid w:val="002E18C4"/>
    <w:rsid w:val="002E1C02"/>
    <w:rsid w:val="002E1EBF"/>
    <w:rsid w:val="002E22A5"/>
    <w:rsid w:val="002E2332"/>
    <w:rsid w:val="002E28F0"/>
    <w:rsid w:val="002E2AD8"/>
    <w:rsid w:val="002E2BAF"/>
    <w:rsid w:val="002E2E00"/>
    <w:rsid w:val="002E2E34"/>
    <w:rsid w:val="002E2F16"/>
    <w:rsid w:val="002E2FE6"/>
    <w:rsid w:val="002E3013"/>
    <w:rsid w:val="002E32A1"/>
    <w:rsid w:val="002E339F"/>
    <w:rsid w:val="002E34CB"/>
    <w:rsid w:val="002E3565"/>
    <w:rsid w:val="002E3770"/>
    <w:rsid w:val="002E39CE"/>
    <w:rsid w:val="002E3B13"/>
    <w:rsid w:val="002E3B59"/>
    <w:rsid w:val="002E3E89"/>
    <w:rsid w:val="002E3EFF"/>
    <w:rsid w:val="002E43D3"/>
    <w:rsid w:val="002E44BA"/>
    <w:rsid w:val="002E44D8"/>
    <w:rsid w:val="002E4946"/>
    <w:rsid w:val="002E4DA5"/>
    <w:rsid w:val="002E4E2A"/>
    <w:rsid w:val="002E50A2"/>
    <w:rsid w:val="002E5259"/>
    <w:rsid w:val="002E5765"/>
    <w:rsid w:val="002E5C28"/>
    <w:rsid w:val="002E65F2"/>
    <w:rsid w:val="002E6B6E"/>
    <w:rsid w:val="002E6F82"/>
    <w:rsid w:val="002E781B"/>
    <w:rsid w:val="002E788F"/>
    <w:rsid w:val="002E7A3A"/>
    <w:rsid w:val="002E7DD4"/>
    <w:rsid w:val="002F00A0"/>
    <w:rsid w:val="002F0568"/>
    <w:rsid w:val="002F0693"/>
    <w:rsid w:val="002F0761"/>
    <w:rsid w:val="002F1A4C"/>
    <w:rsid w:val="002F1A8A"/>
    <w:rsid w:val="002F21D1"/>
    <w:rsid w:val="002F2416"/>
    <w:rsid w:val="002F2588"/>
    <w:rsid w:val="002F262E"/>
    <w:rsid w:val="002F2E51"/>
    <w:rsid w:val="002F333F"/>
    <w:rsid w:val="002F35F2"/>
    <w:rsid w:val="002F3607"/>
    <w:rsid w:val="002F36ED"/>
    <w:rsid w:val="002F3753"/>
    <w:rsid w:val="002F3774"/>
    <w:rsid w:val="002F387B"/>
    <w:rsid w:val="002F3DB8"/>
    <w:rsid w:val="002F3F86"/>
    <w:rsid w:val="002F4200"/>
    <w:rsid w:val="002F42F2"/>
    <w:rsid w:val="002F4311"/>
    <w:rsid w:val="002F432B"/>
    <w:rsid w:val="002F4424"/>
    <w:rsid w:val="002F4C8A"/>
    <w:rsid w:val="002F4F61"/>
    <w:rsid w:val="002F51AD"/>
    <w:rsid w:val="002F5A61"/>
    <w:rsid w:val="002F5C9A"/>
    <w:rsid w:val="002F5E95"/>
    <w:rsid w:val="002F665A"/>
    <w:rsid w:val="002F7217"/>
    <w:rsid w:val="002F7413"/>
    <w:rsid w:val="002F7970"/>
    <w:rsid w:val="003000B4"/>
    <w:rsid w:val="0030068F"/>
    <w:rsid w:val="0030082B"/>
    <w:rsid w:val="0030121F"/>
    <w:rsid w:val="00301321"/>
    <w:rsid w:val="003013C3"/>
    <w:rsid w:val="003015FB"/>
    <w:rsid w:val="00301ABE"/>
    <w:rsid w:val="0030211B"/>
    <w:rsid w:val="0030280E"/>
    <w:rsid w:val="003028D4"/>
    <w:rsid w:val="00302905"/>
    <w:rsid w:val="0030295B"/>
    <w:rsid w:val="00302CB5"/>
    <w:rsid w:val="00302D21"/>
    <w:rsid w:val="003031E9"/>
    <w:rsid w:val="00303507"/>
    <w:rsid w:val="003036F1"/>
    <w:rsid w:val="0030371B"/>
    <w:rsid w:val="00303775"/>
    <w:rsid w:val="00303DC6"/>
    <w:rsid w:val="00304248"/>
    <w:rsid w:val="003044D5"/>
    <w:rsid w:val="003045ED"/>
    <w:rsid w:val="00304863"/>
    <w:rsid w:val="00304C73"/>
    <w:rsid w:val="00304D82"/>
    <w:rsid w:val="0030539F"/>
    <w:rsid w:val="00305682"/>
    <w:rsid w:val="00305A75"/>
    <w:rsid w:val="00305DE2"/>
    <w:rsid w:val="00306159"/>
    <w:rsid w:val="0030618A"/>
    <w:rsid w:val="003065B7"/>
    <w:rsid w:val="00306739"/>
    <w:rsid w:val="00306837"/>
    <w:rsid w:val="00306853"/>
    <w:rsid w:val="00306ACE"/>
    <w:rsid w:val="00306ADE"/>
    <w:rsid w:val="00307046"/>
    <w:rsid w:val="003078B5"/>
    <w:rsid w:val="00307ADB"/>
    <w:rsid w:val="00307CEF"/>
    <w:rsid w:val="00310107"/>
    <w:rsid w:val="003101E4"/>
    <w:rsid w:val="003105D9"/>
    <w:rsid w:val="003109C7"/>
    <w:rsid w:val="00310B45"/>
    <w:rsid w:val="00310B98"/>
    <w:rsid w:val="00310D6A"/>
    <w:rsid w:val="00310DC8"/>
    <w:rsid w:val="00310E66"/>
    <w:rsid w:val="00311817"/>
    <w:rsid w:val="003120DC"/>
    <w:rsid w:val="0031218B"/>
    <w:rsid w:val="003123BA"/>
    <w:rsid w:val="00312768"/>
    <w:rsid w:val="003133A9"/>
    <w:rsid w:val="00313A8E"/>
    <w:rsid w:val="00313B3B"/>
    <w:rsid w:val="00313D9E"/>
    <w:rsid w:val="00313DE4"/>
    <w:rsid w:val="00313F6A"/>
    <w:rsid w:val="0031408B"/>
    <w:rsid w:val="00314585"/>
    <w:rsid w:val="003145EE"/>
    <w:rsid w:val="0031463A"/>
    <w:rsid w:val="00314B99"/>
    <w:rsid w:val="00314EEB"/>
    <w:rsid w:val="00315C6D"/>
    <w:rsid w:val="00315C77"/>
    <w:rsid w:val="00315C93"/>
    <w:rsid w:val="00315F7B"/>
    <w:rsid w:val="003163D9"/>
    <w:rsid w:val="00316576"/>
    <w:rsid w:val="003166FB"/>
    <w:rsid w:val="003169EA"/>
    <w:rsid w:val="00316A14"/>
    <w:rsid w:val="00316B16"/>
    <w:rsid w:val="00316E65"/>
    <w:rsid w:val="00316F3F"/>
    <w:rsid w:val="003178C9"/>
    <w:rsid w:val="00317936"/>
    <w:rsid w:val="00317AC5"/>
    <w:rsid w:val="003202C7"/>
    <w:rsid w:val="00320A79"/>
    <w:rsid w:val="00320C2D"/>
    <w:rsid w:val="003213AF"/>
    <w:rsid w:val="003217A7"/>
    <w:rsid w:val="003217F7"/>
    <w:rsid w:val="00321847"/>
    <w:rsid w:val="0032191D"/>
    <w:rsid w:val="00321A0A"/>
    <w:rsid w:val="00321CC7"/>
    <w:rsid w:val="00321F6E"/>
    <w:rsid w:val="0032216D"/>
    <w:rsid w:val="00322171"/>
    <w:rsid w:val="003226B0"/>
    <w:rsid w:val="003227FC"/>
    <w:rsid w:val="00322F5E"/>
    <w:rsid w:val="00322FA9"/>
    <w:rsid w:val="003230C4"/>
    <w:rsid w:val="0032376B"/>
    <w:rsid w:val="00323877"/>
    <w:rsid w:val="00323A3A"/>
    <w:rsid w:val="003244E8"/>
    <w:rsid w:val="00324618"/>
    <w:rsid w:val="00324629"/>
    <w:rsid w:val="00324991"/>
    <w:rsid w:val="00324D68"/>
    <w:rsid w:val="00325529"/>
    <w:rsid w:val="003256BF"/>
    <w:rsid w:val="00325E6B"/>
    <w:rsid w:val="00325F51"/>
    <w:rsid w:val="0032618C"/>
    <w:rsid w:val="003264AB"/>
    <w:rsid w:val="00326521"/>
    <w:rsid w:val="003269ED"/>
    <w:rsid w:val="00326B48"/>
    <w:rsid w:val="00326D33"/>
    <w:rsid w:val="00326FFC"/>
    <w:rsid w:val="00327962"/>
    <w:rsid w:val="00330063"/>
    <w:rsid w:val="0033017A"/>
    <w:rsid w:val="00330305"/>
    <w:rsid w:val="00330791"/>
    <w:rsid w:val="00330A0D"/>
    <w:rsid w:val="00330EB9"/>
    <w:rsid w:val="00330F25"/>
    <w:rsid w:val="00331377"/>
    <w:rsid w:val="00331492"/>
    <w:rsid w:val="00331547"/>
    <w:rsid w:val="00331D49"/>
    <w:rsid w:val="00331E13"/>
    <w:rsid w:val="00332110"/>
    <w:rsid w:val="00332556"/>
    <w:rsid w:val="003331D4"/>
    <w:rsid w:val="0033321D"/>
    <w:rsid w:val="003333AD"/>
    <w:rsid w:val="003334A6"/>
    <w:rsid w:val="0033395F"/>
    <w:rsid w:val="00333BE6"/>
    <w:rsid w:val="00333E65"/>
    <w:rsid w:val="00333EA4"/>
    <w:rsid w:val="003341F2"/>
    <w:rsid w:val="0033428D"/>
    <w:rsid w:val="00334503"/>
    <w:rsid w:val="0033468E"/>
    <w:rsid w:val="003347F9"/>
    <w:rsid w:val="00334CB0"/>
    <w:rsid w:val="00334F49"/>
    <w:rsid w:val="0033532B"/>
    <w:rsid w:val="003357AF"/>
    <w:rsid w:val="00335BAF"/>
    <w:rsid w:val="00335EA1"/>
    <w:rsid w:val="00336117"/>
    <w:rsid w:val="00336232"/>
    <w:rsid w:val="00336924"/>
    <w:rsid w:val="003371A8"/>
    <w:rsid w:val="00337686"/>
    <w:rsid w:val="00337C6A"/>
    <w:rsid w:val="003405A4"/>
    <w:rsid w:val="003406DB"/>
    <w:rsid w:val="003409F0"/>
    <w:rsid w:val="00340A2A"/>
    <w:rsid w:val="00340CB0"/>
    <w:rsid w:val="00341300"/>
    <w:rsid w:val="00341795"/>
    <w:rsid w:val="003417A1"/>
    <w:rsid w:val="0034211A"/>
    <w:rsid w:val="0034217C"/>
    <w:rsid w:val="003421DC"/>
    <w:rsid w:val="00342600"/>
    <w:rsid w:val="00342765"/>
    <w:rsid w:val="00343454"/>
    <w:rsid w:val="00343713"/>
    <w:rsid w:val="00343778"/>
    <w:rsid w:val="003438EA"/>
    <w:rsid w:val="00343A81"/>
    <w:rsid w:val="00343B8D"/>
    <w:rsid w:val="00344280"/>
    <w:rsid w:val="00344511"/>
    <w:rsid w:val="003446F9"/>
    <w:rsid w:val="003456BE"/>
    <w:rsid w:val="00345A3A"/>
    <w:rsid w:val="00345C44"/>
    <w:rsid w:val="00345C74"/>
    <w:rsid w:val="00345DC3"/>
    <w:rsid w:val="00345F54"/>
    <w:rsid w:val="003462AE"/>
    <w:rsid w:val="0034640F"/>
    <w:rsid w:val="003464BD"/>
    <w:rsid w:val="00346511"/>
    <w:rsid w:val="003465BE"/>
    <w:rsid w:val="0034672B"/>
    <w:rsid w:val="003467F6"/>
    <w:rsid w:val="00346C14"/>
    <w:rsid w:val="003472D8"/>
    <w:rsid w:val="00347560"/>
    <w:rsid w:val="00347695"/>
    <w:rsid w:val="0034779D"/>
    <w:rsid w:val="0034789F"/>
    <w:rsid w:val="00347C75"/>
    <w:rsid w:val="00347F16"/>
    <w:rsid w:val="00350279"/>
    <w:rsid w:val="00350682"/>
    <w:rsid w:val="0035069E"/>
    <w:rsid w:val="00350EEC"/>
    <w:rsid w:val="00350FF7"/>
    <w:rsid w:val="0035111E"/>
    <w:rsid w:val="003511DF"/>
    <w:rsid w:val="003519E7"/>
    <w:rsid w:val="00351AB4"/>
    <w:rsid w:val="00351BEC"/>
    <w:rsid w:val="00352355"/>
    <w:rsid w:val="0035287D"/>
    <w:rsid w:val="00352DB2"/>
    <w:rsid w:val="00352DE5"/>
    <w:rsid w:val="00353300"/>
    <w:rsid w:val="00354277"/>
    <w:rsid w:val="00354770"/>
    <w:rsid w:val="00354A15"/>
    <w:rsid w:val="003552CE"/>
    <w:rsid w:val="003553AB"/>
    <w:rsid w:val="00355696"/>
    <w:rsid w:val="00355D81"/>
    <w:rsid w:val="003561CE"/>
    <w:rsid w:val="0035668D"/>
    <w:rsid w:val="00356FC8"/>
    <w:rsid w:val="0035700D"/>
    <w:rsid w:val="00357252"/>
    <w:rsid w:val="003572CE"/>
    <w:rsid w:val="0035752F"/>
    <w:rsid w:val="00357E02"/>
    <w:rsid w:val="00360037"/>
    <w:rsid w:val="0036032A"/>
    <w:rsid w:val="00360486"/>
    <w:rsid w:val="00360C31"/>
    <w:rsid w:val="00360E30"/>
    <w:rsid w:val="00360EA5"/>
    <w:rsid w:val="00360F79"/>
    <w:rsid w:val="0036153B"/>
    <w:rsid w:val="003616CE"/>
    <w:rsid w:val="00361805"/>
    <w:rsid w:val="0036198C"/>
    <w:rsid w:val="00361E7A"/>
    <w:rsid w:val="0036206D"/>
    <w:rsid w:val="00362461"/>
    <w:rsid w:val="00362CA8"/>
    <w:rsid w:val="003636FC"/>
    <w:rsid w:val="00363BDD"/>
    <w:rsid w:val="00363C90"/>
    <w:rsid w:val="003641F4"/>
    <w:rsid w:val="00364247"/>
    <w:rsid w:val="003645BD"/>
    <w:rsid w:val="003646EC"/>
    <w:rsid w:val="00364D15"/>
    <w:rsid w:val="003652FB"/>
    <w:rsid w:val="0036552D"/>
    <w:rsid w:val="00365658"/>
    <w:rsid w:val="00365AAF"/>
    <w:rsid w:val="00365D29"/>
    <w:rsid w:val="0036622E"/>
    <w:rsid w:val="00366291"/>
    <w:rsid w:val="003665B4"/>
    <w:rsid w:val="00366FBC"/>
    <w:rsid w:val="003677CB"/>
    <w:rsid w:val="00367912"/>
    <w:rsid w:val="0037031B"/>
    <w:rsid w:val="003705E6"/>
    <w:rsid w:val="00370BFA"/>
    <w:rsid w:val="00371314"/>
    <w:rsid w:val="0037157C"/>
    <w:rsid w:val="003715C0"/>
    <w:rsid w:val="00371CCC"/>
    <w:rsid w:val="00371D88"/>
    <w:rsid w:val="00372462"/>
    <w:rsid w:val="0037260D"/>
    <w:rsid w:val="003726C6"/>
    <w:rsid w:val="0037271D"/>
    <w:rsid w:val="003729AD"/>
    <w:rsid w:val="00372C29"/>
    <w:rsid w:val="00372EA6"/>
    <w:rsid w:val="003734E1"/>
    <w:rsid w:val="003739D2"/>
    <w:rsid w:val="003740D9"/>
    <w:rsid w:val="003747A8"/>
    <w:rsid w:val="00374D6E"/>
    <w:rsid w:val="003759DD"/>
    <w:rsid w:val="00376B8B"/>
    <w:rsid w:val="00377536"/>
    <w:rsid w:val="00377928"/>
    <w:rsid w:val="00377C2E"/>
    <w:rsid w:val="00380350"/>
    <w:rsid w:val="00380361"/>
    <w:rsid w:val="0038044A"/>
    <w:rsid w:val="0038051A"/>
    <w:rsid w:val="00380525"/>
    <w:rsid w:val="00380927"/>
    <w:rsid w:val="00380D14"/>
    <w:rsid w:val="003813A8"/>
    <w:rsid w:val="0038172D"/>
    <w:rsid w:val="00381A4F"/>
    <w:rsid w:val="00382023"/>
    <w:rsid w:val="0038237D"/>
    <w:rsid w:val="00382443"/>
    <w:rsid w:val="0038265B"/>
    <w:rsid w:val="00382924"/>
    <w:rsid w:val="003829AD"/>
    <w:rsid w:val="00382CE5"/>
    <w:rsid w:val="00382E90"/>
    <w:rsid w:val="00383077"/>
    <w:rsid w:val="003830CC"/>
    <w:rsid w:val="0038331E"/>
    <w:rsid w:val="003833CB"/>
    <w:rsid w:val="00383920"/>
    <w:rsid w:val="00383960"/>
    <w:rsid w:val="00383BCF"/>
    <w:rsid w:val="00383D7D"/>
    <w:rsid w:val="0038439D"/>
    <w:rsid w:val="00384564"/>
    <w:rsid w:val="0038458B"/>
    <w:rsid w:val="00384C3D"/>
    <w:rsid w:val="00385693"/>
    <w:rsid w:val="0038571C"/>
    <w:rsid w:val="0038577E"/>
    <w:rsid w:val="003857C8"/>
    <w:rsid w:val="0038583A"/>
    <w:rsid w:val="0038585A"/>
    <w:rsid w:val="003858A8"/>
    <w:rsid w:val="00385A0A"/>
    <w:rsid w:val="00386866"/>
    <w:rsid w:val="00386AAE"/>
    <w:rsid w:val="00386B71"/>
    <w:rsid w:val="0038780D"/>
    <w:rsid w:val="00387819"/>
    <w:rsid w:val="00387B34"/>
    <w:rsid w:val="00390883"/>
    <w:rsid w:val="00390E2D"/>
    <w:rsid w:val="00391071"/>
    <w:rsid w:val="003913C1"/>
    <w:rsid w:val="00391A99"/>
    <w:rsid w:val="00392076"/>
    <w:rsid w:val="00392B23"/>
    <w:rsid w:val="00392B26"/>
    <w:rsid w:val="00392C65"/>
    <w:rsid w:val="00392CAB"/>
    <w:rsid w:val="00392E99"/>
    <w:rsid w:val="0039307D"/>
    <w:rsid w:val="003932CF"/>
    <w:rsid w:val="0039362B"/>
    <w:rsid w:val="00393B1D"/>
    <w:rsid w:val="00393FF2"/>
    <w:rsid w:val="0039408A"/>
    <w:rsid w:val="003940A9"/>
    <w:rsid w:val="0039487E"/>
    <w:rsid w:val="00394CA0"/>
    <w:rsid w:val="00395159"/>
    <w:rsid w:val="00395700"/>
    <w:rsid w:val="0039579B"/>
    <w:rsid w:val="00396212"/>
    <w:rsid w:val="003962E3"/>
    <w:rsid w:val="003967E6"/>
    <w:rsid w:val="00396F6F"/>
    <w:rsid w:val="0039702F"/>
    <w:rsid w:val="00397073"/>
    <w:rsid w:val="0039734E"/>
    <w:rsid w:val="00397529"/>
    <w:rsid w:val="00397538"/>
    <w:rsid w:val="00397A79"/>
    <w:rsid w:val="003A024C"/>
    <w:rsid w:val="003A027F"/>
    <w:rsid w:val="003A090E"/>
    <w:rsid w:val="003A0A30"/>
    <w:rsid w:val="003A0A65"/>
    <w:rsid w:val="003A0A6E"/>
    <w:rsid w:val="003A0E3F"/>
    <w:rsid w:val="003A0EE4"/>
    <w:rsid w:val="003A17B1"/>
    <w:rsid w:val="003A1862"/>
    <w:rsid w:val="003A1A98"/>
    <w:rsid w:val="003A1BD7"/>
    <w:rsid w:val="003A1BEA"/>
    <w:rsid w:val="003A2158"/>
    <w:rsid w:val="003A23DC"/>
    <w:rsid w:val="003A31FA"/>
    <w:rsid w:val="003A330E"/>
    <w:rsid w:val="003A35EC"/>
    <w:rsid w:val="003A362B"/>
    <w:rsid w:val="003A3826"/>
    <w:rsid w:val="003A3DBE"/>
    <w:rsid w:val="003A42A4"/>
    <w:rsid w:val="003A46E2"/>
    <w:rsid w:val="003A4708"/>
    <w:rsid w:val="003A4868"/>
    <w:rsid w:val="003A488E"/>
    <w:rsid w:val="003A4AD6"/>
    <w:rsid w:val="003A4D69"/>
    <w:rsid w:val="003A52C8"/>
    <w:rsid w:val="003A548E"/>
    <w:rsid w:val="003A5B7F"/>
    <w:rsid w:val="003A5DD7"/>
    <w:rsid w:val="003A6134"/>
    <w:rsid w:val="003A61D8"/>
    <w:rsid w:val="003A66C0"/>
    <w:rsid w:val="003A68EC"/>
    <w:rsid w:val="003A69DD"/>
    <w:rsid w:val="003A6D00"/>
    <w:rsid w:val="003A7260"/>
    <w:rsid w:val="003A7590"/>
    <w:rsid w:val="003A77CB"/>
    <w:rsid w:val="003A7CEC"/>
    <w:rsid w:val="003B05B8"/>
    <w:rsid w:val="003B079C"/>
    <w:rsid w:val="003B08A2"/>
    <w:rsid w:val="003B0A40"/>
    <w:rsid w:val="003B0C0C"/>
    <w:rsid w:val="003B0FEE"/>
    <w:rsid w:val="003B15B0"/>
    <w:rsid w:val="003B167D"/>
    <w:rsid w:val="003B170A"/>
    <w:rsid w:val="003B1930"/>
    <w:rsid w:val="003B1C52"/>
    <w:rsid w:val="003B1FCE"/>
    <w:rsid w:val="003B21D0"/>
    <w:rsid w:val="003B221D"/>
    <w:rsid w:val="003B223D"/>
    <w:rsid w:val="003B22E7"/>
    <w:rsid w:val="003B26DF"/>
    <w:rsid w:val="003B2CAC"/>
    <w:rsid w:val="003B3291"/>
    <w:rsid w:val="003B371C"/>
    <w:rsid w:val="003B4213"/>
    <w:rsid w:val="003B4696"/>
    <w:rsid w:val="003B4B16"/>
    <w:rsid w:val="003B4CAE"/>
    <w:rsid w:val="003B54F5"/>
    <w:rsid w:val="003B5E5B"/>
    <w:rsid w:val="003B604A"/>
    <w:rsid w:val="003B641F"/>
    <w:rsid w:val="003B6821"/>
    <w:rsid w:val="003B691C"/>
    <w:rsid w:val="003B6D8A"/>
    <w:rsid w:val="003B6F4C"/>
    <w:rsid w:val="003B740B"/>
    <w:rsid w:val="003B7791"/>
    <w:rsid w:val="003B7C1F"/>
    <w:rsid w:val="003B7F3A"/>
    <w:rsid w:val="003C0093"/>
    <w:rsid w:val="003C0513"/>
    <w:rsid w:val="003C06BA"/>
    <w:rsid w:val="003C0819"/>
    <w:rsid w:val="003C0C9C"/>
    <w:rsid w:val="003C0DA3"/>
    <w:rsid w:val="003C0DDD"/>
    <w:rsid w:val="003C0E86"/>
    <w:rsid w:val="003C0F16"/>
    <w:rsid w:val="003C1866"/>
    <w:rsid w:val="003C18E3"/>
    <w:rsid w:val="003C1B8D"/>
    <w:rsid w:val="003C1D3E"/>
    <w:rsid w:val="003C2379"/>
    <w:rsid w:val="003C2475"/>
    <w:rsid w:val="003C2484"/>
    <w:rsid w:val="003C2B06"/>
    <w:rsid w:val="003C2C36"/>
    <w:rsid w:val="003C31FD"/>
    <w:rsid w:val="003C328A"/>
    <w:rsid w:val="003C37CE"/>
    <w:rsid w:val="003C3C0A"/>
    <w:rsid w:val="003C45AA"/>
    <w:rsid w:val="003C46F6"/>
    <w:rsid w:val="003C49B1"/>
    <w:rsid w:val="003C5601"/>
    <w:rsid w:val="003C58C0"/>
    <w:rsid w:val="003C5993"/>
    <w:rsid w:val="003C5F48"/>
    <w:rsid w:val="003C60DE"/>
    <w:rsid w:val="003C6853"/>
    <w:rsid w:val="003C6BA5"/>
    <w:rsid w:val="003C6D20"/>
    <w:rsid w:val="003C7052"/>
    <w:rsid w:val="003C7471"/>
    <w:rsid w:val="003C79FA"/>
    <w:rsid w:val="003C7A6E"/>
    <w:rsid w:val="003D04C2"/>
    <w:rsid w:val="003D0577"/>
    <w:rsid w:val="003D08A1"/>
    <w:rsid w:val="003D0BBE"/>
    <w:rsid w:val="003D0EFA"/>
    <w:rsid w:val="003D12B7"/>
    <w:rsid w:val="003D12C7"/>
    <w:rsid w:val="003D14E9"/>
    <w:rsid w:val="003D16A2"/>
    <w:rsid w:val="003D1770"/>
    <w:rsid w:val="003D1ADF"/>
    <w:rsid w:val="003D1F22"/>
    <w:rsid w:val="003D1FA5"/>
    <w:rsid w:val="003D2040"/>
    <w:rsid w:val="003D270E"/>
    <w:rsid w:val="003D2776"/>
    <w:rsid w:val="003D2ADC"/>
    <w:rsid w:val="003D2AE4"/>
    <w:rsid w:val="003D2D4B"/>
    <w:rsid w:val="003D2F22"/>
    <w:rsid w:val="003D2F60"/>
    <w:rsid w:val="003D308C"/>
    <w:rsid w:val="003D326D"/>
    <w:rsid w:val="003D354B"/>
    <w:rsid w:val="003D368C"/>
    <w:rsid w:val="003D405C"/>
    <w:rsid w:val="003D4063"/>
    <w:rsid w:val="003D42E7"/>
    <w:rsid w:val="003D4C3A"/>
    <w:rsid w:val="003D51F9"/>
    <w:rsid w:val="003D53CC"/>
    <w:rsid w:val="003D553B"/>
    <w:rsid w:val="003D5C94"/>
    <w:rsid w:val="003D65E6"/>
    <w:rsid w:val="003D6652"/>
    <w:rsid w:val="003D69B6"/>
    <w:rsid w:val="003D6C16"/>
    <w:rsid w:val="003D6F60"/>
    <w:rsid w:val="003D744F"/>
    <w:rsid w:val="003D74AB"/>
    <w:rsid w:val="003D7916"/>
    <w:rsid w:val="003D7AD0"/>
    <w:rsid w:val="003D7CB8"/>
    <w:rsid w:val="003E0034"/>
    <w:rsid w:val="003E04A6"/>
    <w:rsid w:val="003E0852"/>
    <w:rsid w:val="003E0870"/>
    <w:rsid w:val="003E087D"/>
    <w:rsid w:val="003E0B3E"/>
    <w:rsid w:val="003E0B8B"/>
    <w:rsid w:val="003E0FC9"/>
    <w:rsid w:val="003E1028"/>
    <w:rsid w:val="003E18D7"/>
    <w:rsid w:val="003E1A46"/>
    <w:rsid w:val="003E2067"/>
    <w:rsid w:val="003E21C7"/>
    <w:rsid w:val="003E2BAD"/>
    <w:rsid w:val="003E2C11"/>
    <w:rsid w:val="003E30C3"/>
    <w:rsid w:val="003E3175"/>
    <w:rsid w:val="003E3380"/>
    <w:rsid w:val="003E3455"/>
    <w:rsid w:val="003E388C"/>
    <w:rsid w:val="003E3B8E"/>
    <w:rsid w:val="003E40A6"/>
    <w:rsid w:val="003E41DA"/>
    <w:rsid w:val="003E4436"/>
    <w:rsid w:val="003E45A7"/>
    <w:rsid w:val="003E45AF"/>
    <w:rsid w:val="003E47F4"/>
    <w:rsid w:val="003E4921"/>
    <w:rsid w:val="003E4B9D"/>
    <w:rsid w:val="003E4FD1"/>
    <w:rsid w:val="003E559E"/>
    <w:rsid w:val="003E55E0"/>
    <w:rsid w:val="003E5B48"/>
    <w:rsid w:val="003E5B66"/>
    <w:rsid w:val="003E615E"/>
    <w:rsid w:val="003E62DD"/>
    <w:rsid w:val="003E6420"/>
    <w:rsid w:val="003E6552"/>
    <w:rsid w:val="003E6F9F"/>
    <w:rsid w:val="003E7029"/>
    <w:rsid w:val="003E713C"/>
    <w:rsid w:val="003E716C"/>
    <w:rsid w:val="003E7438"/>
    <w:rsid w:val="003E751D"/>
    <w:rsid w:val="003E7792"/>
    <w:rsid w:val="003E7B71"/>
    <w:rsid w:val="003F00F3"/>
    <w:rsid w:val="003F0A4E"/>
    <w:rsid w:val="003F0A66"/>
    <w:rsid w:val="003F11D0"/>
    <w:rsid w:val="003F1269"/>
    <w:rsid w:val="003F15C1"/>
    <w:rsid w:val="003F1723"/>
    <w:rsid w:val="003F19BE"/>
    <w:rsid w:val="003F1C48"/>
    <w:rsid w:val="003F2B81"/>
    <w:rsid w:val="003F2E9E"/>
    <w:rsid w:val="003F300C"/>
    <w:rsid w:val="003F333F"/>
    <w:rsid w:val="003F33B8"/>
    <w:rsid w:val="003F3874"/>
    <w:rsid w:val="003F394A"/>
    <w:rsid w:val="003F3D09"/>
    <w:rsid w:val="003F3F1F"/>
    <w:rsid w:val="003F4040"/>
    <w:rsid w:val="003F41AE"/>
    <w:rsid w:val="003F4375"/>
    <w:rsid w:val="003F4571"/>
    <w:rsid w:val="003F4614"/>
    <w:rsid w:val="003F466F"/>
    <w:rsid w:val="003F4975"/>
    <w:rsid w:val="003F4AF4"/>
    <w:rsid w:val="003F4EE5"/>
    <w:rsid w:val="003F4FC3"/>
    <w:rsid w:val="003F5075"/>
    <w:rsid w:val="003F5BCB"/>
    <w:rsid w:val="003F5C08"/>
    <w:rsid w:val="003F5C24"/>
    <w:rsid w:val="003F5CDD"/>
    <w:rsid w:val="003F5D05"/>
    <w:rsid w:val="003F5EB6"/>
    <w:rsid w:val="003F6127"/>
    <w:rsid w:val="003F6781"/>
    <w:rsid w:val="003F69D9"/>
    <w:rsid w:val="003F6C2D"/>
    <w:rsid w:val="003F6DF7"/>
    <w:rsid w:val="003F6DFA"/>
    <w:rsid w:val="003F7089"/>
    <w:rsid w:val="003F709E"/>
    <w:rsid w:val="003F70EC"/>
    <w:rsid w:val="003F7643"/>
    <w:rsid w:val="003F7D36"/>
    <w:rsid w:val="00400017"/>
    <w:rsid w:val="0040020B"/>
    <w:rsid w:val="00400243"/>
    <w:rsid w:val="004005EE"/>
    <w:rsid w:val="004005FF"/>
    <w:rsid w:val="00400CA8"/>
    <w:rsid w:val="00401003"/>
    <w:rsid w:val="00401774"/>
    <w:rsid w:val="004018DB"/>
    <w:rsid w:val="00401A37"/>
    <w:rsid w:val="00401D65"/>
    <w:rsid w:val="00401F3D"/>
    <w:rsid w:val="0040215A"/>
    <w:rsid w:val="00402906"/>
    <w:rsid w:val="0040299B"/>
    <w:rsid w:val="00402D53"/>
    <w:rsid w:val="00402E73"/>
    <w:rsid w:val="00403046"/>
    <w:rsid w:val="0040310B"/>
    <w:rsid w:val="004033F7"/>
    <w:rsid w:val="0040385F"/>
    <w:rsid w:val="00403A00"/>
    <w:rsid w:val="00403CB8"/>
    <w:rsid w:val="00403D4F"/>
    <w:rsid w:val="00403E06"/>
    <w:rsid w:val="00403E3D"/>
    <w:rsid w:val="004049A0"/>
    <w:rsid w:val="00404BFA"/>
    <w:rsid w:val="00404EF3"/>
    <w:rsid w:val="00404F68"/>
    <w:rsid w:val="00405AFC"/>
    <w:rsid w:val="00405DFC"/>
    <w:rsid w:val="00406060"/>
    <w:rsid w:val="004065A9"/>
    <w:rsid w:val="00406793"/>
    <w:rsid w:val="004067D0"/>
    <w:rsid w:val="00406AA6"/>
    <w:rsid w:val="00406BB0"/>
    <w:rsid w:val="00407078"/>
    <w:rsid w:val="00407166"/>
    <w:rsid w:val="00407717"/>
    <w:rsid w:val="00410836"/>
    <w:rsid w:val="00410BBF"/>
    <w:rsid w:val="00410BF4"/>
    <w:rsid w:val="00410DEA"/>
    <w:rsid w:val="00410F2C"/>
    <w:rsid w:val="00411059"/>
    <w:rsid w:val="004114A4"/>
    <w:rsid w:val="00411888"/>
    <w:rsid w:val="0041294E"/>
    <w:rsid w:val="00412987"/>
    <w:rsid w:val="004131A3"/>
    <w:rsid w:val="00413218"/>
    <w:rsid w:val="004132F3"/>
    <w:rsid w:val="0041339E"/>
    <w:rsid w:val="00413414"/>
    <w:rsid w:val="00413438"/>
    <w:rsid w:val="0041367D"/>
    <w:rsid w:val="00413F62"/>
    <w:rsid w:val="00413FC1"/>
    <w:rsid w:val="0041404A"/>
    <w:rsid w:val="004140E9"/>
    <w:rsid w:val="00414564"/>
    <w:rsid w:val="0041479F"/>
    <w:rsid w:val="00414805"/>
    <w:rsid w:val="00414BF5"/>
    <w:rsid w:val="00414D1C"/>
    <w:rsid w:val="004161E3"/>
    <w:rsid w:val="0041685F"/>
    <w:rsid w:val="00416A12"/>
    <w:rsid w:val="00416AB4"/>
    <w:rsid w:val="00416D8F"/>
    <w:rsid w:val="00416F05"/>
    <w:rsid w:val="00416F38"/>
    <w:rsid w:val="00417340"/>
    <w:rsid w:val="0041735A"/>
    <w:rsid w:val="00417B5E"/>
    <w:rsid w:val="00417BC8"/>
    <w:rsid w:val="004200CE"/>
    <w:rsid w:val="00420178"/>
    <w:rsid w:val="004203EE"/>
    <w:rsid w:val="00420735"/>
    <w:rsid w:val="00420869"/>
    <w:rsid w:val="00420A7A"/>
    <w:rsid w:val="0042122A"/>
    <w:rsid w:val="004214F5"/>
    <w:rsid w:val="00421778"/>
    <w:rsid w:val="004223D9"/>
    <w:rsid w:val="00422ACC"/>
    <w:rsid w:val="00422BB7"/>
    <w:rsid w:val="00423007"/>
    <w:rsid w:val="00423071"/>
    <w:rsid w:val="00423216"/>
    <w:rsid w:val="00423ACD"/>
    <w:rsid w:val="00424129"/>
    <w:rsid w:val="00424802"/>
    <w:rsid w:val="004248D8"/>
    <w:rsid w:val="00424B67"/>
    <w:rsid w:val="00424F95"/>
    <w:rsid w:val="00425BCD"/>
    <w:rsid w:val="00425D9B"/>
    <w:rsid w:val="004260D2"/>
    <w:rsid w:val="00426489"/>
    <w:rsid w:val="0042661B"/>
    <w:rsid w:val="0042697A"/>
    <w:rsid w:val="00426B17"/>
    <w:rsid w:val="00426F19"/>
    <w:rsid w:val="0042719D"/>
    <w:rsid w:val="004279D9"/>
    <w:rsid w:val="00427BC9"/>
    <w:rsid w:val="00427BDC"/>
    <w:rsid w:val="004300C0"/>
    <w:rsid w:val="00430155"/>
    <w:rsid w:val="004303D0"/>
    <w:rsid w:val="00430611"/>
    <w:rsid w:val="00430A14"/>
    <w:rsid w:val="00430A93"/>
    <w:rsid w:val="0043104C"/>
    <w:rsid w:val="004313C6"/>
    <w:rsid w:val="00431479"/>
    <w:rsid w:val="00431745"/>
    <w:rsid w:val="0043197E"/>
    <w:rsid w:val="00431AD1"/>
    <w:rsid w:val="00431C66"/>
    <w:rsid w:val="00431D92"/>
    <w:rsid w:val="004320BA"/>
    <w:rsid w:val="00432489"/>
    <w:rsid w:val="00432884"/>
    <w:rsid w:val="004331AB"/>
    <w:rsid w:val="00433699"/>
    <w:rsid w:val="00433C42"/>
    <w:rsid w:val="00433D65"/>
    <w:rsid w:val="00433F55"/>
    <w:rsid w:val="004345F3"/>
    <w:rsid w:val="0043464D"/>
    <w:rsid w:val="00434CEF"/>
    <w:rsid w:val="00434DE7"/>
    <w:rsid w:val="00435764"/>
    <w:rsid w:val="00435941"/>
    <w:rsid w:val="004359F8"/>
    <w:rsid w:val="00435D77"/>
    <w:rsid w:val="00435F1E"/>
    <w:rsid w:val="004366F0"/>
    <w:rsid w:val="004367E6"/>
    <w:rsid w:val="004369C7"/>
    <w:rsid w:val="00436AB8"/>
    <w:rsid w:val="00436D14"/>
    <w:rsid w:val="00436EC2"/>
    <w:rsid w:val="00436F29"/>
    <w:rsid w:val="00437C2D"/>
    <w:rsid w:val="00437C5E"/>
    <w:rsid w:val="00437F81"/>
    <w:rsid w:val="00440755"/>
    <w:rsid w:val="004407E5"/>
    <w:rsid w:val="0044091C"/>
    <w:rsid w:val="00440B17"/>
    <w:rsid w:val="004426C6"/>
    <w:rsid w:val="004429EF"/>
    <w:rsid w:val="00442B7F"/>
    <w:rsid w:val="00442BB1"/>
    <w:rsid w:val="00442E9E"/>
    <w:rsid w:val="00443557"/>
    <w:rsid w:val="00444645"/>
    <w:rsid w:val="004447B4"/>
    <w:rsid w:val="00444A76"/>
    <w:rsid w:val="00444AE0"/>
    <w:rsid w:val="00445005"/>
    <w:rsid w:val="00445017"/>
    <w:rsid w:val="00445607"/>
    <w:rsid w:val="004456A2"/>
    <w:rsid w:val="00445AE7"/>
    <w:rsid w:val="00446042"/>
    <w:rsid w:val="0044639A"/>
    <w:rsid w:val="004463C4"/>
    <w:rsid w:val="00446E54"/>
    <w:rsid w:val="00447097"/>
    <w:rsid w:val="00447E5E"/>
    <w:rsid w:val="00450051"/>
    <w:rsid w:val="004505A6"/>
    <w:rsid w:val="004506AE"/>
    <w:rsid w:val="004507DC"/>
    <w:rsid w:val="0045085C"/>
    <w:rsid w:val="00451142"/>
    <w:rsid w:val="004517FF"/>
    <w:rsid w:val="004524F7"/>
    <w:rsid w:val="004525F9"/>
    <w:rsid w:val="00452883"/>
    <w:rsid w:val="00452A08"/>
    <w:rsid w:val="00452C2D"/>
    <w:rsid w:val="00452DFB"/>
    <w:rsid w:val="004535B3"/>
    <w:rsid w:val="00453707"/>
    <w:rsid w:val="0045388B"/>
    <w:rsid w:val="00454433"/>
    <w:rsid w:val="00454B48"/>
    <w:rsid w:val="00454DDA"/>
    <w:rsid w:val="0045508B"/>
    <w:rsid w:val="00455090"/>
    <w:rsid w:val="004558F5"/>
    <w:rsid w:val="0045594D"/>
    <w:rsid w:val="00455A05"/>
    <w:rsid w:val="00456BF9"/>
    <w:rsid w:val="00456C02"/>
    <w:rsid w:val="00456E5E"/>
    <w:rsid w:val="0045706B"/>
    <w:rsid w:val="0045711D"/>
    <w:rsid w:val="00457346"/>
    <w:rsid w:val="0045739A"/>
    <w:rsid w:val="00457AB9"/>
    <w:rsid w:val="00457B8B"/>
    <w:rsid w:val="00460049"/>
    <w:rsid w:val="00460396"/>
    <w:rsid w:val="00460726"/>
    <w:rsid w:val="004607F1"/>
    <w:rsid w:val="00460CEB"/>
    <w:rsid w:val="00460E94"/>
    <w:rsid w:val="00461648"/>
    <w:rsid w:val="004616A3"/>
    <w:rsid w:val="00461F0C"/>
    <w:rsid w:val="0046243E"/>
    <w:rsid w:val="00462876"/>
    <w:rsid w:val="00462C60"/>
    <w:rsid w:val="00463234"/>
    <w:rsid w:val="004637A8"/>
    <w:rsid w:val="00463F4D"/>
    <w:rsid w:val="00463F68"/>
    <w:rsid w:val="00464082"/>
    <w:rsid w:val="004640ED"/>
    <w:rsid w:val="004643E4"/>
    <w:rsid w:val="0046490D"/>
    <w:rsid w:val="0046491A"/>
    <w:rsid w:val="00464941"/>
    <w:rsid w:val="004649F8"/>
    <w:rsid w:val="00464B39"/>
    <w:rsid w:val="0046538B"/>
    <w:rsid w:val="00465950"/>
    <w:rsid w:val="00465E23"/>
    <w:rsid w:val="004664AD"/>
    <w:rsid w:val="004665CE"/>
    <w:rsid w:val="004667B5"/>
    <w:rsid w:val="004667B7"/>
    <w:rsid w:val="0046695C"/>
    <w:rsid w:val="00467050"/>
    <w:rsid w:val="004670E9"/>
    <w:rsid w:val="004670FE"/>
    <w:rsid w:val="00467933"/>
    <w:rsid w:val="00467A5F"/>
    <w:rsid w:val="00467E9C"/>
    <w:rsid w:val="00470842"/>
    <w:rsid w:val="00470BAD"/>
    <w:rsid w:val="00471924"/>
    <w:rsid w:val="00471A4F"/>
    <w:rsid w:val="00471F29"/>
    <w:rsid w:val="00472B54"/>
    <w:rsid w:val="004730B6"/>
    <w:rsid w:val="004730DB"/>
    <w:rsid w:val="0047332B"/>
    <w:rsid w:val="0047348A"/>
    <w:rsid w:val="00473660"/>
    <w:rsid w:val="004737D7"/>
    <w:rsid w:val="004738B2"/>
    <w:rsid w:val="00473CC4"/>
    <w:rsid w:val="00473F81"/>
    <w:rsid w:val="004740E3"/>
    <w:rsid w:val="00474B46"/>
    <w:rsid w:val="00474D42"/>
    <w:rsid w:val="004750C4"/>
    <w:rsid w:val="0047578C"/>
    <w:rsid w:val="00475984"/>
    <w:rsid w:val="004759CC"/>
    <w:rsid w:val="004764F8"/>
    <w:rsid w:val="00476901"/>
    <w:rsid w:val="00476C0E"/>
    <w:rsid w:val="00476C16"/>
    <w:rsid w:val="00477208"/>
    <w:rsid w:val="00477B86"/>
    <w:rsid w:val="00477BD6"/>
    <w:rsid w:val="0048042F"/>
    <w:rsid w:val="00480FE9"/>
    <w:rsid w:val="0048132F"/>
    <w:rsid w:val="0048159C"/>
    <w:rsid w:val="00481876"/>
    <w:rsid w:val="00481FC1"/>
    <w:rsid w:val="00482037"/>
    <w:rsid w:val="00482114"/>
    <w:rsid w:val="004823AC"/>
    <w:rsid w:val="00482697"/>
    <w:rsid w:val="00482DFB"/>
    <w:rsid w:val="0048389F"/>
    <w:rsid w:val="00483913"/>
    <w:rsid w:val="00484892"/>
    <w:rsid w:val="00484E4B"/>
    <w:rsid w:val="00485269"/>
    <w:rsid w:val="00485945"/>
    <w:rsid w:val="00485C7F"/>
    <w:rsid w:val="00485FF5"/>
    <w:rsid w:val="00486227"/>
    <w:rsid w:val="00486945"/>
    <w:rsid w:val="004869D1"/>
    <w:rsid w:val="00486A79"/>
    <w:rsid w:val="00486FB9"/>
    <w:rsid w:val="004873DE"/>
    <w:rsid w:val="004874DC"/>
    <w:rsid w:val="00487581"/>
    <w:rsid w:val="00487617"/>
    <w:rsid w:val="00487740"/>
    <w:rsid w:val="00487C6C"/>
    <w:rsid w:val="00487D91"/>
    <w:rsid w:val="00487FA4"/>
    <w:rsid w:val="004901A2"/>
    <w:rsid w:val="0049023D"/>
    <w:rsid w:val="0049043B"/>
    <w:rsid w:val="004906AF"/>
    <w:rsid w:val="00491043"/>
    <w:rsid w:val="00491296"/>
    <w:rsid w:val="00491D5C"/>
    <w:rsid w:val="00492B8B"/>
    <w:rsid w:val="00492DC6"/>
    <w:rsid w:val="00492E6B"/>
    <w:rsid w:val="00493183"/>
    <w:rsid w:val="00493447"/>
    <w:rsid w:val="004935C3"/>
    <w:rsid w:val="00493A12"/>
    <w:rsid w:val="00493A6F"/>
    <w:rsid w:val="004944FD"/>
    <w:rsid w:val="00494563"/>
    <w:rsid w:val="00494F46"/>
    <w:rsid w:val="004957EA"/>
    <w:rsid w:val="00495A15"/>
    <w:rsid w:val="00495BC9"/>
    <w:rsid w:val="00495E67"/>
    <w:rsid w:val="004960C3"/>
    <w:rsid w:val="004963E8"/>
    <w:rsid w:val="00496B09"/>
    <w:rsid w:val="00496C94"/>
    <w:rsid w:val="00496CF8"/>
    <w:rsid w:val="00496DD8"/>
    <w:rsid w:val="00497753"/>
    <w:rsid w:val="00497BE2"/>
    <w:rsid w:val="004A0258"/>
    <w:rsid w:val="004A1ADB"/>
    <w:rsid w:val="004A2547"/>
    <w:rsid w:val="004A261B"/>
    <w:rsid w:val="004A2949"/>
    <w:rsid w:val="004A2985"/>
    <w:rsid w:val="004A2D52"/>
    <w:rsid w:val="004A2EA7"/>
    <w:rsid w:val="004A32CF"/>
    <w:rsid w:val="004A3963"/>
    <w:rsid w:val="004A3DAA"/>
    <w:rsid w:val="004A43FD"/>
    <w:rsid w:val="004A47F0"/>
    <w:rsid w:val="004A4BD4"/>
    <w:rsid w:val="004A5082"/>
    <w:rsid w:val="004A5246"/>
    <w:rsid w:val="004A5412"/>
    <w:rsid w:val="004A6176"/>
    <w:rsid w:val="004A63CB"/>
    <w:rsid w:val="004A706C"/>
    <w:rsid w:val="004A7106"/>
    <w:rsid w:val="004A784A"/>
    <w:rsid w:val="004A79ED"/>
    <w:rsid w:val="004A7A99"/>
    <w:rsid w:val="004A7ECC"/>
    <w:rsid w:val="004B0559"/>
    <w:rsid w:val="004B11A8"/>
    <w:rsid w:val="004B144C"/>
    <w:rsid w:val="004B190E"/>
    <w:rsid w:val="004B196C"/>
    <w:rsid w:val="004B2050"/>
    <w:rsid w:val="004B2407"/>
    <w:rsid w:val="004B25A5"/>
    <w:rsid w:val="004B2BBB"/>
    <w:rsid w:val="004B319D"/>
    <w:rsid w:val="004B3EE7"/>
    <w:rsid w:val="004B44BB"/>
    <w:rsid w:val="004B460B"/>
    <w:rsid w:val="004B49B8"/>
    <w:rsid w:val="004B500B"/>
    <w:rsid w:val="004B51C5"/>
    <w:rsid w:val="004B54CD"/>
    <w:rsid w:val="004B59EA"/>
    <w:rsid w:val="004B5A69"/>
    <w:rsid w:val="004B6008"/>
    <w:rsid w:val="004B6564"/>
    <w:rsid w:val="004B6620"/>
    <w:rsid w:val="004B6B26"/>
    <w:rsid w:val="004B6DAB"/>
    <w:rsid w:val="004B7410"/>
    <w:rsid w:val="004B753B"/>
    <w:rsid w:val="004B7D18"/>
    <w:rsid w:val="004C04C8"/>
    <w:rsid w:val="004C0544"/>
    <w:rsid w:val="004C06DB"/>
    <w:rsid w:val="004C0717"/>
    <w:rsid w:val="004C0863"/>
    <w:rsid w:val="004C0A9A"/>
    <w:rsid w:val="004C0D14"/>
    <w:rsid w:val="004C154B"/>
    <w:rsid w:val="004C1654"/>
    <w:rsid w:val="004C1A9F"/>
    <w:rsid w:val="004C1B11"/>
    <w:rsid w:val="004C1BE6"/>
    <w:rsid w:val="004C1C1E"/>
    <w:rsid w:val="004C1D18"/>
    <w:rsid w:val="004C1E47"/>
    <w:rsid w:val="004C2E55"/>
    <w:rsid w:val="004C3293"/>
    <w:rsid w:val="004C3314"/>
    <w:rsid w:val="004C39CD"/>
    <w:rsid w:val="004C3F35"/>
    <w:rsid w:val="004C3F62"/>
    <w:rsid w:val="004C4351"/>
    <w:rsid w:val="004C453B"/>
    <w:rsid w:val="004C48D0"/>
    <w:rsid w:val="004C5362"/>
    <w:rsid w:val="004C54A7"/>
    <w:rsid w:val="004C56E1"/>
    <w:rsid w:val="004C5828"/>
    <w:rsid w:val="004C585D"/>
    <w:rsid w:val="004C5A61"/>
    <w:rsid w:val="004C6091"/>
    <w:rsid w:val="004C60A8"/>
    <w:rsid w:val="004C64FE"/>
    <w:rsid w:val="004C6FD6"/>
    <w:rsid w:val="004C6FEF"/>
    <w:rsid w:val="004C71A7"/>
    <w:rsid w:val="004C72FC"/>
    <w:rsid w:val="004C79C1"/>
    <w:rsid w:val="004C7B32"/>
    <w:rsid w:val="004C7DE0"/>
    <w:rsid w:val="004C7FEB"/>
    <w:rsid w:val="004D081D"/>
    <w:rsid w:val="004D0A26"/>
    <w:rsid w:val="004D1350"/>
    <w:rsid w:val="004D1398"/>
    <w:rsid w:val="004D166E"/>
    <w:rsid w:val="004D1955"/>
    <w:rsid w:val="004D1A6F"/>
    <w:rsid w:val="004D1AB4"/>
    <w:rsid w:val="004D1F55"/>
    <w:rsid w:val="004D275F"/>
    <w:rsid w:val="004D2B65"/>
    <w:rsid w:val="004D2C6D"/>
    <w:rsid w:val="004D3A23"/>
    <w:rsid w:val="004D3B0C"/>
    <w:rsid w:val="004D45F8"/>
    <w:rsid w:val="004D4804"/>
    <w:rsid w:val="004D48C9"/>
    <w:rsid w:val="004D4C14"/>
    <w:rsid w:val="004D510C"/>
    <w:rsid w:val="004D5119"/>
    <w:rsid w:val="004D5187"/>
    <w:rsid w:val="004D53A6"/>
    <w:rsid w:val="004D53AD"/>
    <w:rsid w:val="004D5FA0"/>
    <w:rsid w:val="004D6375"/>
    <w:rsid w:val="004D6555"/>
    <w:rsid w:val="004D6659"/>
    <w:rsid w:val="004D683F"/>
    <w:rsid w:val="004D686F"/>
    <w:rsid w:val="004D69FF"/>
    <w:rsid w:val="004D6A46"/>
    <w:rsid w:val="004D6AEC"/>
    <w:rsid w:val="004D6CC4"/>
    <w:rsid w:val="004D6CCF"/>
    <w:rsid w:val="004D7336"/>
    <w:rsid w:val="004D78D7"/>
    <w:rsid w:val="004D791B"/>
    <w:rsid w:val="004D798D"/>
    <w:rsid w:val="004D7D69"/>
    <w:rsid w:val="004D7E5F"/>
    <w:rsid w:val="004D7E61"/>
    <w:rsid w:val="004D7ECF"/>
    <w:rsid w:val="004D7F07"/>
    <w:rsid w:val="004E00F3"/>
    <w:rsid w:val="004E027C"/>
    <w:rsid w:val="004E02A1"/>
    <w:rsid w:val="004E1097"/>
    <w:rsid w:val="004E1519"/>
    <w:rsid w:val="004E1744"/>
    <w:rsid w:val="004E1965"/>
    <w:rsid w:val="004E1D8A"/>
    <w:rsid w:val="004E1FFB"/>
    <w:rsid w:val="004E28DA"/>
    <w:rsid w:val="004E29F5"/>
    <w:rsid w:val="004E2B19"/>
    <w:rsid w:val="004E3854"/>
    <w:rsid w:val="004E3B67"/>
    <w:rsid w:val="004E3EC0"/>
    <w:rsid w:val="004E3FD8"/>
    <w:rsid w:val="004E4882"/>
    <w:rsid w:val="004E4D4B"/>
    <w:rsid w:val="004E4E7E"/>
    <w:rsid w:val="004E5158"/>
    <w:rsid w:val="004E57F5"/>
    <w:rsid w:val="004E5B39"/>
    <w:rsid w:val="004E5D51"/>
    <w:rsid w:val="004E636E"/>
    <w:rsid w:val="004E667A"/>
    <w:rsid w:val="004E6C02"/>
    <w:rsid w:val="004E6E28"/>
    <w:rsid w:val="004E6F9A"/>
    <w:rsid w:val="004E6FEF"/>
    <w:rsid w:val="004E7054"/>
    <w:rsid w:val="004E71C6"/>
    <w:rsid w:val="004E71F2"/>
    <w:rsid w:val="004E7308"/>
    <w:rsid w:val="004E75E7"/>
    <w:rsid w:val="004E79E9"/>
    <w:rsid w:val="004E7C74"/>
    <w:rsid w:val="004E7EC8"/>
    <w:rsid w:val="004E7F27"/>
    <w:rsid w:val="004F0240"/>
    <w:rsid w:val="004F0242"/>
    <w:rsid w:val="004F075E"/>
    <w:rsid w:val="004F0C8D"/>
    <w:rsid w:val="004F11ED"/>
    <w:rsid w:val="004F1661"/>
    <w:rsid w:val="004F1964"/>
    <w:rsid w:val="004F1A97"/>
    <w:rsid w:val="004F1A9B"/>
    <w:rsid w:val="004F1D71"/>
    <w:rsid w:val="004F2406"/>
    <w:rsid w:val="004F264A"/>
    <w:rsid w:val="004F27CE"/>
    <w:rsid w:val="004F2A5C"/>
    <w:rsid w:val="004F2E71"/>
    <w:rsid w:val="004F311E"/>
    <w:rsid w:val="004F31C2"/>
    <w:rsid w:val="004F38ED"/>
    <w:rsid w:val="004F48C1"/>
    <w:rsid w:val="004F4910"/>
    <w:rsid w:val="004F4C4C"/>
    <w:rsid w:val="004F57F7"/>
    <w:rsid w:val="004F5806"/>
    <w:rsid w:val="004F5C95"/>
    <w:rsid w:val="004F5D03"/>
    <w:rsid w:val="004F63CB"/>
    <w:rsid w:val="004F6651"/>
    <w:rsid w:val="004F679C"/>
    <w:rsid w:val="004F6B82"/>
    <w:rsid w:val="004F6C32"/>
    <w:rsid w:val="004F6D72"/>
    <w:rsid w:val="004F7191"/>
    <w:rsid w:val="004F71A6"/>
    <w:rsid w:val="004F76EC"/>
    <w:rsid w:val="004F7806"/>
    <w:rsid w:val="004F7BF6"/>
    <w:rsid w:val="00500263"/>
    <w:rsid w:val="005003C5"/>
    <w:rsid w:val="00501227"/>
    <w:rsid w:val="00501A03"/>
    <w:rsid w:val="00501B91"/>
    <w:rsid w:val="005025AB"/>
    <w:rsid w:val="0050268F"/>
    <w:rsid w:val="005026B6"/>
    <w:rsid w:val="00502B70"/>
    <w:rsid w:val="00502D2B"/>
    <w:rsid w:val="00502D2C"/>
    <w:rsid w:val="00503014"/>
    <w:rsid w:val="00503069"/>
    <w:rsid w:val="005031A3"/>
    <w:rsid w:val="005031B0"/>
    <w:rsid w:val="00503389"/>
    <w:rsid w:val="00503570"/>
    <w:rsid w:val="005036E1"/>
    <w:rsid w:val="0050370F"/>
    <w:rsid w:val="005037D6"/>
    <w:rsid w:val="005037DB"/>
    <w:rsid w:val="00503A28"/>
    <w:rsid w:val="00503C67"/>
    <w:rsid w:val="00503E51"/>
    <w:rsid w:val="005041FE"/>
    <w:rsid w:val="0050429A"/>
    <w:rsid w:val="0050432D"/>
    <w:rsid w:val="005044A2"/>
    <w:rsid w:val="005048F2"/>
    <w:rsid w:val="00504AC0"/>
    <w:rsid w:val="00504ACF"/>
    <w:rsid w:val="00504C43"/>
    <w:rsid w:val="00504D9C"/>
    <w:rsid w:val="00505599"/>
    <w:rsid w:val="0050585D"/>
    <w:rsid w:val="0050607F"/>
    <w:rsid w:val="00506820"/>
    <w:rsid w:val="005069F3"/>
    <w:rsid w:val="00506CD4"/>
    <w:rsid w:val="00506DFC"/>
    <w:rsid w:val="00506E6A"/>
    <w:rsid w:val="00506F88"/>
    <w:rsid w:val="00506FA6"/>
    <w:rsid w:val="0050752D"/>
    <w:rsid w:val="00507581"/>
    <w:rsid w:val="00507AAD"/>
    <w:rsid w:val="00507CD5"/>
    <w:rsid w:val="00510148"/>
    <w:rsid w:val="005103D0"/>
    <w:rsid w:val="0051046F"/>
    <w:rsid w:val="0051079B"/>
    <w:rsid w:val="00510973"/>
    <w:rsid w:val="00510A9F"/>
    <w:rsid w:val="00510EB7"/>
    <w:rsid w:val="005110F4"/>
    <w:rsid w:val="00511271"/>
    <w:rsid w:val="0051133E"/>
    <w:rsid w:val="005117A6"/>
    <w:rsid w:val="00511D80"/>
    <w:rsid w:val="00512060"/>
    <w:rsid w:val="00512072"/>
    <w:rsid w:val="005120F8"/>
    <w:rsid w:val="00512A8C"/>
    <w:rsid w:val="00512C93"/>
    <w:rsid w:val="00512F73"/>
    <w:rsid w:val="0051311B"/>
    <w:rsid w:val="0051355E"/>
    <w:rsid w:val="005137C7"/>
    <w:rsid w:val="00513CE1"/>
    <w:rsid w:val="00513D66"/>
    <w:rsid w:val="00514365"/>
    <w:rsid w:val="00514CA5"/>
    <w:rsid w:val="00514DAB"/>
    <w:rsid w:val="00514DE5"/>
    <w:rsid w:val="00514F7D"/>
    <w:rsid w:val="00515167"/>
    <w:rsid w:val="00515600"/>
    <w:rsid w:val="00515F0A"/>
    <w:rsid w:val="00516EF7"/>
    <w:rsid w:val="00517159"/>
    <w:rsid w:val="00517538"/>
    <w:rsid w:val="005204EF"/>
    <w:rsid w:val="0052071F"/>
    <w:rsid w:val="00520748"/>
    <w:rsid w:val="0052081D"/>
    <w:rsid w:val="00520AF7"/>
    <w:rsid w:val="00520E80"/>
    <w:rsid w:val="00521070"/>
    <w:rsid w:val="005213C5"/>
    <w:rsid w:val="00521610"/>
    <w:rsid w:val="005219F0"/>
    <w:rsid w:val="005220BB"/>
    <w:rsid w:val="00522730"/>
    <w:rsid w:val="005229FA"/>
    <w:rsid w:val="00522A0D"/>
    <w:rsid w:val="00522CF3"/>
    <w:rsid w:val="00522DF4"/>
    <w:rsid w:val="00522E39"/>
    <w:rsid w:val="00522E6F"/>
    <w:rsid w:val="00522F0E"/>
    <w:rsid w:val="00523152"/>
    <w:rsid w:val="0052371E"/>
    <w:rsid w:val="00523B05"/>
    <w:rsid w:val="00524171"/>
    <w:rsid w:val="00524403"/>
    <w:rsid w:val="005248E9"/>
    <w:rsid w:val="005252B4"/>
    <w:rsid w:val="00525AED"/>
    <w:rsid w:val="00525BD2"/>
    <w:rsid w:val="005261DA"/>
    <w:rsid w:val="005262E4"/>
    <w:rsid w:val="005264F5"/>
    <w:rsid w:val="00526500"/>
    <w:rsid w:val="00526540"/>
    <w:rsid w:val="005266C4"/>
    <w:rsid w:val="00526817"/>
    <w:rsid w:val="00526A25"/>
    <w:rsid w:val="00526AB7"/>
    <w:rsid w:val="00526B94"/>
    <w:rsid w:val="00527222"/>
    <w:rsid w:val="00527406"/>
    <w:rsid w:val="00527605"/>
    <w:rsid w:val="0052760B"/>
    <w:rsid w:val="0052787A"/>
    <w:rsid w:val="00527C19"/>
    <w:rsid w:val="00527C84"/>
    <w:rsid w:val="00527CD5"/>
    <w:rsid w:val="00527CDB"/>
    <w:rsid w:val="00527E5F"/>
    <w:rsid w:val="005300E7"/>
    <w:rsid w:val="005304B7"/>
    <w:rsid w:val="0053076F"/>
    <w:rsid w:val="00530A18"/>
    <w:rsid w:val="00530B60"/>
    <w:rsid w:val="00530CF1"/>
    <w:rsid w:val="00530D15"/>
    <w:rsid w:val="00530D48"/>
    <w:rsid w:val="005310B5"/>
    <w:rsid w:val="00531215"/>
    <w:rsid w:val="00531388"/>
    <w:rsid w:val="005316CA"/>
    <w:rsid w:val="005318A0"/>
    <w:rsid w:val="00531C9F"/>
    <w:rsid w:val="00531CDA"/>
    <w:rsid w:val="00531DC3"/>
    <w:rsid w:val="00532473"/>
    <w:rsid w:val="0053279B"/>
    <w:rsid w:val="0053317F"/>
    <w:rsid w:val="005332BA"/>
    <w:rsid w:val="005332EA"/>
    <w:rsid w:val="00533452"/>
    <w:rsid w:val="00533CD6"/>
    <w:rsid w:val="00533DCF"/>
    <w:rsid w:val="00534217"/>
    <w:rsid w:val="00534835"/>
    <w:rsid w:val="005352E9"/>
    <w:rsid w:val="005352EC"/>
    <w:rsid w:val="005353B5"/>
    <w:rsid w:val="005354A7"/>
    <w:rsid w:val="005357D7"/>
    <w:rsid w:val="00535902"/>
    <w:rsid w:val="00535CDC"/>
    <w:rsid w:val="00535ED8"/>
    <w:rsid w:val="005365C0"/>
    <w:rsid w:val="00536C58"/>
    <w:rsid w:val="00536CFC"/>
    <w:rsid w:val="00536D60"/>
    <w:rsid w:val="00537007"/>
    <w:rsid w:val="0053799E"/>
    <w:rsid w:val="00537E07"/>
    <w:rsid w:val="00537F01"/>
    <w:rsid w:val="00540A1B"/>
    <w:rsid w:val="00540A1C"/>
    <w:rsid w:val="00540E55"/>
    <w:rsid w:val="00540F19"/>
    <w:rsid w:val="00541400"/>
    <w:rsid w:val="00541657"/>
    <w:rsid w:val="00541816"/>
    <w:rsid w:val="00541830"/>
    <w:rsid w:val="00541D4F"/>
    <w:rsid w:val="00541F50"/>
    <w:rsid w:val="00541F55"/>
    <w:rsid w:val="00542985"/>
    <w:rsid w:val="005429CD"/>
    <w:rsid w:val="00542AA0"/>
    <w:rsid w:val="00542BBD"/>
    <w:rsid w:val="0054315F"/>
    <w:rsid w:val="00543218"/>
    <w:rsid w:val="005433DF"/>
    <w:rsid w:val="005437ED"/>
    <w:rsid w:val="00543D61"/>
    <w:rsid w:val="005442EE"/>
    <w:rsid w:val="005450D7"/>
    <w:rsid w:val="005450E2"/>
    <w:rsid w:val="00545780"/>
    <w:rsid w:val="00545F87"/>
    <w:rsid w:val="0054606B"/>
    <w:rsid w:val="00546D72"/>
    <w:rsid w:val="00546E0B"/>
    <w:rsid w:val="00550543"/>
    <w:rsid w:val="005507B4"/>
    <w:rsid w:val="0055088E"/>
    <w:rsid w:val="00550CEB"/>
    <w:rsid w:val="005511DC"/>
    <w:rsid w:val="00551C4F"/>
    <w:rsid w:val="00551E3F"/>
    <w:rsid w:val="00552314"/>
    <w:rsid w:val="005523BD"/>
    <w:rsid w:val="005529E8"/>
    <w:rsid w:val="00552AD4"/>
    <w:rsid w:val="00552B3B"/>
    <w:rsid w:val="00552DAC"/>
    <w:rsid w:val="00553031"/>
    <w:rsid w:val="005533B3"/>
    <w:rsid w:val="005535CA"/>
    <w:rsid w:val="005538B6"/>
    <w:rsid w:val="00553C2C"/>
    <w:rsid w:val="00553E6F"/>
    <w:rsid w:val="00554436"/>
    <w:rsid w:val="00554640"/>
    <w:rsid w:val="005547B4"/>
    <w:rsid w:val="005548CF"/>
    <w:rsid w:val="00554E64"/>
    <w:rsid w:val="00555023"/>
    <w:rsid w:val="00555137"/>
    <w:rsid w:val="00555506"/>
    <w:rsid w:val="005557DF"/>
    <w:rsid w:val="005574F6"/>
    <w:rsid w:val="0055764C"/>
    <w:rsid w:val="00557C1F"/>
    <w:rsid w:val="00560103"/>
    <w:rsid w:val="0056018F"/>
    <w:rsid w:val="0056023C"/>
    <w:rsid w:val="005607CB"/>
    <w:rsid w:val="00560937"/>
    <w:rsid w:val="00560BEB"/>
    <w:rsid w:val="00560D8A"/>
    <w:rsid w:val="00560F5B"/>
    <w:rsid w:val="0056106E"/>
    <w:rsid w:val="00561532"/>
    <w:rsid w:val="0056160C"/>
    <w:rsid w:val="00561F7F"/>
    <w:rsid w:val="005626C1"/>
    <w:rsid w:val="0056270D"/>
    <w:rsid w:val="005628CF"/>
    <w:rsid w:val="00562B07"/>
    <w:rsid w:val="0056302C"/>
    <w:rsid w:val="0056329B"/>
    <w:rsid w:val="0056333F"/>
    <w:rsid w:val="0056361D"/>
    <w:rsid w:val="00563992"/>
    <w:rsid w:val="005647FF"/>
    <w:rsid w:val="00564B75"/>
    <w:rsid w:val="00564B9B"/>
    <w:rsid w:val="00565AF1"/>
    <w:rsid w:val="00565DE5"/>
    <w:rsid w:val="005664FB"/>
    <w:rsid w:val="005668BA"/>
    <w:rsid w:val="00566BD8"/>
    <w:rsid w:val="00566DA4"/>
    <w:rsid w:val="00566E1B"/>
    <w:rsid w:val="0056705C"/>
    <w:rsid w:val="00567493"/>
    <w:rsid w:val="00567810"/>
    <w:rsid w:val="00567836"/>
    <w:rsid w:val="00567B72"/>
    <w:rsid w:val="00567DBC"/>
    <w:rsid w:val="00567DEC"/>
    <w:rsid w:val="0057032D"/>
    <w:rsid w:val="0057037E"/>
    <w:rsid w:val="00570540"/>
    <w:rsid w:val="0057060B"/>
    <w:rsid w:val="0057088B"/>
    <w:rsid w:val="00570892"/>
    <w:rsid w:val="00570C44"/>
    <w:rsid w:val="00570FCD"/>
    <w:rsid w:val="0057102F"/>
    <w:rsid w:val="0057108B"/>
    <w:rsid w:val="005710CB"/>
    <w:rsid w:val="005713E2"/>
    <w:rsid w:val="005716C3"/>
    <w:rsid w:val="00571775"/>
    <w:rsid w:val="00571CD6"/>
    <w:rsid w:val="00571D08"/>
    <w:rsid w:val="005723AE"/>
    <w:rsid w:val="005726A9"/>
    <w:rsid w:val="005728EC"/>
    <w:rsid w:val="00572A15"/>
    <w:rsid w:val="00572CAE"/>
    <w:rsid w:val="00572DCF"/>
    <w:rsid w:val="0057312F"/>
    <w:rsid w:val="005731BB"/>
    <w:rsid w:val="0057358B"/>
    <w:rsid w:val="00573C75"/>
    <w:rsid w:val="00574505"/>
    <w:rsid w:val="00574D47"/>
    <w:rsid w:val="005751D8"/>
    <w:rsid w:val="005754E2"/>
    <w:rsid w:val="00575622"/>
    <w:rsid w:val="00575B56"/>
    <w:rsid w:val="00575DA7"/>
    <w:rsid w:val="00575FF7"/>
    <w:rsid w:val="0057612F"/>
    <w:rsid w:val="005761B1"/>
    <w:rsid w:val="00576C95"/>
    <w:rsid w:val="00576DBC"/>
    <w:rsid w:val="00576DD7"/>
    <w:rsid w:val="00576F1B"/>
    <w:rsid w:val="00576FB0"/>
    <w:rsid w:val="00577241"/>
    <w:rsid w:val="00577363"/>
    <w:rsid w:val="005773DE"/>
    <w:rsid w:val="00577A16"/>
    <w:rsid w:val="00577DF9"/>
    <w:rsid w:val="00580245"/>
    <w:rsid w:val="0058045D"/>
    <w:rsid w:val="005807D7"/>
    <w:rsid w:val="0058096B"/>
    <w:rsid w:val="00580B31"/>
    <w:rsid w:val="005812F3"/>
    <w:rsid w:val="005816B0"/>
    <w:rsid w:val="00581973"/>
    <w:rsid w:val="0058199F"/>
    <w:rsid w:val="00581CC6"/>
    <w:rsid w:val="00581CEA"/>
    <w:rsid w:val="00581FF4"/>
    <w:rsid w:val="005826A9"/>
    <w:rsid w:val="00582726"/>
    <w:rsid w:val="00582A17"/>
    <w:rsid w:val="00583488"/>
    <w:rsid w:val="00583967"/>
    <w:rsid w:val="00583DE5"/>
    <w:rsid w:val="00584045"/>
    <w:rsid w:val="005843F0"/>
    <w:rsid w:val="005845CF"/>
    <w:rsid w:val="00584E48"/>
    <w:rsid w:val="00584ED5"/>
    <w:rsid w:val="00584F18"/>
    <w:rsid w:val="00584F5B"/>
    <w:rsid w:val="005853CD"/>
    <w:rsid w:val="00585755"/>
    <w:rsid w:val="00585A5C"/>
    <w:rsid w:val="00585C60"/>
    <w:rsid w:val="00585ED6"/>
    <w:rsid w:val="005863F6"/>
    <w:rsid w:val="00586600"/>
    <w:rsid w:val="00586B73"/>
    <w:rsid w:val="00586D85"/>
    <w:rsid w:val="00586F84"/>
    <w:rsid w:val="00587513"/>
    <w:rsid w:val="005879DA"/>
    <w:rsid w:val="00587A8F"/>
    <w:rsid w:val="0059034B"/>
    <w:rsid w:val="0059035B"/>
    <w:rsid w:val="0059043D"/>
    <w:rsid w:val="00591525"/>
    <w:rsid w:val="005915AA"/>
    <w:rsid w:val="00591C6A"/>
    <w:rsid w:val="0059253E"/>
    <w:rsid w:val="0059284A"/>
    <w:rsid w:val="005928B4"/>
    <w:rsid w:val="00592D07"/>
    <w:rsid w:val="00592DAC"/>
    <w:rsid w:val="0059364D"/>
    <w:rsid w:val="00593806"/>
    <w:rsid w:val="00593D79"/>
    <w:rsid w:val="00594638"/>
    <w:rsid w:val="00594C14"/>
    <w:rsid w:val="00594D3C"/>
    <w:rsid w:val="00594DDC"/>
    <w:rsid w:val="0059524C"/>
    <w:rsid w:val="00595566"/>
    <w:rsid w:val="00595A0C"/>
    <w:rsid w:val="00595B4D"/>
    <w:rsid w:val="00595DF4"/>
    <w:rsid w:val="00595F83"/>
    <w:rsid w:val="005961A0"/>
    <w:rsid w:val="00596327"/>
    <w:rsid w:val="0059632C"/>
    <w:rsid w:val="00596447"/>
    <w:rsid w:val="005968AB"/>
    <w:rsid w:val="0059694D"/>
    <w:rsid w:val="00596BF0"/>
    <w:rsid w:val="00596F55"/>
    <w:rsid w:val="00596FE5"/>
    <w:rsid w:val="005971A1"/>
    <w:rsid w:val="0059728C"/>
    <w:rsid w:val="0059733D"/>
    <w:rsid w:val="005977FE"/>
    <w:rsid w:val="005978C2"/>
    <w:rsid w:val="00597C94"/>
    <w:rsid w:val="005A0D46"/>
    <w:rsid w:val="005A120F"/>
    <w:rsid w:val="005A1B5F"/>
    <w:rsid w:val="005A1E98"/>
    <w:rsid w:val="005A206B"/>
    <w:rsid w:val="005A25C1"/>
    <w:rsid w:val="005A27C4"/>
    <w:rsid w:val="005A2861"/>
    <w:rsid w:val="005A2FA1"/>
    <w:rsid w:val="005A3251"/>
    <w:rsid w:val="005A3660"/>
    <w:rsid w:val="005A367A"/>
    <w:rsid w:val="005A3CA6"/>
    <w:rsid w:val="005A3DA4"/>
    <w:rsid w:val="005A3E92"/>
    <w:rsid w:val="005A4038"/>
    <w:rsid w:val="005A4058"/>
    <w:rsid w:val="005A41A6"/>
    <w:rsid w:val="005A44A2"/>
    <w:rsid w:val="005A457D"/>
    <w:rsid w:val="005A4B1F"/>
    <w:rsid w:val="005A5053"/>
    <w:rsid w:val="005A52C4"/>
    <w:rsid w:val="005A53A7"/>
    <w:rsid w:val="005A57AA"/>
    <w:rsid w:val="005A5990"/>
    <w:rsid w:val="005A5A41"/>
    <w:rsid w:val="005A6196"/>
    <w:rsid w:val="005A6AE2"/>
    <w:rsid w:val="005A6B13"/>
    <w:rsid w:val="005A6C78"/>
    <w:rsid w:val="005A6E98"/>
    <w:rsid w:val="005A733C"/>
    <w:rsid w:val="005A75FF"/>
    <w:rsid w:val="005B00FB"/>
    <w:rsid w:val="005B0303"/>
    <w:rsid w:val="005B04C5"/>
    <w:rsid w:val="005B073F"/>
    <w:rsid w:val="005B077F"/>
    <w:rsid w:val="005B07AA"/>
    <w:rsid w:val="005B09CF"/>
    <w:rsid w:val="005B0B23"/>
    <w:rsid w:val="005B102B"/>
    <w:rsid w:val="005B13B9"/>
    <w:rsid w:val="005B1435"/>
    <w:rsid w:val="005B19FF"/>
    <w:rsid w:val="005B1FB5"/>
    <w:rsid w:val="005B2317"/>
    <w:rsid w:val="005B25F4"/>
    <w:rsid w:val="005B261F"/>
    <w:rsid w:val="005B2F5E"/>
    <w:rsid w:val="005B3C5E"/>
    <w:rsid w:val="005B46F4"/>
    <w:rsid w:val="005B4B4B"/>
    <w:rsid w:val="005B4B89"/>
    <w:rsid w:val="005B4D54"/>
    <w:rsid w:val="005B51C7"/>
    <w:rsid w:val="005B54A5"/>
    <w:rsid w:val="005B561B"/>
    <w:rsid w:val="005B5F05"/>
    <w:rsid w:val="005B767B"/>
    <w:rsid w:val="005B7815"/>
    <w:rsid w:val="005B7E70"/>
    <w:rsid w:val="005C00A1"/>
    <w:rsid w:val="005C03BC"/>
    <w:rsid w:val="005C07CD"/>
    <w:rsid w:val="005C092C"/>
    <w:rsid w:val="005C0AB2"/>
    <w:rsid w:val="005C0BC4"/>
    <w:rsid w:val="005C0C1E"/>
    <w:rsid w:val="005C0C74"/>
    <w:rsid w:val="005C0C76"/>
    <w:rsid w:val="005C0CFF"/>
    <w:rsid w:val="005C0E60"/>
    <w:rsid w:val="005C0ED3"/>
    <w:rsid w:val="005C1742"/>
    <w:rsid w:val="005C1A51"/>
    <w:rsid w:val="005C1E6F"/>
    <w:rsid w:val="005C21B1"/>
    <w:rsid w:val="005C27E6"/>
    <w:rsid w:val="005C2812"/>
    <w:rsid w:val="005C2A73"/>
    <w:rsid w:val="005C2B78"/>
    <w:rsid w:val="005C2FCB"/>
    <w:rsid w:val="005C3FC0"/>
    <w:rsid w:val="005C43D0"/>
    <w:rsid w:val="005C4781"/>
    <w:rsid w:val="005C5574"/>
    <w:rsid w:val="005C5890"/>
    <w:rsid w:val="005C5D25"/>
    <w:rsid w:val="005C5D5A"/>
    <w:rsid w:val="005C5D6F"/>
    <w:rsid w:val="005C5EB4"/>
    <w:rsid w:val="005C5F8D"/>
    <w:rsid w:val="005C6B8F"/>
    <w:rsid w:val="005C6DB6"/>
    <w:rsid w:val="005C76B1"/>
    <w:rsid w:val="005C7B65"/>
    <w:rsid w:val="005C7CB9"/>
    <w:rsid w:val="005C7E0F"/>
    <w:rsid w:val="005C7FD3"/>
    <w:rsid w:val="005D01C4"/>
    <w:rsid w:val="005D0387"/>
    <w:rsid w:val="005D097E"/>
    <w:rsid w:val="005D09A6"/>
    <w:rsid w:val="005D0D79"/>
    <w:rsid w:val="005D16C1"/>
    <w:rsid w:val="005D1720"/>
    <w:rsid w:val="005D2150"/>
    <w:rsid w:val="005D2269"/>
    <w:rsid w:val="005D22C1"/>
    <w:rsid w:val="005D22CF"/>
    <w:rsid w:val="005D235C"/>
    <w:rsid w:val="005D2581"/>
    <w:rsid w:val="005D2894"/>
    <w:rsid w:val="005D2AA9"/>
    <w:rsid w:val="005D2EF5"/>
    <w:rsid w:val="005D30F1"/>
    <w:rsid w:val="005D333D"/>
    <w:rsid w:val="005D34CB"/>
    <w:rsid w:val="005D373B"/>
    <w:rsid w:val="005D3CDC"/>
    <w:rsid w:val="005D4199"/>
    <w:rsid w:val="005D41AD"/>
    <w:rsid w:val="005D450E"/>
    <w:rsid w:val="005D4510"/>
    <w:rsid w:val="005D4A77"/>
    <w:rsid w:val="005D4EE0"/>
    <w:rsid w:val="005D4F13"/>
    <w:rsid w:val="005D57E5"/>
    <w:rsid w:val="005D583E"/>
    <w:rsid w:val="005D5E3F"/>
    <w:rsid w:val="005D6389"/>
    <w:rsid w:val="005D63AE"/>
    <w:rsid w:val="005D6524"/>
    <w:rsid w:val="005D687B"/>
    <w:rsid w:val="005D6FFF"/>
    <w:rsid w:val="005D7A79"/>
    <w:rsid w:val="005D7C8F"/>
    <w:rsid w:val="005D7DCA"/>
    <w:rsid w:val="005D7DF4"/>
    <w:rsid w:val="005E0003"/>
    <w:rsid w:val="005E043B"/>
    <w:rsid w:val="005E0955"/>
    <w:rsid w:val="005E10BA"/>
    <w:rsid w:val="005E114E"/>
    <w:rsid w:val="005E119F"/>
    <w:rsid w:val="005E11CD"/>
    <w:rsid w:val="005E14C4"/>
    <w:rsid w:val="005E1574"/>
    <w:rsid w:val="005E15F6"/>
    <w:rsid w:val="005E19AA"/>
    <w:rsid w:val="005E1AFB"/>
    <w:rsid w:val="005E20EF"/>
    <w:rsid w:val="005E22E9"/>
    <w:rsid w:val="005E26D8"/>
    <w:rsid w:val="005E270A"/>
    <w:rsid w:val="005E2830"/>
    <w:rsid w:val="005E29CD"/>
    <w:rsid w:val="005E30FA"/>
    <w:rsid w:val="005E3113"/>
    <w:rsid w:val="005E3351"/>
    <w:rsid w:val="005E33BB"/>
    <w:rsid w:val="005E3506"/>
    <w:rsid w:val="005E378D"/>
    <w:rsid w:val="005E3869"/>
    <w:rsid w:val="005E3AAE"/>
    <w:rsid w:val="005E5789"/>
    <w:rsid w:val="005E57E1"/>
    <w:rsid w:val="005E57FA"/>
    <w:rsid w:val="005E5A69"/>
    <w:rsid w:val="005E5C4C"/>
    <w:rsid w:val="005E6589"/>
    <w:rsid w:val="005E6767"/>
    <w:rsid w:val="005E67C4"/>
    <w:rsid w:val="005E68FE"/>
    <w:rsid w:val="005E6961"/>
    <w:rsid w:val="005E6A55"/>
    <w:rsid w:val="005E6B0C"/>
    <w:rsid w:val="005E6F07"/>
    <w:rsid w:val="005E7532"/>
    <w:rsid w:val="005E7B12"/>
    <w:rsid w:val="005E7CBF"/>
    <w:rsid w:val="005E7E6E"/>
    <w:rsid w:val="005F047F"/>
    <w:rsid w:val="005F064C"/>
    <w:rsid w:val="005F06A7"/>
    <w:rsid w:val="005F1720"/>
    <w:rsid w:val="005F19CE"/>
    <w:rsid w:val="005F1A5B"/>
    <w:rsid w:val="005F1C67"/>
    <w:rsid w:val="005F1EDF"/>
    <w:rsid w:val="005F303E"/>
    <w:rsid w:val="005F3105"/>
    <w:rsid w:val="005F316A"/>
    <w:rsid w:val="005F339A"/>
    <w:rsid w:val="005F347F"/>
    <w:rsid w:val="005F3630"/>
    <w:rsid w:val="005F380A"/>
    <w:rsid w:val="005F383B"/>
    <w:rsid w:val="005F3BA1"/>
    <w:rsid w:val="005F3F82"/>
    <w:rsid w:val="005F3F95"/>
    <w:rsid w:val="005F41F8"/>
    <w:rsid w:val="005F42A7"/>
    <w:rsid w:val="005F456D"/>
    <w:rsid w:val="005F5121"/>
    <w:rsid w:val="005F5321"/>
    <w:rsid w:val="005F54F3"/>
    <w:rsid w:val="005F5AB3"/>
    <w:rsid w:val="005F5C0E"/>
    <w:rsid w:val="005F5CC9"/>
    <w:rsid w:val="005F5DF6"/>
    <w:rsid w:val="005F6064"/>
    <w:rsid w:val="005F60B9"/>
    <w:rsid w:val="005F62A4"/>
    <w:rsid w:val="005F63CB"/>
    <w:rsid w:val="005F6F84"/>
    <w:rsid w:val="005F709E"/>
    <w:rsid w:val="005F7320"/>
    <w:rsid w:val="005F7348"/>
    <w:rsid w:val="005F7680"/>
    <w:rsid w:val="005F77CD"/>
    <w:rsid w:val="005F7CE3"/>
    <w:rsid w:val="005F7EA3"/>
    <w:rsid w:val="006000E6"/>
    <w:rsid w:val="0060020A"/>
    <w:rsid w:val="00600263"/>
    <w:rsid w:val="0060042D"/>
    <w:rsid w:val="00600783"/>
    <w:rsid w:val="00601177"/>
    <w:rsid w:val="00601581"/>
    <w:rsid w:val="00602783"/>
    <w:rsid w:val="0060286D"/>
    <w:rsid w:val="00602959"/>
    <w:rsid w:val="00602C18"/>
    <w:rsid w:val="00602CAF"/>
    <w:rsid w:val="00603425"/>
    <w:rsid w:val="0060384E"/>
    <w:rsid w:val="0060385E"/>
    <w:rsid w:val="00603DBA"/>
    <w:rsid w:val="00604006"/>
    <w:rsid w:val="00604022"/>
    <w:rsid w:val="0060413F"/>
    <w:rsid w:val="0060424E"/>
    <w:rsid w:val="006057E0"/>
    <w:rsid w:val="0060583D"/>
    <w:rsid w:val="00605869"/>
    <w:rsid w:val="00605982"/>
    <w:rsid w:val="006059B4"/>
    <w:rsid w:val="00605F96"/>
    <w:rsid w:val="0060679C"/>
    <w:rsid w:val="006069BA"/>
    <w:rsid w:val="00606C1B"/>
    <w:rsid w:val="006071BA"/>
    <w:rsid w:val="00607559"/>
    <w:rsid w:val="00607590"/>
    <w:rsid w:val="00607814"/>
    <w:rsid w:val="00607C95"/>
    <w:rsid w:val="00610171"/>
    <w:rsid w:val="00610401"/>
    <w:rsid w:val="00610504"/>
    <w:rsid w:val="006105EB"/>
    <w:rsid w:val="00610BB1"/>
    <w:rsid w:val="00610DD9"/>
    <w:rsid w:val="00610FD2"/>
    <w:rsid w:val="0061118D"/>
    <w:rsid w:val="0061160F"/>
    <w:rsid w:val="00611938"/>
    <w:rsid w:val="006119BC"/>
    <w:rsid w:val="00611CA6"/>
    <w:rsid w:val="00612BC8"/>
    <w:rsid w:val="00612CE7"/>
    <w:rsid w:val="00613075"/>
    <w:rsid w:val="006132BE"/>
    <w:rsid w:val="00613414"/>
    <w:rsid w:val="00613988"/>
    <w:rsid w:val="00613A86"/>
    <w:rsid w:val="00613AA2"/>
    <w:rsid w:val="00613CD9"/>
    <w:rsid w:val="00613F9F"/>
    <w:rsid w:val="0061401E"/>
    <w:rsid w:val="00614030"/>
    <w:rsid w:val="0061405A"/>
    <w:rsid w:val="006141B1"/>
    <w:rsid w:val="006141BE"/>
    <w:rsid w:val="00614201"/>
    <w:rsid w:val="0061441E"/>
    <w:rsid w:val="0061497E"/>
    <w:rsid w:val="00615122"/>
    <w:rsid w:val="00615B4A"/>
    <w:rsid w:val="00616437"/>
    <w:rsid w:val="00616567"/>
    <w:rsid w:val="0061680E"/>
    <w:rsid w:val="00616DF1"/>
    <w:rsid w:val="0061722B"/>
    <w:rsid w:val="00617562"/>
    <w:rsid w:val="0061768C"/>
    <w:rsid w:val="006179EB"/>
    <w:rsid w:val="00617B98"/>
    <w:rsid w:val="00617BDB"/>
    <w:rsid w:val="00617FEE"/>
    <w:rsid w:val="006202E1"/>
    <w:rsid w:val="0062030D"/>
    <w:rsid w:val="00620402"/>
    <w:rsid w:val="00620597"/>
    <w:rsid w:val="006206FC"/>
    <w:rsid w:val="00620B33"/>
    <w:rsid w:val="00620B90"/>
    <w:rsid w:val="00620C0D"/>
    <w:rsid w:val="00620E12"/>
    <w:rsid w:val="00620EF9"/>
    <w:rsid w:val="00621145"/>
    <w:rsid w:val="00621765"/>
    <w:rsid w:val="00622829"/>
    <w:rsid w:val="00622E84"/>
    <w:rsid w:val="006232F8"/>
    <w:rsid w:val="00623711"/>
    <w:rsid w:val="0062375A"/>
    <w:rsid w:val="00623A6D"/>
    <w:rsid w:val="0062455C"/>
    <w:rsid w:val="00624720"/>
    <w:rsid w:val="00624B9D"/>
    <w:rsid w:val="00624C55"/>
    <w:rsid w:val="00624CDF"/>
    <w:rsid w:val="00624D41"/>
    <w:rsid w:val="0062563D"/>
    <w:rsid w:val="00625751"/>
    <w:rsid w:val="00625822"/>
    <w:rsid w:val="00625A30"/>
    <w:rsid w:val="00625CE2"/>
    <w:rsid w:val="0062609C"/>
    <w:rsid w:val="0062616E"/>
    <w:rsid w:val="00626277"/>
    <w:rsid w:val="00627020"/>
    <w:rsid w:val="00627219"/>
    <w:rsid w:val="0062734B"/>
    <w:rsid w:val="006274D9"/>
    <w:rsid w:val="00627653"/>
    <w:rsid w:val="006277B3"/>
    <w:rsid w:val="006302BA"/>
    <w:rsid w:val="006305CE"/>
    <w:rsid w:val="00630928"/>
    <w:rsid w:val="00630EE1"/>
    <w:rsid w:val="0063139F"/>
    <w:rsid w:val="006315CE"/>
    <w:rsid w:val="006320D9"/>
    <w:rsid w:val="00632273"/>
    <w:rsid w:val="006329E9"/>
    <w:rsid w:val="00632A60"/>
    <w:rsid w:val="00632FA2"/>
    <w:rsid w:val="00633023"/>
    <w:rsid w:val="006330DF"/>
    <w:rsid w:val="00633757"/>
    <w:rsid w:val="00633B75"/>
    <w:rsid w:val="00633F60"/>
    <w:rsid w:val="006341FD"/>
    <w:rsid w:val="00634683"/>
    <w:rsid w:val="0063469B"/>
    <w:rsid w:val="006346AE"/>
    <w:rsid w:val="00634A55"/>
    <w:rsid w:val="00634BC8"/>
    <w:rsid w:val="00634DED"/>
    <w:rsid w:val="0063575F"/>
    <w:rsid w:val="00635C0A"/>
    <w:rsid w:val="00636195"/>
    <w:rsid w:val="00636886"/>
    <w:rsid w:val="006368BE"/>
    <w:rsid w:val="0063690A"/>
    <w:rsid w:val="00636BD1"/>
    <w:rsid w:val="00636EB2"/>
    <w:rsid w:val="00637279"/>
    <w:rsid w:val="0063728E"/>
    <w:rsid w:val="0063783F"/>
    <w:rsid w:val="00637FC3"/>
    <w:rsid w:val="006401D8"/>
    <w:rsid w:val="00640385"/>
    <w:rsid w:val="0064087F"/>
    <w:rsid w:val="00640B7C"/>
    <w:rsid w:val="00640C36"/>
    <w:rsid w:val="00641539"/>
    <w:rsid w:val="0064175B"/>
    <w:rsid w:val="00641914"/>
    <w:rsid w:val="006419DB"/>
    <w:rsid w:val="00642594"/>
    <w:rsid w:val="006427A4"/>
    <w:rsid w:val="00642FEE"/>
    <w:rsid w:val="00643171"/>
    <w:rsid w:val="00643368"/>
    <w:rsid w:val="00643425"/>
    <w:rsid w:val="00643611"/>
    <w:rsid w:val="00643A57"/>
    <w:rsid w:val="00643AF3"/>
    <w:rsid w:val="00643D18"/>
    <w:rsid w:val="00643DD0"/>
    <w:rsid w:val="00643DEA"/>
    <w:rsid w:val="006440CD"/>
    <w:rsid w:val="00644464"/>
    <w:rsid w:val="00644969"/>
    <w:rsid w:val="00644AB2"/>
    <w:rsid w:val="00644C09"/>
    <w:rsid w:val="00645718"/>
    <w:rsid w:val="00645A70"/>
    <w:rsid w:val="00645FDA"/>
    <w:rsid w:val="006464AE"/>
    <w:rsid w:val="00646685"/>
    <w:rsid w:val="006468A3"/>
    <w:rsid w:val="006468C5"/>
    <w:rsid w:val="00647046"/>
    <w:rsid w:val="00647247"/>
    <w:rsid w:val="00647475"/>
    <w:rsid w:val="006479FD"/>
    <w:rsid w:val="00647ACF"/>
    <w:rsid w:val="00647EC7"/>
    <w:rsid w:val="00650D4A"/>
    <w:rsid w:val="0065157C"/>
    <w:rsid w:val="00651BAF"/>
    <w:rsid w:val="00651F6E"/>
    <w:rsid w:val="00652066"/>
    <w:rsid w:val="00652657"/>
    <w:rsid w:val="006526ED"/>
    <w:rsid w:val="00652BFE"/>
    <w:rsid w:val="00652C78"/>
    <w:rsid w:val="00652E9F"/>
    <w:rsid w:val="006532DD"/>
    <w:rsid w:val="00653468"/>
    <w:rsid w:val="00653F4D"/>
    <w:rsid w:val="00654083"/>
    <w:rsid w:val="00654481"/>
    <w:rsid w:val="00654566"/>
    <w:rsid w:val="006551E1"/>
    <w:rsid w:val="0065573D"/>
    <w:rsid w:val="0065578C"/>
    <w:rsid w:val="00655BC5"/>
    <w:rsid w:val="00655E40"/>
    <w:rsid w:val="00656161"/>
    <w:rsid w:val="0065621C"/>
    <w:rsid w:val="006563CF"/>
    <w:rsid w:val="00656AEF"/>
    <w:rsid w:val="00657459"/>
    <w:rsid w:val="00657891"/>
    <w:rsid w:val="006578B1"/>
    <w:rsid w:val="006579D3"/>
    <w:rsid w:val="00657D17"/>
    <w:rsid w:val="00657E7A"/>
    <w:rsid w:val="00660AF0"/>
    <w:rsid w:val="0066101D"/>
    <w:rsid w:val="006611BD"/>
    <w:rsid w:val="006613AA"/>
    <w:rsid w:val="006615F6"/>
    <w:rsid w:val="006618D0"/>
    <w:rsid w:val="00661A82"/>
    <w:rsid w:val="00661C48"/>
    <w:rsid w:val="00661F54"/>
    <w:rsid w:val="006621A8"/>
    <w:rsid w:val="0066281F"/>
    <w:rsid w:val="00662A5A"/>
    <w:rsid w:val="00663C4C"/>
    <w:rsid w:val="00663DB7"/>
    <w:rsid w:val="00663F32"/>
    <w:rsid w:val="00664018"/>
    <w:rsid w:val="00664306"/>
    <w:rsid w:val="00664637"/>
    <w:rsid w:val="0066464F"/>
    <w:rsid w:val="006646A5"/>
    <w:rsid w:val="00664994"/>
    <w:rsid w:val="00664DC9"/>
    <w:rsid w:val="00665791"/>
    <w:rsid w:val="006658AD"/>
    <w:rsid w:val="00665ECF"/>
    <w:rsid w:val="006660D7"/>
    <w:rsid w:val="00666319"/>
    <w:rsid w:val="00666970"/>
    <w:rsid w:val="00666CC9"/>
    <w:rsid w:val="00666DB7"/>
    <w:rsid w:val="00666E83"/>
    <w:rsid w:val="00666F91"/>
    <w:rsid w:val="00667062"/>
    <w:rsid w:val="00667536"/>
    <w:rsid w:val="0066769C"/>
    <w:rsid w:val="00667A11"/>
    <w:rsid w:val="00667B28"/>
    <w:rsid w:val="00667D17"/>
    <w:rsid w:val="00667E6F"/>
    <w:rsid w:val="006701DD"/>
    <w:rsid w:val="00670B7F"/>
    <w:rsid w:val="00671120"/>
    <w:rsid w:val="006711C1"/>
    <w:rsid w:val="00671C9C"/>
    <w:rsid w:val="00671DE7"/>
    <w:rsid w:val="00671E59"/>
    <w:rsid w:val="006727CD"/>
    <w:rsid w:val="00672891"/>
    <w:rsid w:val="00672D68"/>
    <w:rsid w:val="00672E47"/>
    <w:rsid w:val="006735AA"/>
    <w:rsid w:val="00673643"/>
    <w:rsid w:val="006738BD"/>
    <w:rsid w:val="00673A81"/>
    <w:rsid w:val="00674063"/>
    <w:rsid w:val="00674727"/>
    <w:rsid w:val="0067543E"/>
    <w:rsid w:val="006755F7"/>
    <w:rsid w:val="00675763"/>
    <w:rsid w:val="00675777"/>
    <w:rsid w:val="00675878"/>
    <w:rsid w:val="00676415"/>
    <w:rsid w:val="00676AD8"/>
    <w:rsid w:val="00677098"/>
    <w:rsid w:val="006774C8"/>
    <w:rsid w:val="0067765D"/>
    <w:rsid w:val="00677894"/>
    <w:rsid w:val="00677997"/>
    <w:rsid w:val="00677AAD"/>
    <w:rsid w:val="00677B94"/>
    <w:rsid w:val="00677C31"/>
    <w:rsid w:val="00677E4A"/>
    <w:rsid w:val="00680A2B"/>
    <w:rsid w:val="00680A38"/>
    <w:rsid w:val="00680AD3"/>
    <w:rsid w:val="00680BD6"/>
    <w:rsid w:val="00680D94"/>
    <w:rsid w:val="0068118C"/>
    <w:rsid w:val="0068130F"/>
    <w:rsid w:val="0068143E"/>
    <w:rsid w:val="0068150A"/>
    <w:rsid w:val="006815F5"/>
    <w:rsid w:val="00681800"/>
    <w:rsid w:val="00681AB7"/>
    <w:rsid w:val="00681DFB"/>
    <w:rsid w:val="006822DC"/>
    <w:rsid w:val="00682BFB"/>
    <w:rsid w:val="00682E81"/>
    <w:rsid w:val="00683401"/>
    <w:rsid w:val="006834AB"/>
    <w:rsid w:val="00683899"/>
    <w:rsid w:val="00683BB2"/>
    <w:rsid w:val="00683CDA"/>
    <w:rsid w:val="00684022"/>
    <w:rsid w:val="006844BE"/>
    <w:rsid w:val="006846A4"/>
    <w:rsid w:val="00684759"/>
    <w:rsid w:val="006848CF"/>
    <w:rsid w:val="00684A04"/>
    <w:rsid w:val="00684C6E"/>
    <w:rsid w:val="00684C97"/>
    <w:rsid w:val="0068515B"/>
    <w:rsid w:val="00685710"/>
    <w:rsid w:val="006857A0"/>
    <w:rsid w:val="00685849"/>
    <w:rsid w:val="00685B2F"/>
    <w:rsid w:val="00686456"/>
    <w:rsid w:val="006866BB"/>
    <w:rsid w:val="006868F5"/>
    <w:rsid w:val="00686A15"/>
    <w:rsid w:val="00686B4B"/>
    <w:rsid w:val="00686CE9"/>
    <w:rsid w:val="00687084"/>
    <w:rsid w:val="00687177"/>
    <w:rsid w:val="006875CB"/>
    <w:rsid w:val="006875E1"/>
    <w:rsid w:val="00687ACF"/>
    <w:rsid w:val="00687BF1"/>
    <w:rsid w:val="00690318"/>
    <w:rsid w:val="00690B60"/>
    <w:rsid w:val="00690B65"/>
    <w:rsid w:val="00690D04"/>
    <w:rsid w:val="00690D8F"/>
    <w:rsid w:val="006910FF"/>
    <w:rsid w:val="006913B4"/>
    <w:rsid w:val="0069162B"/>
    <w:rsid w:val="0069188B"/>
    <w:rsid w:val="00691FBA"/>
    <w:rsid w:val="006920AB"/>
    <w:rsid w:val="00692214"/>
    <w:rsid w:val="00692252"/>
    <w:rsid w:val="0069280E"/>
    <w:rsid w:val="00692D46"/>
    <w:rsid w:val="00692E9B"/>
    <w:rsid w:val="00692F38"/>
    <w:rsid w:val="00692FCC"/>
    <w:rsid w:val="00693A55"/>
    <w:rsid w:val="00693EAD"/>
    <w:rsid w:val="00694035"/>
    <w:rsid w:val="0069477C"/>
    <w:rsid w:val="00694C48"/>
    <w:rsid w:val="00694C7A"/>
    <w:rsid w:val="00695273"/>
    <w:rsid w:val="00695307"/>
    <w:rsid w:val="00695865"/>
    <w:rsid w:val="0069692E"/>
    <w:rsid w:val="00696AFD"/>
    <w:rsid w:val="00696E88"/>
    <w:rsid w:val="00696F33"/>
    <w:rsid w:val="00697016"/>
    <w:rsid w:val="0069737D"/>
    <w:rsid w:val="006973CE"/>
    <w:rsid w:val="00697546"/>
    <w:rsid w:val="0069764B"/>
    <w:rsid w:val="006976E6"/>
    <w:rsid w:val="0069788B"/>
    <w:rsid w:val="00697A30"/>
    <w:rsid w:val="00697A32"/>
    <w:rsid w:val="00697A4A"/>
    <w:rsid w:val="00697E00"/>
    <w:rsid w:val="00697FE3"/>
    <w:rsid w:val="006A002B"/>
    <w:rsid w:val="006A003B"/>
    <w:rsid w:val="006A0670"/>
    <w:rsid w:val="006A0B67"/>
    <w:rsid w:val="006A0D87"/>
    <w:rsid w:val="006A0E38"/>
    <w:rsid w:val="006A0FC5"/>
    <w:rsid w:val="006A1242"/>
    <w:rsid w:val="006A1825"/>
    <w:rsid w:val="006A18D8"/>
    <w:rsid w:val="006A1CCE"/>
    <w:rsid w:val="006A21AB"/>
    <w:rsid w:val="006A21B3"/>
    <w:rsid w:val="006A2218"/>
    <w:rsid w:val="006A2679"/>
    <w:rsid w:val="006A2A75"/>
    <w:rsid w:val="006A313B"/>
    <w:rsid w:val="006A3410"/>
    <w:rsid w:val="006A3426"/>
    <w:rsid w:val="006A3993"/>
    <w:rsid w:val="006A3BA8"/>
    <w:rsid w:val="006A408E"/>
    <w:rsid w:val="006A42CB"/>
    <w:rsid w:val="006A42D8"/>
    <w:rsid w:val="006A4530"/>
    <w:rsid w:val="006A4ABC"/>
    <w:rsid w:val="006A4D1F"/>
    <w:rsid w:val="006A4E1B"/>
    <w:rsid w:val="006A50CB"/>
    <w:rsid w:val="006A55D6"/>
    <w:rsid w:val="006A56DF"/>
    <w:rsid w:val="006A57BF"/>
    <w:rsid w:val="006A60BF"/>
    <w:rsid w:val="006A65F8"/>
    <w:rsid w:val="006A66AE"/>
    <w:rsid w:val="006A66FD"/>
    <w:rsid w:val="006A67A5"/>
    <w:rsid w:val="006A6D16"/>
    <w:rsid w:val="006A6DFA"/>
    <w:rsid w:val="006A6E55"/>
    <w:rsid w:val="006A6F00"/>
    <w:rsid w:val="006A73B8"/>
    <w:rsid w:val="006A791E"/>
    <w:rsid w:val="006A79B1"/>
    <w:rsid w:val="006A7B3C"/>
    <w:rsid w:val="006A7D8F"/>
    <w:rsid w:val="006A7E14"/>
    <w:rsid w:val="006B014D"/>
    <w:rsid w:val="006B01D2"/>
    <w:rsid w:val="006B0F69"/>
    <w:rsid w:val="006B1445"/>
    <w:rsid w:val="006B1C18"/>
    <w:rsid w:val="006B22D2"/>
    <w:rsid w:val="006B250B"/>
    <w:rsid w:val="006B2B62"/>
    <w:rsid w:val="006B2DF7"/>
    <w:rsid w:val="006B3403"/>
    <w:rsid w:val="006B3500"/>
    <w:rsid w:val="006B3585"/>
    <w:rsid w:val="006B371A"/>
    <w:rsid w:val="006B3A6A"/>
    <w:rsid w:val="006B3BA4"/>
    <w:rsid w:val="006B3CC2"/>
    <w:rsid w:val="006B3E2A"/>
    <w:rsid w:val="006B3F16"/>
    <w:rsid w:val="006B3FBE"/>
    <w:rsid w:val="006B4333"/>
    <w:rsid w:val="006B455D"/>
    <w:rsid w:val="006B4677"/>
    <w:rsid w:val="006B548F"/>
    <w:rsid w:val="006B55CE"/>
    <w:rsid w:val="006B5DD3"/>
    <w:rsid w:val="006B60AB"/>
    <w:rsid w:val="006B628E"/>
    <w:rsid w:val="006B6564"/>
    <w:rsid w:val="006B676A"/>
    <w:rsid w:val="006B6849"/>
    <w:rsid w:val="006B68C8"/>
    <w:rsid w:val="006B6940"/>
    <w:rsid w:val="006B6AB9"/>
    <w:rsid w:val="006B7205"/>
    <w:rsid w:val="006B748C"/>
    <w:rsid w:val="006B7BCA"/>
    <w:rsid w:val="006B7C21"/>
    <w:rsid w:val="006B7CCA"/>
    <w:rsid w:val="006C0770"/>
    <w:rsid w:val="006C09A2"/>
    <w:rsid w:val="006C1294"/>
    <w:rsid w:val="006C15BC"/>
    <w:rsid w:val="006C16D0"/>
    <w:rsid w:val="006C17BD"/>
    <w:rsid w:val="006C19F4"/>
    <w:rsid w:val="006C1A11"/>
    <w:rsid w:val="006C1D72"/>
    <w:rsid w:val="006C1FA7"/>
    <w:rsid w:val="006C2041"/>
    <w:rsid w:val="006C2066"/>
    <w:rsid w:val="006C21B5"/>
    <w:rsid w:val="006C256E"/>
    <w:rsid w:val="006C2670"/>
    <w:rsid w:val="006C27FE"/>
    <w:rsid w:val="006C2B90"/>
    <w:rsid w:val="006C2FF4"/>
    <w:rsid w:val="006C31CB"/>
    <w:rsid w:val="006C3403"/>
    <w:rsid w:val="006C3404"/>
    <w:rsid w:val="006C3410"/>
    <w:rsid w:val="006C3574"/>
    <w:rsid w:val="006C3666"/>
    <w:rsid w:val="006C3A49"/>
    <w:rsid w:val="006C3C8B"/>
    <w:rsid w:val="006C4CD5"/>
    <w:rsid w:val="006C4F1D"/>
    <w:rsid w:val="006C50DE"/>
    <w:rsid w:val="006C5787"/>
    <w:rsid w:val="006C5950"/>
    <w:rsid w:val="006C5E8E"/>
    <w:rsid w:val="006C64A9"/>
    <w:rsid w:val="006C67F1"/>
    <w:rsid w:val="006C6F94"/>
    <w:rsid w:val="006C727F"/>
    <w:rsid w:val="006C753B"/>
    <w:rsid w:val="006C79BB"/>
    <w:rsid w:val="006C7AA7"/>
    <w:rsid w:val="006D02B6"/>
    <w:rsid w:val="006D08C6"/>
    <w:rsid w:val="006D0CF5"/>
    <w:rsid w:val="006D1176"/>
    <w:rsid w:val="006D1509"/>
    <w:rsid w:val="006D1D28"/>
    <w:rsid w:val="006D215C"/>
    <w:rsid w:val="006D3353"/>
    <w:rsid w:val="006D35D8"/>
    <w:rsid w:val="006D40AA"/>
    <w:rsid w:val="006D468E"/>
    <w:rsid w:val="006D46F7"/>
    <w:rsid w:val="006D4A32"/>
    <w:rsid w:val="006D4FE7"/>
    <w:rsid w:val="006D5694"/>
    <w:rsid w:val="006D5790"/>
    <w:rsid w:val="006D5E43"/>
    <w:rsid w:val="006D5E4B"/>
    <w:rsid w:val="006D5ECB"/>
    <w:rsid w:val="006D61CC"/>
    <w:rsid w:val="006D668B"/>
    <w:rsid w:val="006D6861"/>
    <w:rsid w:val="006D69F4"/>
    <w:rsid w:val="006D6EAE"/>
    <w:rsid w:val="006D735A"/>
    <w:rsid w:val="006D739B"/>
    <w:rsid w:val="006D7548"/>
    <w:rsid w:val="006D75B4"/>
    <w:rsid w:val="006D76E8"/>
    <w:rsid w:val="006D7A34"/>
    <w:rsid w:val="006D7B23"/>
    <w:rsid w:val="006D7BED"/>
    <w:rsid w:val="006E0729"/>
    <w:rsid w:val="006E0772"/>
    <w:rsid w:val="006E0BD2"/>
    <w:rsid w:val="006E0C30"/>
    <w:rsid w:val="006E0D36"/>
    <w:rsid w:val="006E0E87"/>
    <w:rsid w:val="006E1210"/>
    <w:rsid w:val="006E1699"/>
    <w:rsid w:val="006E1968"/>
    <w:rsid w:val="006E1E16"/>
    <w:rsid w:val="006E1FBA"/>
    <w:rsid w:val="006E22D2"/>
    <w:rsid w:val="006E2703"/>
    <w:rsid w:val="006E2923"/>
    <w:rsid w:val="006E2F2F"/>
    <w:rsid w:val="006E339F"/>
    <w:rsid w:val="006E3A5A"/>
    <w:rsid w:val="006E3B5A"/>
    <w:rsid w:val="006E408E"/>
    <w:rsid w:val="006E42C7"/>
    <w:rsid w:val="006E4AF4"/>
    <w:rsid w:val="006E4AF9"/>
    <w:rsid w:val="006E4BDA"/>
    <w:rsid w:val="006E5156"/>
    <w:rsid w:val="006E5373"/>
    <w:rsid w:val="006E5445"/>
    <w:rsid w:val="006E5502"/>
    <w:rsid w:val="006E555E"/>
    <w:rsid w:val="006E5A41"/>
    <w:rsid w:val="006E5D73"/>
    <w:rsid w:val="006E5F3F"/>
    <w:rsid w:val="006E63A1"/>
    <w:rsid w:val="006E6673"/>
    <w:rsid w:val="006E6E73"/>
    <w:rsid w:val="006E70FC"/>
    <w:rsid w:val="006E75AE"/>
    <w:rsid w:val="006E75D8"/>
    <w:rsid w:val="006E7678"/>
    <w:rsid w:val="006E77AD"/>
    <w:rsid w:val="006E7A6D"/>
    <w:rsid w:val="006E7B55"/>
    <w:rsid w:val="006F0100"/>
    <w:rsid w:val="006F05FE"/>
    <w:rsid w:val="006F068E"/>
    <w:rsid w:val="006F07B8"/>
    <w:rsid w:val="006F08C9"/>
    <w:rsid w:val="006F094E"/>
    <w:rsid w:val="006F1938"/>
    <w:rsid w:val="006F1966"/>
    <w:rsid w:val="006F1A37"/>
    <w:rsid w:val="006F1F5A"/>
    <w:rsid w:val="006F1F63"/>
    <w:rsid w:val="006F24EE"/>
    <w:rsid w:val="006F2705"/>
    <w:rsid w:val="006F28B8"/>
    <w:rsid w:val="006F298B"/>
    <w:rsid w:val="006F2EFB"/>
    <w:rsid w:val="006F3211"/>
    <w:rsid w:val="006F33B5"/>
    <w:rsid w:val="006F3428"/>
    <w:rsid w:val="006F36E3"/>
    <w:rsid w:val="006F3791"/>
    <w:rsid w:val="006F3AC9"/>
    <w:rsid w:val="006F3D8F"/>
    <w:rsid w:val="006F41CB"/>
    <w:rsid w:val="006F4343"/>
    <w:rsid w:val="006F43D9"/>
    <w:rsid w:val="006F4594"/>
    <w:rsid w:val="006F48F3"/>
    <w:rsid w:val="006F4A85"/>
    <w:rsid w:val="006F4E08"/>
    <w:rsid w:val="006F4F4D"/>
    <w:rsid w:val="006F5031"/>
    <w:rsid w:val="006F511F"/>
    <w:rsid w:val="006F68BE"/>
    <w:rsid w:val="006F691B"/>
    <w:rsid w:val="006F6B10"/>
    <w:rsid w:val="006F6F13"/>
    <w:rsid w:val="006F71AF"/>
    <w:rsid w:val="006F72D8"/>
    <w:rsid w:val="006F76DD"/>
    <w:rsid w:val="006F7ACF"/>
    <w:rsid w:val="006F7F88"/>
    <w:rsid w:val="007003DA"/>
    <w:rsid w:val="00700808"/>
    <w:rsid w:val="00700B13"/>
    <w:rsid w:val="00701030"/>
    <w:rsid w:val="00701162"/>
    <w:rsid w:val="00701932"/>
    <w:rsid w:val="00701F9D"/>
    <w:rsid w:val="007021E0"/>
    <w:rsid w:val="007024F3"/>
    <w:rsid w:val="007029E3"/>
    <w:rsid w:val="00702A42"/>
    <w:rsid w:val="00702B7E"/>
    <w:rsid w:val="00702BC6"/>
    <w:rsid w:val="00702C3A"/>
    <w:rsid w:val="00703486"/>
    <w:rsid w:val="007036E2"/>
    <w:rsid w:val="007038F8"/>
    <w:rsid w:val="00703A57"/>
    <w:rsid w:val="00703CF8"/>
    <w:rsid w:val="00703FB8"/>
    <w:rsid w:val="007040A8"/>
    <w:rsid w:val="0070472E"/>
    <w:rsid w:val="007047EC"/>
    <w:rsid w:val="00704A76"/>
    <w:rsid w:val="00704BB7"/>
    <w:rsid w:val="007056D5"/>
    <w:rsid w:val="00705A61"/>
    <w:rsid w:val="00705A92"/>
    <w:rsid w:val="00705B98"/>
    <w:rsid w:val="00706611"/>
    <w:rsid w:val="0070696A"/>
    <w:rsid w:val="00707234"/>
    <w:rsid w:val="007074AF"/>
    <w:rsid w:val="007075A2"/>
    <w:rsid w:val="0070788C"/>
    <w:rsid w:val="00707A87"/>
    <w:rsid w:val="00710153"/>
    <w:rsid w:val="007109C4"/>
    <w:rsid w:val="00710BAB"/>
    <w:rsid w:val="00710C18"/>
    <w:rsid w:val="00710DF1"/>
    <w:rsid w:val="007110C8"/>
    <w:rsid w:val="00711590"/>
    <w:rsid w:val="00711823"/>
    <w:rsid w:val="00711B6C"/>
    <w:rsid w:val="00711FFD"/>
    <w:rsid w:val="00712067"/>
    <w:rsid w:val="007121CB"/>
    <w:rsid w:val="00712420"/>
    <w:rsid w:val="00713014"/>
    <w:rsid w:val="0071303E"/>
    <w:rsid w:val="00713218"/>
    <w:rsid w:val="00713750"/>
    <w:rsid w:val="00713967"/>
    <w:rsid w:val="007142DF"/>
    <w:rsid w:val="007143D4"/>
    <w:rsid w:val="007148B5"/>
    <w:rsid w:val="00714CAF"/>
    <w:rsid w:val="00715093"/>
    <w:rsid w:val="007152AE"/>
    <w:rsid w:val="007153DE"/>
    <w:rsid w:val="00715766"/>
    <w:rsid w:val="007158C3"/>
    <w:rsid w:val="00715CB8"/>
    <w:rsid w:val="00715FA9"/>
    <w:rsid w:val="00715FFC"/>
    <w:rsid w:val="00716104"/>
    <w:rsid w:val="00716260"/>
    <w:rsid w:val="00717DBD"/>
    <w:rsid w:val="0072023F"/>
    <w:rsid w:val="007205FE"/>
    <w:rsid w:val="00720ED7"/>
    <w:rsid w:val="0072141D"/>
    <w:rsid w:val="0072144A"/>
    <w:rsid w:val="0072153A"/>
    <w:rsid w:val="00721581"/>
    <w:rsid w:val="007218F3"/>
    <w:rsid w:val="0072199A"/>
    <w:rsid w:val="00722321"/>
    <w:rsid w:val="00722431"/>
    <w:rsid w:val="0072272C"/>
    <w:rsid w:val="00722D88"/>
    <w:rsid w:val="00723079"/>
    <w:rsid w:val="007234E9"/>
    <w:rsid w:val="00723A62"/>
    <w:rsid w:val="00723B0D"/>
    <w:rsid w:val="007242EF"/>
    <w:rsid w:val="007242F1"/>
    <w:rsid w:val="007245D5"/>
    <w:rsid w:val="0072470D"/>
    <w:rsid w:val="007254A8"/>
    <w:rsid w:val="00725A33"/>
    <w:rsid w:val="00725B55"/>
    <w:rsid w:val="0072730C"/>
    <w:rsid w:val="007275AE"/>
    <w:rsid w:val="00727611"/>
    <w:rsid w:val="0072771A"/>
    <w:rsid w:val="007278D2"/>
    <w:rsid w:val="00727B57"/>
    <w:rsid w:val="00727FC1"/>
    <w:rsid w:val="00730221"/>
    <w:rsid w:val="007305CA"/>
    <w:rsid w:val="00730750"/>
    <w:rsid w:val="007309AE"/>
    <w:rsid w:val="00730F87"/>
    <w:rsid w:val="00730FF9"/>
    <w:rsid w:val="00731279"/>
    <w:rsid w:val="00731391"/>
    <w:rsid w:val="00731A6E"/>
    <w:rsid w:val="00731DF3"/>
    <w:rsid w:val="00731EEB"/>
    <w:rsid w:val="00732291"/>
    <w:rsid w:val="00732BAA"/>
    <w:rsid w:val="00732FE7"/>
    <w:rsid w:val="00733680"/>
    <w:rsid w:val="00733BA8"/>
    <w:rsid w:val="00733D84"/>
    <w:rsid w:val="00733EBF"/>
    <w:rsid w:val="00734149"/>
    <w:rsid w:val="0073420A"/>
    <w:rsid w:val="00734276"/>
    <w:rsid w:val="0073431C"/>
    <w:rsid w:val="00734504"/>
    <w:rsid w:val="00734622"/>
    <w:rsid w:val="007346C9"/>
    <w:rsid w:val="00734913"/>
    <w:rsid w:val="0073575D"/>
    <w:rsid w:val="00735C06"/>
    <w:rsid w:val="00735E52"/>
    <w:rsid w:val="00735EBF"/>
    <w:rsid w:val="00735F26"/>
    <w:rsid w:val="00736628"/>
    <w:rsid w:val="0073664B"/>
    <w:rsid w:val="00736B10"/>
    <w:rsid w:val="00736D3E"/>
    <w:rsid w:val="007370B4"/>
    <w:rsid w:val="0073755A"/>
    <w:rsid w:val="007376F9"/>
    <w:rsid w:val="00737E47"/>
    <w:rsid w:val="007403F7"/>
    <w:rsid w:val="007406AD"/>
    <w:rsid w:val="007407E6"/>
    <w:rsid w:val="007409BD"/>
    <w:rsid w:val="00740AD8"/>
    <w:rsid w:val="00741247"/>
    <w:rsid w:val="00741A87"/>
    <w:rsid w:val="00741FA0"/>
    <w:rsid w:val="00742936"/>
    <w:rsid w:val="00742E31"/>
    <w:rsid w:val="00743293"/>
    <w:rsid w:val="0074367E"/>
    <w:rsid w:val="00743846"/>
    <w:rsid w:val="007438C5"/>
    <w:rsid w:val="0074392B"/>
    <w:rsid w:val="00743FE3"/>
    <w:rsid w:val="00744288"/>
    <w:rsid w:val="0074438B"/>
    <w:rsid w:val="0074555F"/>
    <w:rsid w:val="0074577A"/>
    <w:rsid w:val="00745EEE"/>
    <w:rsid w:val="007462C9"/>
    <w:rsid w:val="00746D70"/>
    <w:rsid w:val="00746EFE"/>
    <w:rsid w:val="00746FF4"/>
    <w:rsid w:val="00747110"/>
    <w:rsid w:val="00747602"/>
    <w:rsid w:val="007479EF"/>
    <w:rsid w:val="00747C33"/>
    <w:rsid w:val="00747C63"/>
    <w:rsid w:val="007501F1"/>
    <w:rsid w:val="0075087E"/>
    <w:rsid w:val="00750A40"/>
    <w:rsid w:val="00750AFA"/>
    <w:rsid w:val="00750C5E"/>
    <w:rsid w:val="0075146B"/>
    <w:rsid w:val="007514D2"/>
    <w:rsid w:val="007515AB"/>
    <w:rsid w:val="00751646"/>
    <w:rsid w:val="00751C10"/>
    <w:rsid w:val="00751CF6"/>
    <w:rsid w:val="00751D85"/>
    <w:rsid w:val="00752591"/>
    <w:rsid w:val="007528A5"/>
    <w:rsid w:val="00752DFF"/>
    <w:rsid w:val="00752E8F"/>
    <w:rsid w:val="00753182"/>
    <w:rsid w:val="007532BD"/>
    <w:rsid w:val="007535C2"/>
    <w:rsid w:val="0075395A"/>
    <w:rsid w:val="007539D9"/>
    <w:rsid w:val="00753AD3"/>
    <w:rsid w:val="00753B59"/>
    <w:rsid w:val="00753D19"/>
    <w:rsid w:val="0075428C"/>
    <w:rsid w:val="00754600"/>
    <w:rsid w:val="0075488B"/>
    <w:rsid w:val="00754A7C"/>
    <w:rsid w:val="00754B44"/>
    <w:rsid w:val="00754BFB"/>
    <w:rsid w:val="00755216"/>
    <w:rsid w:val="0075620E"/>
    <w:rsid w:val="007565AF"/>
    <w:rsid w:val="00756747"/>
    <w:rsid w:val="007567CC"/>
    <w:rsid w:val="007568EF"/>
    <w:rsid w:val="00757297"/>
    <w:rsid w:val="0075729B"/>
    <w:rsid w:val="00760305"/>
    <w:rsid w:val="0076033D"/>
    <w:rsid w:val="00760497"/>
    <w:rsid w:val="0076083A"/>
    <w:rsid w:val="0076091A"/>
    <w:rsid w:val="007609A1"/>
    <w:rsid w:val="00760CA0"/>
    <w:rsid w:val="00760F4C"/>
    <w:rsid w:val="0076131C"/>
    <w:rsid w:val="007614AF"/>
    <w:rsid w:val="00761946"/>
    <w:rsid w:val="0076196E"/>
    <w:rsid w:val="00762029"/>
    <w:rsid w:val="007622A3"/>
    <w:rsid w:val="00762E66"/>
    <w:rsid w:val="00762F1C"/>
    <w:rsid w:val="007631F6"/>
    <w:rsid w:val="007632FB"/>
    <w:rsid w:val="00763729"/>
    <w:rsid w:val="00763C9A"/>
    <w:rsid w:val="00764296"/>
    <w:rsid w:val="00764530"/>
    <w:rsid w:val="00764689"/>
    <w:rsid w:val="00764C86"/>
    <w:rsid w:val="00764E49"/>
    <w:rsid w:val="00764FB0"/>
    <w:rsid w:val="00764FC0"/>
    <w:rsid w:val="00765253"/>
    <w:rsid w:val="007653F6"/>
    <w:rsid w:val="007654B0"/>
    <w:rsid w:val="00765CF4"/>
    <w:rsid w:val="00765D95"/>
    <w:rsid w:val="00765DED"/>
    <w:rsid w:val="00765E19"/>
    <w:rsid w:val="00766430"/>
    <w:rsid w:val="007664F6"/>
    <w:rsid w:val="00766A30"/>
    <w:rsid w:val="00766A9A"/>
    <w:rsid w:val="00766AAA"/>
    <w:rsid w:val="00766D2D"/>
    <w:rsid w:val="007674B9"/>
    <w:rsid w:val="007675B7"/>
    <w:rsid w:val="00767733"/>
    <w:rsid w:val="007678BA"/>
    <w:rsid w:val="00767A89"/>
    <w:rsid w:val="00767BD6"/>
    <w:rsid w:val="00767C71"/>
    <w:rsid w:val="00770917"/>
    <w:rsid w:val="00770D26"/>
    <w:rsid w:val="00770DF3"/>
    <w:rsid w:val="00770F6E"/>
    <w:rsid w:val="0077142E"/>
    <w:rsid w:val="00771656"/>
    <w:rsid w:val="00771923"/>
    <w:rsid w:val="00772097"/>
    <w:rsid w:val="0077213C"/>
    <w:rsid w:val="0077236C"/>
    <w:rsid w:val="007727F6"/>
    <w:rsid w:val="007727FE"/>
    <w:rsid w:val="00772AC8"/>
    <w:rsid w:val="00772CC4"/>
    <w:rsid w:val="00772CCB"/>
    <w:rsid w:val="007730FB"/>
    <w:rsid w:val="007733FF"/>
    <w:rsid w:val="00773A97"/>
    <w:rsid w:val="00773B36"/>
    <w:rsid w:val="0077409A"/>
    <w:rsid w:val="007744E2"/>
    <w:rsid w:val="00774782"/>
    <w:rsid w:val="0077491F"/>
    <w:rsid w:val="00774C8D"/>
    <w:rsid w:val="00774DD8"/>
    <w:rsid w:val="00774DE5"/>
    <w:rsid w:val="0077508D"/>
    <w:rsid w:val="00775279"/>
    <w:rsid w:val="007752CE"/>
    <w:rsid w:val="00775702"/>
    <w:rsid w:val="007759F5"/>
    <w:rsid w:val="00775A2F"/>
    <w:rsid w:val="00775B96"/>
    <w:rsid w:val="007761B9"/>
    <w:rsid w:val="00776354"/>
    <w:rsid w:val="00776793"/>
    <w:rsid w:val="007767BD"/>
    <w:rsid w:val="00776946"/>
    <w:rsid w:val="00777526"/>
    <w:rsid w:val="007775A9"/>
    <w:rsid w:val="007775C2"/>
    <w:rsid w:val="0077764B"/>
    <w:rsid w:val="00777B13"/>
    <w:rsid w:val="00777D57"/>
    <w:rsid w:val="00777FE1"/>
    <w:rsid w:val="007803C2"/>
    <w:rsid w:val="00780658"/>
    <w:rsid w:val="00780A8A"/>
    <w:rsid w:val="007811C2"/>
    <w:rsid w:val="00782280"/>
    <w:rsid w:val="007823B9"/>
    <w:rsid w:val="007824FE"/>
    <w:rsid w:val="007828EB"/>
    <w:rsid w:val="0078291B"/>
    <w:rsid w:val="00782BA5"/>
    <w:rsid w:val="00782FAB"/>
    <w:rsid w:val="00783773"/>
    <w:rsid w:val="0078390C"/>
    <w:rsid w:val="00783B96"/>
    <w:rsid w:val="00783C2D"/>
    <w:rsid w:val="00783EA8"/>
    <w:rsid w:val="0078443E"/>
    <w:rsid w:val="00784527"/>
    <w:rsid w:val="007845AA"/>
    <w:rsid w:val="00784807"/>
    <w:rsid w:val="00784D5D"/>
    <w:rsid w:val="00784E4E"/>
    <w:rsid w:val="00784F54"/>
    <w:rsid w:val="007852C6"/>
    <w:rsid w:val="00785386"/>
    <w:rsid w:val="0078573C"/>
    <w:rsid w:val="007858A0"/>
    <w:rsid w:val="00785B16"/>
    <w:rsid w:val="00785CC2"/>
    <w:rsid w:val="00785D04"/>
    <w:rsid w:val="00785E60"/>
    <w:rsid w:val="0078633D"/>
    <w:rsid w:val="007863F0"/>
    <w:rsid w:val="0078648F"/>
    <w:rsid w:val="0078678E"/>
    <w:rsid w:val="00786A79"/>
    <w:rsid w:val="00786B83"/>
    <w:rsid w:val="00787554"/>
    <w:rsid w:val="00787792"/>
    <w:rsid w:val="00787A6B"/>
    <w:rsid w:val="00787A7F"/>
    <w:rsid w:val="00790039"/>
    <w:rsid w:val="007903B6"/>
    <w:rsid w:val="0079044A"/>
    <w:rsid w:val="00790580"/>
    <w:rsid w:val="00790680"/>
    <w:rsid w:val="007906FB"/>
    <w:rsid w:val="00790B2C"/>
    <w:rsid w:val="00790BA6"/>
    <w:rsid w:val="00790C9B"/>
    <w:rsid w:val="00790EDB"/>
    <w:rsid w:val="00791083"/>
    <w:rsid w:val="00791333"/>
    <w:rsid w:val="00791402"/>
    <w:rsid w:val="00791426"/>
    <w:rsid w:val="007918FC"/>
    <w:rsid w:val="00791A2B"/>
    <w:rsid w:val="00791BF4"/>
    <w:rsid w:val="00791DFA"/>
    <w:rsid w:val="00791EEC"/>
    <w:rsid w:val="00791F13"/>
    <w:rsid w:val="00792063"/>
    <w:rsid w:val="00792120"/>
    <w:rsid w:val="00792146"/>
    <w:rsid w:val="00792205"/>
    <w:rsid w:val="0079256F"/>
    <w:rsid w:val="007929E8"/>
    <w:rsid w:val="00792BDF"/>
    <w:rsid w:val="00792C8F"/>
    <w:rsid w:val="00792F22"/>
    <w:rsid w:val="0079326D"/>
    <w:rsid w:val="007934C7"/>
    <w:rsid w:val="00793C23"/>
    <w:rsid w:val="007942EB"/>
    <w:rsid w:val="00794352"/>
    <w:rsid w:val="00794758"/>
    <w:rsid w:val="00794CED"/>
    <w:rsid w:val="00794F11"/>
    <w:rsid w:val="0079580D"/>
    <w:rsid w:val="00795ADB"/>
    <w:rsid w:val="007961B6"/>
    <w:rsid w:val="007965B2"/>
    <w:rsid w:val="007967BD"/>
    <w:rsid w:val="0079699F"/>
    <w:rsid w:val="00796BC8"/>
    <w:rsid w:val="00796F10"/>
    <w:rsid w:val="00797550"/>
    <w:rsid w:val="007978B7"/>
    <w:rsid w:val="00797AF4"/>
    <w:rsid w:val="007A07BC"/>
    <w:rsid w:val="007A08AE"/>
    <w:rsid w:val="007A0926"/>
    <w:rsid w:val="007A0B11"/>
    <w:rsid w:val="007A12A1"/>
    <w:rsid w:val="007A13D9"/>
    <w:rsid w:val="007A1502"/>
    <w:rsid w:val="007A1932"/>
    <w:rsid w:val="007A1ACD"/>
    <w:rsid w:val="007A1B51"/>
    <w:rsid w:val="007A22C8"/>
    <w:rsid w:val="007A2481"/>
    <w:rsid w:val="007A2897"/>
    <w:rsid w:val="007A2CBC"/>
    <w:rsid w:val="007A2F60"/>
    <w:rsid w:val="007A3119"/>
    <w:rsid w:val="007A32BE"/>
    <w:rsid w:val="007A3823"/>
    <w:rsid w:val="007A3AE4"/>
    <w:rsid w:val="007A3B63"/>
    <w:rsid w:val="007A4414"/>
    <w:rsid w:val="007A4BED"/>
    <w:rsid w:val="007A4D09"/>
    <w:rsid w:val="007A504D"/>
    <w:rsid w:val="007A50AC"/>
    <w:rsid w:val="007A53C7"/>
    <w:rsid w:val="007A5673"/>
    <w:rsid w:val="007A5773"/>
    <w:rsid w:val="007A5F0D"/>
    <w:rsid w:val="007A5F19"/>
    <w:rsid w:val="007A5F78"/>
    <w:rsid w:val="007A6055"/>
    <w:rsid w:val="007A60B0"/>
    <w:rsid w:val="007A665D"/>
    <w:rsid w:val="007A6FF2"/>
    <w:rsid w:val="007A736E"/>
    <w:rsid w:val="007A7464"/>
    <w:rsid w:val="007A79FA"/>
    <w:rsid w:val="007A7A12"/>
    <w:rsid w:val="007A7FEE"/>
    <w:rsid w:val="007B02B2"/>
    <w:rsid w:val="007B04CD"/>
    <w:rsid w:val="007B0695"/>
    <w:rsid w:val="007B0700"/>
    <w:rsid w:val="007B13BD"/>
    <w:rsid w:val="007B1786"/>
    <w:rsid w:val="007B18F0"/>
    <w:rsid w:val="007B2186"/>
    <w:rsid w:val="007B244B"/>
    <w:rsid w:val="007B250C"/>
    <w:rsid w:val="007B2524"/>
    <w:rsid w:val="007B2787"/>
    <w:rsid w:val="007B2AA8"/>
    <w:rsid w:val="007B2C3B"/>
    <w:rsid w:val="007B3333"/>
    <w:rsid w:val="007B3639"/>
    <w:rsid w:val="007B3F4A"/>
    <w:rsid w:val="007B45B9"/>
    <w:rsid w:val="007B45FE"/>
    <w:rsid w:val="007B46EE"/>
    <w:rsid w:val="007B4A4F"/>
    <w:rsid w:val="007B4C47"/>
    <w:rsid w:val="007B4C6F"/>
    <w:rsid w:val="007B4D3A"/>
    <w:rsid w:val="007B4FF6"/>
    <w:rsid w:val="007B51B2"/>
    <w:rsid w:val="007B5877"/>
    <w:rsid w:val="007B58BF"/>
    <w:rsid w:val="007B5BB9"/>
    <w:rsid w:val="007B5BF4"/>
    <w:rsid w:val="007B5FD3"/>
    <w:rsid w:val="007B5FDD"/>
    <w:rsid w:val="007B6016"/>
    <w:rsid w:val="007B60D3"/>
    <w:rsid w:val="007B6384"/>
    <w:rsid w:val="007B63AE"/>
    <w:rsid w:val="007B693B"/>
    <w:rsid w:val="007B77F2"/>
    <w:rsid w:val="007B7957"/>
    <w:rsid w:val="007B7995"/>
    <w:rsid w:val="007C0B64"/>
    <w:rsid w:val="007C1252"/>
    <w:rsid w:val="007C128E"/>
    <w:rsid w:val="007C1515"/>
    <w:rsid w:val="007C1719"/>
    <w:rsid w:val="007C19A9"/>
    <w:rsid w:val="007C1A9C"/>
    <w:rsid w:val="007C1AEE"/>
    <w:rsid w:val="007C1B34"/>
    <w:rsid w:val="007C1B4B"/>
    <w:rsid w:val="007C1D23"/>
    <w:rsid w:val="007C1F4A"/>
    <w:rsid w:val="007C2000"/>
    <w:rsid w:val="007C2100"/>
    <w:rsid w:val="007C23DC"/>
    <w:rsid w:val="007C265A"/>
    <w:rsid w:val="007C3100"/>
    <w:rsid w:val="007C31B8"/>
    <w:rsid w:val="007C39EB"/>
    <w:rsid w:val="007C3B1D"/>
    <w:rsid w:val="007C3DAC"/>
    <w:rsid w:val="007C41AD"/>
    <w:rsid w:val="007C45C7"/>
    <w:rsid w:val="007C465A"/>
    <w:rsid w:val="007C4700"/>
    <w:rsid w:val="007C4D05"/>
    <w:rsid w:val="007C4E4E"/>
    <w:rsid w:val="007C5097"/>
    <w:rsid w:val="007C513E"/>
    <w:rsid w:val="007C51C3"/>
    <w:rsid w:val="007C52A5"/>
    <w:rsid w:val="007C5E52"/>
    <w:rsid w:val="007C5F5A"/>
    <w:rsid w:val="007C61E6"/>
    <w:rsid w:val="007C6C3A"/>
    <w:rsid w:val="007C6D7C"/>
    <w:rsid w:val="007C6FAC"/>
    <w:rsid w:val="007C6FC0"/>
    <w:rsid w:val="007C7137"/>
    <w:rsid w:val="007C7A6A"/>
    <w:rsid w:val="007D0732"/>
    <w:rsid w:val="007D13E4"/>
    <w:rsid w:val="007D15F5"/>
    <w:rsid w:val="007D177D"/>
    <w:rsid w:val="007D2068"/>
    <w:rsid w:val="007D2278"/>
    <w:rsid w:val="007D2504"/>
    <w:rsid w:val="007D2522"/>
    <w:rsid w:val="007D2535"/>
    <w:rsid w:val="007D2A48"/>
    <w:rsid w:val="007D2A94"/>
    <w:rsid w:val="007D38D0"/>
    <w:rsid w:val="007D39FB"/>
    <w:rsid w:val="007D3A2D"/>
    <w:rsid w:val="007D3B71"/>
    <w:rsid w:val="007D3F4F"/>
    <w:rsid w:val="007D402E"/>
    <w:rsid w:val="007D41EB"/>
    <w:rsid w:val="007D450B"/>
    <w:rsid w:val="007D450C"/>
    <w:rsid w:val="007D4885"/>
    <w:rsid w:val="007D49A6"/>
    <w:rsid w:val="007D49EA"/>
    <w:rsid w:val="007D4B8E"/>
    <w:rsid w:val="007D4FA9"/>
    <w:rsid w:val="007D5B38"/>
    <w:rsid w:val="007D5D86"/>
    <w:rsid w:val="007D6893"/>
    <w:rsid w:val="007D7548"/>
    <w:rsid w:val="007D75DE"/>
    <w:rsid w:val="007D762D"/>
    <w:rsid w:val="007D78D9"/>
    <w:rsid w:val="007D7A82"/>
    <w:rsid w:val="007D7BCF"/>
    <w:rsid w:val="007D7D4F"/>
    <w:rsid w:val="007E0044"/>
    <w:rsid w:val="007E0A17"/>
    <w:rsid w:val="007E0D8B"/>
    <w:rsid w:val="007E0F40"/>
    <w:rsid w:val="007E1018"/>
    <w:rsid w:val="007E12F8"/>
    <w:rsid w:val="007E1A37"/>
    <w:rsid w:val="007E1AB3"/>
    <w:rsid w:val="007E1EFC"/>
    <w:rsid w:val="007E2230"/>
    <w:rsid w:val="007E228F"/>
    <w:rsid w:val="007E22F3"/>
    <w:rsid w:val="007E2815"/>
    <w:rsid w:val="007E29C3"/>
    <w:rsid w:val="007E2DD8"/>
    <w:rsid w:val="007E2E20"/>
    <w:rsid w:val="007E32C8"/>
    <w:rsid w:val="007E3487"/>
    <w:rsid w:val="007E349A"/>
    <w:rsid w:val="007E36AE"/>
    <w:rsid w:val="007E3B4D"/>
    <w:rsid w:val="007E3DD9"/>
    <w:rsid w:val="007E4062"/>
    <w:rsid w:val="007E411F"/>
    <w:rsid w:val="007E46E3"/>
    <w:rsid w:val="007E49C1"/>
    <w:rsid w:val="007E4A82"/>
    <w:rsid w:val="007E4AC6"/>
    <w:rsid w:val="007E4B81"/>
    <w:rsid w:val="007E4DCF"/>
    <w:rsid w:val="007E5559"/>
    <w:rsid w:val="007E59E2"/>
    <w:rsid w:val="007E5CFB"/>
    <w:rsid w:val="007E5ECC"/>
    <w:rsid w:val="007E609B"/>
    <w:rsid w:val="007E625D"/>
    <w:rsid w:val="007E6FC8"/>
    <w:rsid w:val="007E7947"/>
    <w:rsid w:val="007E7E55"/>
    <w:rsid w:val="007E7F22"/>
    <w:rsid w:val="007F0FCC"/>
    <w:rsid w:val="007F1880"/>
    <w:rsid w:val="007F18B6"/>
    <w:rsid w:val="007F192B"/>
    <w:rsid w:val="007F1A80"/>
    <w:rsid w:val="007F1DBD"/>
    <w:rsid w:val="007F1F9A"/>
    <w:rsid w:val="007F21A4"/>
    <w:rsid w:val="007F2274"/>
    <w:rsid w:val="007F254A"/>
    <w:rsid w:val="007F2AFA"/>
    <w:rsid w:val="007F2D4A"/>
    <w:rsid w:val="007F4518"/>
    <w:rsid w:val="007F4C1E"/>
    <w:rsid w:val="007F5503"/>
    <w:rsid w:val="007F56CA"/>
    <w:rsid w:val="007F57D0"/>
    <w:rsid w:val="007F5D15"/>
    <w:rsid w:val="007F5F3A"/>
    <w:rsid w:val="007F62E7"/>
    <w:rsid w:val="007F666D"/>
    <w:rsid w:val="007F6ADD"/>
    <w:rsid w:val="007F6BE7"/>
    <w:rsid w:val="007F734C"/>
    <w:rsid w:val="007F7BA2"/>
    <w:rsid w:val="007F7E32"/>
    <w:rsid w:val="00800136"/>
    <w:rsid w:val="00800880"/>
    <w:rsid w:val="00800B49"/>
    <w:rsid w:val="00800F18"/>
    <w:rsid w:val="00800F8D"/>
    <w:rsid w:val="00801039"/>
    <w:rsid w:val="0080119A"/>
    <w:rsid w:val="00801320"/>
    <w:rsid w:val="00801379"/>
    <w:rsid w:val="00801412"/>
    <w:rsid w:val="008018E5"/>
    <w:rsid w:val="00801C52"/>
    <w:rsid w:val="00801D64"/>
    <w:rsid w:val="0080207F"/>
    <w:rsid w:val="0080293E"/>
    <w:rsid w:val="00802986"/>
    <w:rsid w:val="008033FF"/>
    <w:rsid w:val="008035B6"/>
    <w:rsid w:val="0080366D"/>
    <w:rsid w:val="008036E9"/>
    <w:rsid w:val="00803717"/>
    <w:rsid w:val="00803968"/>
    <w:rsid w:val="00803E87"/>
    <w:rsid w:val="00804076"/>
    <w:rsid w:val="008042DA"/>
    <w:rsid w:val="0080457D"/>
    <w:rsid w:val="00804B94"/>
    <w:rsid w:val="008050C7"/>
    <w:rsid w:val="00805408"/>
    <w:rsid w:val="00805551"/>
    <w:rsid w:val="008057C9"/>
    <w:rsid w:val="00805E47"/>
    <w:rsid w:val="00805EBF"/>
    <w:rsid w:val="008061A5"/>
    <w:rsid w:val="00806506"/>
    <w:rsid w:val="00806EA4"/>
    <w:rsid w:val="00807AC5"/>
    <w:rsid w:val="00807E50"/>
    <w:rsid w:val="0081042B"/>
    <w:rsid w:val="0081092D"/>
    <w:rsid w:val="0081106F"/>
    <w:rsid w:val="00811145"/>
    <w:rsid w:val="008111D8"/>
    <w:rsid w:val="008112D3"/>
    <w:rsid w:val="00811397"/>
    <w:rsid w:val="00811592"/>
    <w:rsid w:val="0081178D"/>
    <w:rsid w:val="00811A2C"/>
    <w:rsid w:val="00811A9B"/>
    <w:rsid w:val="00811AB3"/>
    <w:rsid w:val="00811AFA"/>
    <w:rsid w:val="00811F73"/>
    <w:rsid w:val="00812252"/>
    <w:rsid w:val="008128C6"/>
    <w:rsid w:val="00812BDE"/>
    <w:rsid w:val="00812D5A"/>
    <w:rsid w:val="00813296"/>
    <w:rsid w:val="00813462"/>
    <w:rsid w:val="008134A4"/>
    <w:rsid w:val="00813546"/>
    <w:rsid w:val="00814110"/>
    <w:rsid w:val="0081417C"/>
    <w:rsid w:val="008141FA"/>
    <w:rsid w:val="0081426F"/>
    <w:rsid w:val="00814500"/>
    <w:rsid w:val="00814A1E"/>
    <w:rsid w:val="00814A4E"/>
    <w:rsid w:val="00814B22"/>
    <w:rsid w:val="00814B29"/>
    <w:rsid w:val="00814DFF"/>
    <w:rsid w:val="0081518B"/>
    <w:rsid w:val="008153BE"/>
    <w:rsid w:val="0081547A"/>
    <w:rsid w:val="00815E99"/>
    <w:rsid w:val="0081686A"/>
    <w:rsid w:val="00816902"/>
    <w:rsid w:val="00816DA4"/>
    <w:rsid w:val="00816EB0"/>
    <w:rsid w:val="00817296"/>
    <w:rsid w:val="0081735F"/>
    <w:rsid w:val="00817654"/>
    <w:rsid w:val="00817EEF"/>
    <w:rsid w:val="008202C6"/>
    <w:rsid w:val="00820835"/>
    <w:rsid w:val="00820F8F"/>
    <w:rsid w:val="0082111A"/>
    <w:rsid w:val="0082193B"/>
    <w:rsid w:val="008219DE"/>
    <w:rsid w:val="00821A93"/>
    <w:rsid w:val="00821EF8"/>
    <w:rsid w:val="00821FE3"/>
    <w:rsid w:val="0082216B"/>
    <w:rsid w:val="00822E55"/>
    <w:rsid w:val="00822EA0"/>
    <w:rsid w:val="00823693"/>
    <w:rsid w:val="008236F1"/>
    <w:rsid w:val="00823D5B"/>
    <w:rsid w:val="00823EB9"/>
    <w:rsid w:val="008240DB"/>
    <w:rsid w:val="008248AF"/>
    <w:rsid w:val="00824AC6"/>
    <w:rsid w:val="00824F6B"/>
    <w:rsid w:val="008253CC"/>
    <w:rsid w:val="008254F1"/>
    <w:rsid w:val="0082570B"/>
    <w:rsid w:val="00825931"/>
    <w:rsid w:val="00825C52"/>
    <w:rsid w:val="008261DE"/>
    <w:rsid w:val="00826291"/>
    <w:rsid w:val="00826813"/>
    <w:rsid w:val="00826B2B"/>
    <w:rsid w:val="00826D8B"/>
    <w:rsid w:val="00826EC1"/>
    <w:rsid w:val="00827112"/>
    <w:rsid w:val="0082728A"/>
    <w:rsid w:val="008275B1"/>
    <w:rsid w:val="00827771"/>
    <w:rsid w:val="0082786C"/>
    <w:rsid w:val="00830547"/>
    <w:rsid w:val="008306DF"/>
    <w:rsid w:val="00830AE8"/>
    <w:rsid w:val="00830CC8"/>
    <w:rsid w:val="0083114D"/>
    <w:rsid w:val="008314F9"/>
    <w:rsid w:val="0083187A"/>
    <w:rsid w:val="00831887"/>
    <w:rsid w:val="00831B88"/>
    <w:rsid w:val="00831E43"/>
    <w:rsid w:val="00832096"/>
    <w:rsid w:val="0083237A"/>
    <w:rsid w:val="00832A47"/>
    <w:rsid w:val="00832C75"/>
    <w:rsid w:val="00832CEA"/>
    <w:rsid w:val="0083314B"/>
    <w:rsid w:val="008335EA"/>
    <w:rsid w:val="00833933"/>
    <w:rsid w:val="00833EEE"/>
    <w:rsid w:val="00834052"/>
    <w:rsid w:val="0083445A"/>
    <w:rsid w:val="0083486B"/>
    <w:rsid w:val="0083564B"/>
    <w:rsid w:val="00835AC9"/>
    <w:rsid w:val="00836236"/>
    <w:rsid w:val="00836792"/>
    <w:rsid w:val="00836D4B"/>
    <w:rsid w:val="008374C8"/>
    <w:rsid w:val="00837DBB"/>
    <w:rsid w:val="00837E91"/>
    <w:rsid w:val="00837FCE"/>
    <w:rsid w:val="0084008D"/>
    <w:rsid w:val="0084030A"/>
    <w:rsid w:val="0084049F"/>
    <w:rsid w:val="0084069D"/>
    <w:rsid w:val="00840BC2"/>
    <w:rsid w:val="00840E25"/>
    <w:rsid w:val="008412FB"/>
    <w:rsid w:val="00841381"/>
    <w:rsid w:val="00841989"/>
    <w:rsid w:val="008419D8"/>
    <w:rsid w:val="00842166"/>
    <w:rsid w:val="00842589"/>
    <w:rsid w:val="008427B3"/>
    <w:rsid w:val="00842966"/>
    <w:rsid w:val="00842AE2"/>
    <w:rsid w:val="0084311D"/>
    <w:rsid w:val="008431D5"/>
    <w:rsid w:val="00843791"/>
    <w:rsid w:val="00843E50"/>
    <w:rsid w:val="00844355"/>
    <w:rsid w:val="00844D6F"/>
    <w:rsid w:val="00844D98"/>
    <w:rsid w:val="00845984"/>
    <w:rsid w:val="00845F67"/>
    <w:rsid w:val="00845FEB"/>
    <w:rsid w:val="00846661"/>
    <w:rsid w:val="008467AF"/>
    <w:rsid w:val="00846B92"/>
    <w:rsid w:val="00846C74"/>
    <w:rsid w:val="00846D1C"/>
    <w:rsid w:val="00846D78"/>
    <w:rsid w:val="00846E2D"/>
    <w:rsid w:val="00846E39"/>
    <w:rsid w:val="008471DE"/>
    <w:rsid w:val="00847259"/>
    <w:rsid w:val="008473F7"/>
    <w:rsid w:val="00847534"/>
    <w:rsid w:val="0084765D"/>
    <w:rsid w:val="0084769D"/>
    <w:rsid w:val="00847A16"/>
    <w:rsid w:val="00847AB4"/>
    <w:rsid w:val="00847FBB"/>
    <w:rsid w:val="0085007C"/>
    <w:rsid w:val="00850986"/>
    <w:rsid w:val="008509B5"/>
    <w:rsid w:val="0085119D"/>
    <w:rsid w:val="008512C5"/>
    <w:rsid w:val="00851327"/>
    <w:rsid w:val="008513C9"/>
    <w:rsid w:val="00851545"/>
    <w:rsid w:val="00851D4A"/>
    <w:rsid w:val="00851E0A"/>
    <w:rsid w:val="00852001"/>
    <w:rsid w:val="00852217"/>
    <w:rsid w:val="0085249A"/>
    <w:rsid w:val="00852C40"/>
    <w:rsid w:val="00852D5A"/>
    <w:rsid w:val="00852EBA"/>
    <w:rsid w:val="0085312F"/>
    <w:rsid w:val="0085357D"/>
    <w:rsid w:val="00853814"/>
    <w:rsid w:val="008538A6"/>
    <w:rsid w:val="00853990"/>
    <w:rsid w:val="00853E5E"/>
    <w:rsid w:val="008542D5"/>
    <w:rsid w:val="00854489"/>
    <w:rsid w:val="00854597"/>
    <w:rsid w:val="00854DF8"/>
    <w:rsid w:val="00854E68"/>
    <w:rsid w:val="00855127"/>
    <w:rsid w:val="00855DA2"/>
    <w:rsid w:val="00855EDB"/>
    <w:rsid w:val="00855F9D"/>
    <w:rsid w:val="00856199"/>
    <w:rsid w:val="0085624B"/>
    <w:rsid w:val="008565AC"/>
    <w:rsid w:val="00856994"/>
    <w:rsid w:val="008569E6"/>
    <w:rsid w:val="0085724C"/>
    <w:rsid w:val="00857651"/>
    <w:rsid w:val="008576DD"/>
    <w:rsid w:val="00857944"/>
    <w:rsid w:val="00857E93"/>
    <w:rsid w:val="0086014B"/>
    <w:rsid w:val="008608C5"/>
    <w:rsid w:val="008614B2"/>
    <w:rsid w:val="008620A5"/>
    <w:rsid w:val="00862358"/>
    <w:rsid w:val="008626A9"/>
    <w:rsid w:val="00862AF9"/>
    <w:rsid w:val="00862D8B"/>
    <w:rsid w:val="00862EE4"/>
    <w:rsid w:val="00862EE7"/>
    <w:rsid w:val="008630D2"/>
    <w:rsid w:val="00863184"/>
    <w:rsid w:val="0086344D"/>
    <w:rsid w:val="00863980"/>
    <w:rsid w:val="0086408A"/>
    <w:rsid w:val="0086425C"/>
    <w:rsid w:val="008642EF"/>
    <w:rsid w:val="00864343"/>
    <w:rsid w:val="00864346"/>
    <w:rsid w:val="00864398"/>
    <w:rsid w:val="00864A9F"/>
    <w:rsid w:val="0086505B"/>
    <w:rsid w:val="008654A5"/>
    <w:rsid w:val="00865578"/>
    <w:rsid w:val="00865971"/>
    <w:rsid w:val="00866130"/>
    <w:rsid w:val="008661DF"/>
    <w:rsid w:val="008663D2"/>
    <w:rsid w:val="00866632"/>
    <w:rsid w:val="0086697C"/>
    <w:rsid w:val="00866994"/>
    <w:rsid w:val="00866A37"/>
    <w:rsid w:val="00866CDE"/>
    <w:rsid w:val="008676D5"/>
    <w:rsid w:val="00870152"/>
    <w:rsid w:val="008701B7"/>
    <w:rsid w:val="008705A0"/>
    <w:rsid w:val="00870965"/>
    <w:rsid w:val="00870CB1"/>
    <w:rsid w:val="00871080"/>
    <w:rsid w:val="0087115B"/>
    <w:rsid w:val="00871B84"/>
    <w:rsid w:val="00872249"/>
    <w:rsid w:val="008724C0"/>
    <w:rsid w:val="00872A67"/>
    <w:rsid w:val="00872B73"/>
    <w:rsid w:val="0087395B"/>
    <w:rsid w:val="008741E9"/>
    <w:rsid w:val="008748A3"/>
    <w:rsid w:val="00874E05"/>
    <w:rsid w:val="00874E9F"/>
    <w:rsid w:val="00875120"/>
    <w:rsid w:val="0087517E"/>
    <w:rsid w:val="00875292"/>
    <w:rsid w:val="00875416"/>
    <w:rsid w:val="00875A4F"/>
    <w:rsid w:val="00875B75"/>
    <w:rsid w:val="00876626"/>
    <w:rsid w:val="008766B5"/>
    <w:rsid w:val="0087726E"/>
    <w:rsid w:val="0087751C"/>
    <w:rsid w:val="0087782C"/>
    <w:rsid w:val="00877E7E"/>
    <w:rsid w:val="008801CB"/>
    <w:rsid w:val="00880463"/>
    <w:rsid w:val="008805C7"/>
    <w:rsid w:val="008807A3"/>
    <w:rsid w:val="00880979"/>
    <w:rsid w:val="00880CAD"/>
    <w:rsid w:val="00880DF6"/>
    <w:rsid w:val="00880F53"/>
    <w:rsid w:val="00881269"/>
    <w:rsid w:val="00881270"/>
    <w:rsid w:val="008817F2"/>
    <w:rsid w:val="00882194"/>
    <w:rsid w:val="008821ED"/>
    <w:rsid w:val="00882C39"/>
    <w:rsid w:val="00882ED1"/>
    <w:rsid w:val="00883057"/>
    <w:rsid w:val="0088318A"/>
    <w:rsid w:val="008839D4"/>
    <w:rsid w:val="00883CF6"/>
    <w:rsid w:val="00883EF9"/>
    <w:rsid w:val="00883FAC"/>
    <w:rsid w:val="00884058"/>
    <w:rsid w:val="0088426C"/>
    <w:rsid w:val="00884CB9"/>
    <w:rsid w:val="008852CD"/>
    <w:rsid w:val="00885829"/>
    <w:rsid w:val="00886341"/>
    <w:rsid w:val="00886749"/>
    <w:rsid w:val="00886A84"/>
    <w:rsid w:val="0088719B"/>
    <w:rsid w:val="008871D9"/>
    <w:rsid w:val="008877FA"/>
    <w:rsid w:val="00887E10"/>
    <w:rsid w:val="00890000"/>
    <w:rsid w:val="00890013"/>
    <w:rsid w:val="008901C5"/>
    <w:rsid w:val="0089023C"/>
    <w:rsid w:val="00890542"/>
    <w:rsid w:val="008908CE"/>
    <w:rsid w:val="008908DF"/>
    <w:rsid w:val="00890B84"/>
    <w:rsid w:val="00890E85"/>
    <w:rsid w:val="008914B7"/>
    <w:rsid w:val="008915D8"/>
    <w:rsid w:val="00891B4A"/>
    <w:rsid w:val="00891B56"/>
    <w:rsid w:val="00892FD9"/>
    <w:rsid w:val="00892FEB"/>
    <w:rsid w:val="00893684"/>
    <w:rsid w:val="0089371B"/>
    <w:rsid w:val="00893993"/>
    <w:rsid w:val="008939EA"/>
    <w:rsid w:val="00893D72"/>
    <w:rsid w:val="008941DB"/>
    <w:rsid w:val="0089442E"/>
    <w:rsid w:val="00894869"/>
    <w:rsid w:val="00894AEB"/>
    <w:rsid w:val="00894F56"/>
    <w:rsid w:val="0089503A"/>
    <w:rsid w:val="008950C0"/>
    <w:rsid w:val="00895313"/>
    <w:rsid w:val="00895389"/>
    <w:rsid w:val="0089560D"/>
    <w:rsid w:val="0089585D"/>
    <w:rsid w:val="00895F43"/>
    <w:rsid w:val="00896ACE"/>
    <w:rsid w:val="00896EAE"/>
    <w:rsid w:val="0089792E"/>
    <w:rsid w:val="00897B63"/>
    <w:rsid w:val="00897C58"/>
    <w:rsid w:val="008A041E"/>
    <w:rsid w:val="008A0650"/>
    <w:rsid w:val="008A0651"/>
    <w:rsid w:val="008A069B"/>
    <w:rsid w:val="008A09CC"/>
    <w:rsid w:val="008A11C2"/>
    <w:rsid w:val="008A128D"/>
    <w:rsid w:val="008A137E"/>
    <w:rsid w:val="008A13A5"/>
    <w:rsid w:val="008A239E"/>
    <w:rsid w:val="008A2856"/>
    <w:rsid w:val="008A2A2D"/>
    <w:rsid w:val="008A2D3C"/>
    <w:rsid w:val="008A2E0E"/>
    <w:rsid w:val="008A2E6A"/>
    <w:rsid w:val="008A33B9"/>
    <w:rsid w:val="008A340E"/>
    <w:rsid w:val="008A345B"/>
    <w:rsid w:val="008A35EA"/>
    <w:rsid w:val="008A3AC0"/>
    <w:rsid w:val="008A3F76"/>
    <w:rsid w:val="008A3F88"/>
    <w:rsid w:val="008A4147"/>
    <w:rsid w:val="008A41EB"/>
    <w:rsid w:val="008A462A"/>
    <w:rsid w:val="008A485E"/>
    <w:rsid w:val="008A494D"/>
    <w:rsid w:val="008A587E"/>
    <w:rsid w:val="008A5881"/>
    <w:rsid w:val="008A5973"/>
    <w:rsid w:val="008A5CFE"/>
    <w:rsid w:val="008A5D9B"/>
    <w:rsid w:val="008A5EF0"/>
    <w:rsid w:val="008A6371"/>
    <w:rsid w:val="008A6B87"/>
    <w:rsid w:val="008A7201"/>
    <w:rsid w:val="008A7294"/>
    <w:rsid w:val="008A743E"/>
    <w:rsid w:val="008A75C4"/>
    <w:rsid w:val="008A7941"/>
    <w:rsid w:val="008A7EDB"/>
    <w:rsid w:val="008B013D"/>
    <w:rsid w:val="008B03A2"/>
    <w:rsid w:val="008B05BB"/>
    <w:rsid w:val="008B0F2E"/>
    <w:rsid w:val="008B0FA3"/>
    <w:rsid w:val="008B0FA9"/>
    <w:rsid w:val="008B1164"/>
    <w:rsid w:val="008B128B"/>
    <w:rsid w:val="008B1568"/>
    <w:rsid w:val="008B1809"/>
    <w:rsid w:val="008B1BF0"/>
    <w:rsid w:val="008B1E02"/>
    <w:rsid w:val="008B21B8"/>
    <w:rsid w:val="008B221E"/>
    <w:rsid w:val="008B2248"/>
    <w:rsid w:val="008B2852"/>
    <w:rsid w:val="008B2C2D"/>
    <w:rsid w:val="008B2CF2"/>
    <w:rsid w:val="008B2DEE"/>
    <w:rsid w:val="008B33A5"/>
    <w:rsid w:val="008B33AF"/>
    <w:rsid w:val="008B37D3"/>
    <w:rsid w:val="008B4453"/>
    <w:rsid w:val="008B4743"/>
    <w:rsid w:val="008B49AE"/>
    <w:rsid w:val="008B4DED"/>
    <w:rsid w:val="008B5259"/>
    <w:rsid w:val="008B57D2"/>
    <w:rsid w:val="008B59C5"/>
    <w:rsid w:val="008B5A33"/>
    <w:rsid w:val="008B5E31"/>
    <w:rsid w:val="008B671F"/>
    <w:rsid w:val="008B6769"/>
    <w:rsid w:val="008B6835"/>
    <w:rsid w:val="008B689F"/>
    <w:rsid w:val="008B6A80"/>
    <w:rsid w:val="008B6C45"/>
    <w:rsid w:val="008B6E8F"/>
    <w:rsid w:val="008B7151"/>
    <w:rsid w:val="008B7162"/>
    <w:rsid w:val="008B7631"/>
    <w:rsid w:val="008B7730"/>
    <w:rsid w:val="008B7C11"/>
    <w:rsid w:val="008B7E1A"/>
    <w:rsid w:val="008C00FF"/>
    <w:rsid w:val="008C08D3"/>
    <w:rsid w:val="008C09CD"/>
    <w:rsid w:val="008C0CE4"/>
    <w:rsid w:val="008C1924"/>
    <w:rsid w:val="008C1E19"/>
    <w:rsid w:val="008C286C"/>
    <w:rsid w:val="008C2BD5"/>
    <w:rsid w:val="008C2CB3"/>
    <w:rsid w:val="008C2CC3"/>
    <w:rsid w:val="008C2D90"/>
    <w:rsid w:val="008C302E"/>
    <w:rsid w:val="008C3153"/>
    <w:rsid w:val="008C348B"/>
    <w:rsid w:val="008C36E5"/>
    <w:rsid w:val="008C3745"/>
    <w:rsid w:val="008C39D9"/>
    <w:rsid w:val="008C408A"/>
    <w:rsid w:val="008C42A0"/>
    <w:rsid w:val="008C4449"/>
    <w:rsid w:val="008C444C"/>
    <w:rsid w:val="008C4499"/>
    <w:rsid w:val="008C5426"/>
    <w:rsid w:val="008C5580"/>
    <w:rsid w:val="008C5C66"/>
    <w:rsid w:val="008C5FD5"/>
    <w:rsid w:val="008C604C"/>
    <w:rsid w:val="008C62B9"/>
    <w:rsid w:val="008C67B6"/>
    <w:rsid w:val="008C6C48"/>
    <w:rsid w:val="008C6E10"/>
    <w:rsid w:val="008C6F2F"/>
    <w:rsid w:val="008C6F3A"/>
    <w:rsid w:val="008C6F7B"/>
    <w:rsid w:val="008C6FDF"/>
    <w:rsid w:val="008C73B7"/>
    <w:rsid w:val="008C7510"/>
    <w:rsid w:val="008C7C75"/>
    <w:rsid w:val="008C7D9F"/>
    <w:rsid w:val="008D030D"/>
    <w:rsid w:val="008D0487"/>
    <w:rsid w:val="008D0505"/>
    <w:rsid w:val="008D07A0"/>
    <w:rsid w:val="008D133B"/>
    <w:rsid w:val="008D161F"/>
    <w:rsid w:val="008D17C8"/>
    <w:rsid w:val="008D1D16"/>
    <w:rsid w:val="008D1D9B"/>
    <w:rsid w:val="008D1FB8"/>
    <w:rsid w:val="008D2409"/>
    <w:rsid w:val="008D2620"/>
    <w:rsid w:val="008D27C7"/>
    <w:rsid w:val="008D33A3"/>
    <w:rsid w:val="008D3709"/>
    <w:rsid w:val="008D3F5B"/>
    <w:rsid w:val="008D440E"/>
    <w:rsid w:val="008D4EC8"/>
    <w:rsid w:val="008D4F51"/>
    <w:rsid w:val="008D531F"/>
    <w:rsid w:val="008D59CD"/>
    <w:rsid w:val="008D5E90"/>
    <w:rsid w:val="008D5FF2"/>
    <w:rsid w:val="008D608E"/>
    <w:rsid w:val="008D64B2"/>
    <w:rsid w:val="008D68BE"/>
    <w:rsid w:val="008D6BE4"/>
    <w:rsid w:val="008D6E21"/>
    <w:rsid w:val="008D6F7F"/>
    <w:rsid w:val="008D72F0"/>
    <w:rsid w:val="008D7443"/>
    <w:rsid w:val="008D7B59"/>
    <w:rsid w:val="008E060A"/>
    <w:rsid w:val="008E0769"/>
    <w:rsid w:val="008E0E6A"/>
    <w:rsid w:val="008E0E9B"/>
    <w:rsid w:val="008E12DF"/>
    <w:rsid w:val="008E1413"/>
    <w:rsid w:val="008E1592"/>
    <w:rsid w:val="008E1849"/>
    <w:rsid w:val="008E1B20"/>
    <w:rsid w:val="008E1EEA"/>
    <w:rsid w:val="008E2004"/>
    <w:rsid w:val="008E2288"/>
    <w:rsid w:val="008E2513"/>
    <w:rsid w:val="008E2687"/>
    <w:rsid w:val="008E2900"/>
    <w:rsid w:val="008E29AC"/>
    <w:rsid w:val="008E2D4D"/>
    <w:rsid w:val="008E2D58"/>
    <w:rsid w:val="008E2F38"/>
    <w:rsid w:val="008E2FB8"/>
    <w:rsid w:val="008E33EE"/>
    <w:rsid w:val="008E34CA"/>
    <w:rsid w:val="008E3775"/>
    <w:rsid w:val="008E42B9"/>
    <w:rsid w:val="008E4924"/>
    <w:rsid w:val="008E4D44"/>
    <w:rsid w:val="008E4D5A"/>
    <w:rsid w:val="008E5069"/>
    <w:rsid w:val="008E54BB"/>
    <w:rsid w:val="008E62BE"/>
    <w:rsid w:val="008E6586"/>
    <w:rsid w:val="008E68ED"/>
    <w:rsid w:val="008E6D1B"/>
    <w:rsid w:val="008E706D"/>
    <w:rsid w:val="008E72FD"/>
    <w:rsid w:val="008E7C3C"/>
    <w:rsid w:val="008E7C9A"/>
    <w:rsid w:val="008E7E28"/>
    <w:rsid w:val="008E7F25"/>
    <w:rsid w:val="008F011F"/>
    <w:rsid w:val="008F042D"/>
    <w:rsid w:val="008F053E"/>
    <w:rsid w:val="008F06B8"/>
    <w:rsid w:val="008F0814"/>
    <w:rsid w:val="008F0B24"/>
    <w:rsid w:val="008F1377"/>
    <w:rsid w:val="008F199A"/>
    <w:rsid w:val="008F204B"/>
    <w:rsid w:val="008F2083"/>
    <w:rsid w:val="008F2370"/>
    <w:rsid w:val="008F24F8"/>
    <w:rsid w:val="008F3761"/>
    <w:rsid w:val="008F37E2"/>
    <w:rsid w:val="008F3952"/>
    <w:rsid w:val="008F3A16"/>
    <w:rsid w:val="008F3B71"/>
    <w:rsid w:val="008F3BDD"/>
    <w:rsid w:val="008F4048"/>
    <w:rsid w:val="008F4927"/>
    <w:rsid w:val="008F4AC4"/>
    <w:rsid w:val="008F4E84"/>
    <w:rsid w:val="008F4F0A"/>
    <w:rsid w:val="008F53F1"/>
    <w:rsid w:val="008F5489"/>
    <w:rsid w:val="008F553A"/>
    <w:rsid w:val="008F591A"/>
    <w:rsid w:val="008F5C3C"/>
    <w:rsid w:val="008F6AB6"/>
    <w:rsid w:val="008F6C75"/>
    <w:rsid w:val="008F6DF3"/>
    <w:rsid w:val="008F7303"/>
    <w:rsid w:val="008F78DD"/>
    <w:rsid w:val="008F7BAD"/>
    <w:rsid w:val="008F7FEE"/>
    <w:rsid w:val="009007BC"/>
    <w:rsid w:val="009008EB"/>
    <w:rsid w:val="009009E8"/>
    <w:rsid w:val="00900A64"/>
    <w:rsid w:val="0090144A"/>
    <w:rsid w:val="009014D3"/>
    <w:rsid w:val="009015B0"/>
    <w:rsid w:val="00901921"/>
    <w:rsid w:val="00901A97"/>
    <w:rsid w:val="00901CCA"/>
    <w:rsid w:val="00902053"/>
    <w:rsid w:val="00902096"/>
    <w:rsid w:val="009020CF"/>
    <w:rsid w:val="00902233"/>
    <w:rsid w:val="0090240F"/>
    <w:rsid w:val="009024F6"/>
    <w:rsid w:val="00903070"/>
    <w:rsid w:val="00903681"/>
    <w:rsid w:val="00903B76"/>
    <w:rsid w:val="00903CCE"/>
    <w:rsid w:val="00903CD7"/>
    <w:rsid w:val="00903D3B"/>
    <w:rsid w:val="00903EA6"/>
    <w:rsid w:val="00904054"/>
    <w:rsid w:val="00904250"/>
    <w:rsid w:val="00904459"/>
    <w:rsid w:val="00904493"/>
    <w:rsid w:val="00904BC9"/>
    <w:rsid w:val="00905B45"/>
    <w:rsid w:val="00905F15"/>
    <w:rsid w:val="00905FE4"/>
    <w:rsid w:val="0090638B"/>
    <w:rsid w:val="0090640B"/>
    <w:rsid w:val="0090664A"/>
    <w:rsid w:val="009066B5"/>
    <w:rsid w:val="00906B17"/>
    <w:rsid w:val="00906D47"/>
    <w:rsid w:val="00907058"/>
    <w:rsid w:val="0090774F"/>
    <w:rsid w:val="009077D7"/>
    <w:rsid w:val="0090786E"/>
    <w:rsid w:val="00907B02"/>
    <w:rsid w:val="00910135"/>
    <w:rsid w:val="0091039C"/>
    <w:rsid w:val="0091074A"/>
    <w:rsid w:val="00910AAE"/>
    <w:rsid w:val="00910F2C"/>
    <w:rsid w:val="00911053"/>
    <w:rsid w:val="0091132B"/>
    <w:rsid w:val="00911479"/>
    <w:rsid w:val="00911662"/>
    <w:rsid w:val="00912079"/>
    <w:rsid w:val="0091239C"/>
    <w:rsid w:val="00912557"/>
    <w:rsid w:val="00912973"/>
    <w:rsid w:val="00912BB7"/>
    <w:rsid w:val="00912BE4"/>
    <w:rsid w:val="009133AA"/>
    <w:rsid w:val="009134C3"/>
    <w:rsid w:val="009137F3"/>
    <w:rsid w:val="00913AD9"/>
    <w:rsid w:val="009145BF"/>
    <w:rsid w:val="009147BE"/>
    <w:rsid w:val="00914A26"/>
    <w:rsid w:val="00914FDF"/>
    <w:rsid w:val="009153F1"/>
    <w:rsid w:val="009154F7"/>
    <w:rsid w:val="00915A6D"/>
    <w:rsid w:val="00915B6F"/>
    <w:rsid w:val="00915F5B"/>
    <w:rsid w:val="009163AC"/>
    <w:rsid w:val="009164B9"/>
    <w:rsid w:val="00916516"/>
    <w:rsid w:val="009166B9"/>
    <w:rsid w:val="00916C13"/>
    <w:rsid w:val="00916C83"/>
    <w:rsid w:val="00916FFA"/>
    <w:rsid w:val="00917026"/>
    <w:rsid w:val="0091711E"/>
    <w:rsid w:val="0091734A"/>
    <w:rsid w:val="009174C0"/>
    <w:rsid w:val="0091762E"/>
    <w:rsid w:val="009204BF"/>
    <w:rsid w:val="009205E3"/>
    <w:rsid w:val="0092094B"/>
    <w:rsid w:val="00920965"/>
    <w:rsid w:val="009211C2"/>
    <w:rsid w:val="00921255"/>
    <w:rsid w:val="00921A5F"/>
    <w:rsid w:val="00921D07"/>
    <w:rsid w:val="0092238D"/>
    <w:rsid w:val="009226B4"/>
    <w:rsid w:val="009236BE"/>
    <w:rsid w:val="009238C5"/>
    <w:rsid w:val="00923986"/>
    <w:rsid w:val="00923D85"/>
    <w:rsid w:val="00923E59"/>
    <w:rsid w:val="0092443C"/>
    <w:rsid w:val="00924CE9"/>
    <w:rsid w:val="00924D64"/>
    <w:rsid w:val="00925060"/>
    <w:rsid w:val="00925447"/>
    <w:rsid w:val="009258F8"/>
    <w:rsid w:val="00925ACD"/>
    <w:rsid w:val="00926019"/>
    <w:rsid w:val="0092611A"/>
    <w:rsid w:val="00926176"/>
    <w:rsid w:val="009262A5"/>
    <w:rsid w:val="0092685D"/>
    <w:rsid w:val="00926905"/>
    <w:rsid w:val="00926AB1"/>
    <w:rsid w:val="00926FBB"/>
    <w:rsid w:val="009272DC"/>
    <w:rsid w:val="009276B0"/>
    <w:rsid w:val="00927EED"/>
    <w:rsid w:val="009303AB"/>
    <w:rsid w:val="00930760"/>
    <w:rsid w:val="00930764"/>
    <w:rsid w:val="00930771"/>
    <w:rsid w:val="00930943"/>
    <w:rsid w:val="00930E82"/>
    <w:rsid w:val="009318D0"/>
    <w:rsid w:val="00931F20"/>
    <w:rsid w:val="00932D1A"/>
    <w:rsid w:val="00932DD1"/>
    <w:rsid w:val="0093303E"/>
    <w:rsid w:val="009336DF"/>
    <w:rsid w:val="00933B9E"/>
    <w:rsid w:val="00933D4E"/>
    <w:rsid w:val="009344C3"/>
    <w:rsid w:val="00934554"/>
    <w:rsid w:val="00934807"/>
    <w:rsid w:val="0093492D"/>
    <w:rsid w:val="00935178"/>
    <w:rsid w:val="00935B8F"/>
    <w:rsid w:val="00935D57"/>
    <w:rsid w:val="00935F1B"/>
    <w:rsid w:val="00935F92"/>
    <w:rsid w:val="00936147"/>
    <w:rsid w:val="0093654D"/>
    <w:rsid w:val="009365D3"/>
    <w:rsid w:val="00937131"/>
    <w:rsid w:val="0093746F"/>
    <w:rsid w:val="009374F2"/>
    <w:rsid w:val="009375A6"/>
    <w:rsid w:val="009376BB"/>
    <w:rsid w:val="00937A7B"/>
    <w:rsid w:val="00937ADE"/>
    <w:rsid w:val="00937DF3"/>
    <w:rsid w:val="00937F0F"/>
    <w:rsid w:val="009402BD"/>
    <w:rsid w:val="009406D0"/>
    <w:rsid w:val="00940754"/>
    <w:rsid w:val="00940F12"/>
    <w:rsid w:val="00941279"/>
    <w:rsid w:val="0094165C"/>
    <w:rsid w:val="00941A7D"/>
    <w:rsid w:val="009423C0"/>
    <w:rsid w:val="00942A35"/>
    <w:rsid w:val="00942A82"/>
    <w:rsid w:val="00942B8A"/>
    <w:rsid w:val="009432BB"/>
    <w:rsid w:val="00943506"/>
    <w:rsid w:val="009438D4"/>
    <w:rsid w:val="00943AB3"/>
    <w:rsid w:val="00943B14"/>
    <w:rsid w:val="00943FEF"/>
    <w:rsid w:val="0094414A"/>
    <w:rsid w:val="00944194"/>
    <w:rsid w:val="0094431E"/>
    <w:rsid w:val="009445B9"/>
    <w:rsid w:val="009449F3"/>
    <w:rsid w:val="00944C26"/>
    <w:rsid w:val="009450CE"/>
    <w:rsid w:val="009451D0"/>
    <w:rsid w:val="009455F8"/>
    <w:rsid w:val="00945676"/>
    <w:rsid w:val="00945793"/>
    <w:rsid w:val="00945F4F"/>
    <w:rsid w:val="00945FBE"/>
    <w:rsid w:val="00945FD1"/>
    <w:rsid w:val="00946063"/>
    <w:rsid w:val="00946C08"/>
    <w:rsid w:val="00946C13"/>
    <w:rsid w:val="00946F0A"/>
    <w:rsid w:val="00946F92"/>
    <w:rsid w:val="00947410"/>
    <w:rsid w:val="00947647"/>
    <w:rsid w:val="00947D30"/>
    <w:rsid w:val="009500D2"/>
    <w:rsid w:val="0095091E"/>
    <w:rsid w:val="00950AAC"/>
    <w:rsid w:val="00950ACD"/>
    <w:rsid w:val="00950ACF"/>
    <w:rsid w:val="00951A05"/>
    <w:rsid w:val="00952072"/>
    <w:rsid w:val="00952120"/>
    <w:rsid w:val="00952146"/>
    <w:rsid w:val="00952AF9"/>
    <w:rsid w:val="009530B2"/>
    <w:rsid w:val="0095335D"/>
    <w:rsid w:val="00953769"/>
    <w:rsid w:val="009539AD"/>
    <w:rsid w:val="00953CF4"/>
    <w:rsid w:val="0095418C"/>
    <w:rsid w:val="00954B0F"/>
    <w:rsid w:val="00954CB5"/>
    <w:rsid w:val="0095538D"/>
    <w:rsid w:val="00955DBA"/>
    <w:rsid w:val="00955F38"/>
    <w:rsid w:val="00956BE1"/>
    <w:rsid w:val="00956C9C"/>
    <w:rsid w:val="00956DE8"/>
    <w:rsid w:val="00956E9C"/>
    <w:rsid w:val="00956ED1"/>
    <w:rsid w:val="00957094"/>
    <w:rsid w:val="00957186"/>
    <w:rsid w:val="00957903"/>
    <w:rsid w:val="00957972"/>
    <w:rsid w:val="00957BD6"/>
    <w:rsid w:val="00957D67"/>
    <w:rsid w:val="0096004E"/>
    <w:rsid w:val="0096006A"/>
    <w:rsid w:val="00960071"/>
    <w:rsid w:val="00960414"/>
    <w:rsid w:val="00960586"/>
    <w:rsid w:val="00960645"/>
    <w:rsid w:val="00960729"/>
    <w:rsid w:val="00960D4F"/>
    <w:rsid w:val="00960E57"/>
    <w:rsid w:val="00960E72"/>
    <w:rsid w:val="00960E7C"/>
    <w:rsid w:val="00961570"/>
    <w:rsid w:val="0096159E"/>
    <w:rsid w:val="009618C0"/>
    <w:rsid w:val="00961F88"/>
    <w:rsid w:val="00961FD6"/>
    <w:rsid w:val="0096279A"/>
    <w:rsid w:val="009627B8"/>
    <w:rsid w:val="00963BB8"/>
    <w:rsid w:val="00963DE3"/>
    <w:rsid w:val="00963F9C"/>
    <w:rsid w:val="009640DF"/>
    <w:rsid w:val="009642B4"/>
    <w:rsid w:val="0096456F"/>
    <w:rsid w:val="009646B4"/>
    <w:rsid w:val="00964845"/>
    <w:rsid w:val="00964BAE"/>
    <w:rsid w:val="00964E3E"/>
    <w:rsid w:val="00964FE6"/>
    <w:rsid w:val="00965045"/>
    <w:rsid w:val="00965082"/>
    <w:rsid w:val="0096508D"/>
    <w:rsid w:val="009657F3"/>
    <w:rsid w:val="00965809"/>
    <w:rsid w:val="00965C5A"/>
    <w:rsid w:val="00965D12"/>
    <w:rsid w:val="00965E4F"/>
    <w:rsid w:val="00966002"/>
    <w:rsid w:val="0096603B"/>
    <w:rsid w:val="0096654F"/>
    <w:rsid w:val="0096699C"/>
    <w:rsid w:val="00966C81"/>
    <w:rsid w:val="00966E67"/>
    <w:rsid w:val="0096704A"/>
    <w:rsid w:val="00967B34"/>
    <w:rsid w:val="00967B44"/>
    <w:rsid w:val="009700EC"/>
    <w:rsid w:val="0097025A"/>
    <w:rsid w:val="00970592"/>
    <w:rsid w:val="00970854"/>
    <w:rsid w:val="00970959"/>
    <w:rsid w:val="00970ACC"/>
    <w:rsid w:val="00970C00"/>
    <w:rsid w:val="00971098"/>
    <w:rsid w:val="009711D2"/>
    <w:rsid w:val="00971768"/>
    <w:rsid w:val="00971E78"/>
    <w:rsid w:val="00972454"/>
    <w:rsid w:val="00972615"/>
    <w:rsid w:val="0097273C"/>
    <w:rsid w:val="009730F9"/>
    <w:rsid w:val="0097325D"/>
    <w:rsid w:val="00973273"/>
    <w:rsid w:val="009734A5"/>
    <w:rsid w:val="00973528"/>
    <w:rsid w:val="009735F7"/>
    <w:rsid w:val="0097371E"/>
    <w:rsid w:val="0097390E"/>
    <w:rsid w:val="00973989"/>
    <w:rsid w:val="00973EAC"/>
    <w:rsid w:val="009740BC"/>
    <w:rsid w:val="009742EE"/>
    <w:rsid w:val="00974361"/>
    <w:rsid w:val="00974372"/>
    <w:rsid w:val="0097446F"/>
    <w:rsid w:val="0097481C"/>
    <w:rsid w:val="009749E1"/>
    <w:rsid w:val="00974D81"/>
    <w:rsid w:val="0097561A"/>
    <w:rsid w:val="009758E7"/>
    <w:rsid w:val="00975B4D"/>
    <w:rsid w:val="00975D97"/>
    <w:rsid w:val="0097612A"/>
    <w:rsid w:val="009763B1"/>
    <w:rsid w:val="009767FB"/>
    <w:rsid w:val="009768B8"/>
    <w:rsid w:val="0097692D"/>
    <w:rsid w:val="00976E78"/>
    <w:rsid w:val="00976EE1"/>
    <w:rsid w:val="00977C31"/>
    <w:rsid w:val="00980A8C"/>
    <w:rsid w:val="0098120B"/>
    <w:rsid w:val="00981370"/>
    <w:rsid w:val="00981C85"/>
    <w:rsid w:val="00981D15"/>
    <w:rsid w:val="00981F7D"/>
    <w:rsid w:val="00982164"/>
    <w:rsid w:val="00982561"/>
    <w:rsid w:val="0098260E"/>
    <w:rsid w:val="00982A18"/>
    <w:rsid w:val="00982BF5"/>
    <w:rsid w:val="00982FF3"/>
    <w:rsid w:val="00983990"/>
    <w:rsid w:val="00983BAA"/>
    <w:rsid w:val="0098457C"/>
    <w:rsid w:val="00984661"/>
    <w:rsid w:val="00984869"/>
    <w:rsid w:val="00984C00"/>
    <w:rsid w:val="00984F95"/>
    <w:rsid w:val="009855AA"/>
    <w:rsid w:val="0098662C"/>
    <w:rsid w:val="00986C36"/>
    <w:rsid w:val="00986D87"/>
    <w:rsid w:val="00986DAC"/>
    <w:rsid w:val="00987185"/>
    <w:rsid w:val="00987BC0"/>
    <w:rsid w:val="00987BD8"/>
    <w:rsid w:val="00990121"/>
    <w:rsid w:val="009905EB"/>
    <w:rsid w:val="0099098C"/>
    <w:rsid w:val="0099100D"/>
    <w:rsid w:val="00991406"/>
    <w:rsid w:val="0099146C"/>
    <w:rsid w:val="009916B5"/>
    <w:rsid w:val="00991AFB"/>
    <w:rsid w:val="009920D2"/>
    <w:rsid w:val="00992575"/>
    <w:rsid w:val="009929C3"/>
    <w:rsid w:val="00992EEF"/>
    <w:rsid w:val="00993007"/>
    <w:rsid w:val="0099342D"/>
    <w:rsid w:val="009935DB"/>
    <w:rsid w:val="00993760"/>
    <w:rsid w:val="00993CB5"/>
    <w:rsid w:val="00994242"/>
    <w:rsid w:val="00994390"/>
    <w:rsid w:val="00994756"/>
    <w:rsid w:val="00994DA3"/>
    <w:rsid w:val="00995643"/>
    <w:rsid w:val="009957F8"/>
    <w:rsid w:val="00995E94"/>
    <w:rsid w:val="00995FFB"/>
    <w:rsid w:val="00996BD2"/>
    <w:rsid w:val="00996E27"/>
    <w:rsid w:val="009970B2"/>
    <w:rsid w:val="009974EC"/>
    <w:rsid w:val="00997537"/>
    <w:rsid w:val="009975C1"/>
    <w:rsid w:val="00997756"/>
    <w:rsid w:val="00997E5F"/>
    <w:rsid w:val="009A011D"/>
    <w:rsid w:val="009A0154"/>
    <w:rsid w:val="009A033F"/>
    <w:rsid w:val="009A05F0"/>
    <w:rsid w:val="009A089B"/>
    <w:rsid w:val="009A09EF"/>
    <w:rsid w:val="009A0A19"/>
    <w:rsid w:val="009A0AE7"/>
    <w:rsid w:val="009A1353"/>
    <w:rsid w:val="009A13C9"/>
    <w:rsid w:val="009A146C"/>
    <w:rsid w:val="009A1876"/>
    <w:rsid w:val="009A1BC6"/>
    <w:rsid w:val="009A1D63"/>
    <w:rsid w:val="009A248A"/>
    <w:rsid w:val="009A2733"/>
    <w:rsid w:val="009A27C6"/>
    <w:rsid w:val="009A2832"/>
    <w:rsid w:val="009A2D25"/>
    <w:rsid w:val="009A31F5"/>
    <w:rsid w:val="009A378F"/>
    <w:rsid w:val="009A3795"/>
    <w:rsid w:val="009A3C03"/>
    <w:rsid w:val="009A3C64"/>
    <w:rsid w:val="009A3D74"/>
    <w:rsid w:val="009A44EC"/>
    <w:rsid w:val="009A457B"/>
    <w:rsid w:val="009A4B6C"/>
    <w:rsid w:val="009A54C6"/>
    <w:rsid w:val="009A5759"/>
    <w:rsid w:val="009A5B2C"/>
    <w:rsid w:val="009A5DA7"/>
    <w:rsid w:val="009A6253"/>
    <w:rsid w:val="009A63BC"/>
    <w:rsid w:val="009A641A"/>
    <w:rsid w:val="009A6B19"/>
    <w:rsid w:val="009A6DA8"/>
    <w:rsid w:val="009A74BF"/>
    <w:rsid w:val="009A774F"/>
    <w:rsid w:val="009A783C"/>
    <w:rsid w:val="009A79C4"/>
    <w:rsid w:val="009A7BF3"/>
    <w:rsid w:val="009A7CFC"/>
    <w:rsid w:val="009A7EB2"/>
    <w:rsid w:val="009B0123"/>
    <w:rsid w:val="009B13D0"/>
    <w:rsid w:val="009B15CE"/>
    <w:rsid w:val="009B1708"/>
    <w:rsid w:val="009B17CE"/>
    <w:rsid w:val="009B19C5"/>
    <w:rsid w:val="009B1E3D"/>
    <w:rsid w:val="009B2702"/>
    <w:rsid w:val="009B2A6A"/>
    <w:rsid w:val="009B2D4A"/>
    <w:rsid w:val="009B32E2"/>
    <w:rsid w:val="009B332F"/>
    <w:rsid w:val="009B383F"/>
    <w:rsid w:val="009B43C4"/>
    <w:rsid w:val="009B4641"/>
    <w:rsid w:val="009B467A"/>
    <w:rsid w:val="009B4686"/>
    <w:rsid w:val="009B58AA"/>
    <w:rsid w:val="009B5EBD"/>
    <w:rsid w:val="009B6A55"/>
    <w:rsid w:val="009B6ED0"/>
    <w:rsid w:val="009B7275"/>
    <w:rsid w:val="009B7AE2"/>
    <w:rsid w:val="009B7D0C"/>
    <w:rsid w:val="009B7E75"/>
    <w:rsid w:val="009C0540"/>
    <w:rsid w:val="009C0BAC"/>
    <w:rsid w:val="009C1053"/>
    <w:rsid w:val="009C1B83"/>
    <w:rsid w:val="009C1D7A"/>
    <w:rsid w:val="009C1DC0"/>
    <w:rsid w:val="009C1E64"/>
    <w:rsid w:val="009C295F"/>
    <w:rsid w:val="009C2A2F"/>
    <w:rsid w:val="009C2B72"/>
    <w:rsid w:val="009C317C"/>
    <w:rsid w:val="009C32AC"/>
    <w:rsid w:val="009C3953"/>
    <w:rsid w:val="009C3FE9"/>
    <w:rsid w:val="009C42A3"/>
    <w:rsid w:val="009C4532"/>
    <w:rsid w:val="009C49A8"/>
    <w:rsid w:val="009C4DFB"/>
    <w:rsid w:val="009C5290"/>
    <w:rsid w:val="009C52AF"/>
    <w:rsid w:val="009C5685"/>
    <w:rsid w:val="009C5844"/>
    <w:rsid w:val="009C5EBF"/>
    <w:rsid w:val="009C65C1"/>
    <w:rsid w:val="009C66A5"/>
    <w:rsid w:val="009C6D3F"/>
    <w:rsid w:val="009C6D8A"/>
    <w:rsid w:val="009C7295"/>
    <w:rsid w:val="009C7978"/>
    <w:rsid w:val="009C7992"/>
    <w:rsid w:val="009C7C17"/>
    <w:rsid w:val="009D0374"/>
    <w:rsid w:val="009D0BFF"/>
    <w:rsid w:val="009D0C2D"/>
    <w:rsid w:val="009D1760"/>
    <w:rsid w:val="009D1E3F"/>
    <w:rsid w:val="009D207B"/>
    <w:rsid w:val="009D2257"/>
    <w:rsid w:val="009D229E"/>
    <w:rsid w:val="009D23C3"/>
    <w:rsid w:val="009D270D"/>
    <w:rsid w:val="009D2CE1"/>
    <w:rsid w:val="009D2FA5"/>
    <w:rsid w:val="009D3301"/>
    <w:rsid w:val="009D3622"/>
    <w:rsid w:val="009D3CDF"/>
    <w:rsid w:val="009D3FC0"/>
    <w:rsid w:val="009D4B3C"/>
    <w:rsid w:val="009D52C0"/>
    <w:rsid w:val="009D542E"/>
    <w:rsid w:val="009D573F"/>
    <w:rsid w:val="009D5B01"/>
    <w:rsid w:val="009D5B72"/>
    <w:rsid w:val="009D5EB7"/>
    <w:rsid w:val="009D5EEC"/>
    <w:rsid w:val="009D6194"/>
    <w:rsid w:val="009D61DD"/>
    <w:rsid w:val="009D6354"/>
    <w:rsid w:val="009D63AB"/>
    <w:rsid w:val="009D64B9"/>
    <w:rsid w:val="009D6738"/>
    <w:rsid w:val="009D716F"/>
    <w:rsid w:val="009D73BB"/>
    <w:rsid w:val="009D7629"/>
    <w:rsid w:val="009D762F"/>
    <w:rsid w:val="009D7D39"/>
    <w:rsid w:val="009E0034"/>
    <w:rsid w:val="009E00DE"/>
    <w:rsid w:val="009E0110"/>
    <w:rsid w:val="009E0761"/>
    <w:rsid w:val="009E07DD"/>
    <w:rsid w:val="009E0B31"/>
    <w:rsid w:val="009E0E12"/>
    <w:rsid w:val="009E100C"/>
    <w:rsid w:val="009E1162"/>
    <w:rsid w:val="009E118A"/>
    <w:rsid w:val="009E13DE"/>
    <w:rsid w:val="009E1E1E"/>
    <w:rsid w:val="009E1EE1"/>
    <w:rsid w:val="009E1F65"/>
    <w:rsid w:val="009E28C5"/>
    <w:rsid w:val="009E3085"/>
    <w:rsid w:val="009E33A6"/>
    <w:rsid w:val="009E34A4"/>
    <w:rsid w:val="009E3648"/>
    <w:rsid w:val="009E3741"/>
    <w:rsid w:val="009E396F"/>
    <w:rsid w:val="009E3A63"/>
    <w:rsid w:val="009E3EC9"/>
    <w:rsid w:val="009E43E1"/>
    <w:rsid w:val="009E472E"/>
    <w:rsid w:val="009E4AC5"/>
    <w:rsid w:val="009E4CD3"/>
    <w:rsid w:val="009E5620"/>
    <w:rsid w:val="009E5A6E"/>
    <w:rsid w:val="009E5BAF"/>
    <w:rsid w:val="009E6130"/>
    <w:rsid w:val="009E61D3"/>
    <w:rsid w:val="009E6745"/>
    <w:rsid w:val="009E75FA"/>
    <w:rsid w:val="009E782E"/>
    <w:rsid w:val="009F0053"/>
    <w:rsid w:val="009F0737"/>
    <w:rsid w:val="009F0804"/>
    <w:rsid w:val="009F091E"/>
    <w:rsid w:val="009F15F1"/>
    <w:rsid w:val="009F1740"/>
    <w:rsid w:val="009F1A21"/>
    <w:rsid w:val="009F1BFD"/>
    <w:rsid w:val="009F1CEB"/>
    <w:rsid w:val="009F1D27"/>
    <w:rsid w:val="009F1E91"/>
    <w:rsid w:val="009F1FD0"/>
    <w:rsid w:val="009F2295"/>
    <w:rsid w:val="009F23A0"/>
    <w:rsid w:val="009F23C2"/>
    <w:rsid w:val="009F28B5"/>
    <w:rsid w:val="009F2927"/>
    <w:rsid w:val="009F2C83"/>
    <w:rsid w:val="009F32AD"/>
    <w:rsid w:val="009F3662"/>
    <w:rsid w:val="009F3705"/>
    <w:rsid w:val="009F4157"/>
    <w:rsid w:val="009F465A"/>
    <w:rsid w:val="009F514D"/>
    <w:rsid w:val="009F556F"/>
    <w:rsid w:val="009F58DA"/>
    <w:rsid w:val="009F61BC"/>
    <w:rsid w:val="009F6C83"/>
    <w:rsid w:val="009F6DD8"/>
    <w:rsid w:val="009F6DF6"/>
    <w:rsid w:val="009F756E"/>
    <w:rsid w:val="009F76C4"/>
    <w:rsid w:val="009F79D2"/>
    <w:rsid w:val="009F7B96"/>
    <w:rsid w:val="009F7DDC"/>
    <w:rsid w:val="00A00878"/>
    <w:rsid w:val="00A00E5D"/>
    <w:rsid w:val="00A01506"/>
    <w:rsid w:val="00A01B82"/>
    <w:rsid w:val="00A01BE5"/>
    <w:rsid w:val="00A01FFA"/>
    <w:rsid w:val="00A0216E"/>
    <w:rsid w:val="00A028B9"/>
    <w:rsid w:val="00A0308D"/>
    <w:rsid w:val="00A03293"/>
    <w:rsid w:val="00A0389C"/>
    <w:rsid w:val="00A03956"/>
    <w:rsid w:val="00A03A63"/>
    <w:rsid w:val="00A03FFA"/>
    <w:rsid w:val="00A04590"/>
    <w:rsid w:val="00A04B59"/>
    <w:rsid w:val="00A04C9B"/>
    <w:rsid w:val="00A04D43"/>
    <w:rsid w:val="00A05547"/>
    <w:rsid w:val="00A05BE2"/>
    <w:rsid w:val="00A05D03"/>
    <w:rsid w:val="00A05D90"/>
    <w:rsid w:val="00A05DF7"/>
    <w:rsid w:val="00A05E53"/>
    <w:rsid w:val="00A05EA2"/>
    <w:rsid w:val="00A05F4A"/>
    <w:rsid w:val="00A0647F"/>
    <w:rsid w:val="00A068D0"/>
    <w:rsid w:val="00A06D15"/>
    <w:rsid w:val="00A07070"/>
    <w:rsid w:val="00A07282"/>
    <w:rsid w:val="00A075C3"/>
    <w:rsid w:val="00A07618"/>
    <w:rsid w:val="00A077A0"/>
    <w:rsid w:val="00A07865"/>
    <w:rsid w:val="00A07D2B"/>
    <w:rsid w:val="00A07EC6"/>
    <w:rsid w:val="00A1034D"/>
    <w:rsid w:val="00A1055D"/>
    <w:rsid w:val="00A10D23"/>
    <w:rsid w:val="00A10E66"/>
    <w:rsid w:val="00A11248"/>
    <w:rsid w:val="00A12145"/>
    <w:rsid w:val="00A1271A"/>
    <w:rsid w:val="00A12EC5"/>
    <w:rsid w:val="00A13438"/>
    <w:rsid w:val="00A13621"/>
    <w:rsid w:val="00A13762"/>
    <w:rsid w:val="00A13C58"/>
    <w:rsid w:val="00A13D2D"/>
    <w:rsid w:val="00A14973"/>
    <w:rsid w:val="00A1498D"/>
    <w:rsid w:val="00A14E9B"/>
    <w:rsid w:val="00A15299"/>
    <w:rsid w:val="00A154A8"/>
    <w:rsid w:val="00A155AA"/>
    <w:rsid w:val="00A15884"/>
    <w:rsid w:val="00A16E74"/>
    <w:rsid w:val="00A16ECD"/>
    <w:rsid w:val="00A170D9"/>
    <w:rsid w:val="00A17632"/>
    <w:rsid w:val="00A1773A"/>
    <w:rsid w:val="00A17892"/>
    <w:rsid w:val="00A17B0B"/>
    <w:rsid w:val="00A17EBE"/>
    <w:rsid w:val="00A201C8"/>
    <w:rsid w:val="00A2038F"/>
    <w:rsid w:val="00A20E08"/>
    <w:rsid w:val="00A20FAB"/>
    <w:rsid w:val="00A21333"/>
    <w:rsid w:val="00A2155C"/>
    <w:rsid w:val="00A21591"/>
    <w:rsid w:val="00A21646"/>
    <w:rsid w:val="00A216C7"/>
    <w:rsid w:val="00A21D36"/>
    <w:rsid w:val="00A21D5D"/>
    <w:rsid w:val="00A21E06"/>
    <w:rsid w:val="00A224F6"/>
    <w:rsid w:val="00A225B3"/>
    <w:rsid w:val="00A228DA"/>
    <w:rsid w:val="00A22D69"/>
    <w:rsid w:val="00A22F95"/>
    <w:rsid w:val="00A23028"/>
    <w:rsid w:val="00A2329A"/>
    <w:rsid w:val="00A23498"/>
    <w:rsid w:val="00A23B4F"/>
    <w:rsid w:val="00A23C66"/>
    <w:rsid w:val="00A2438C"/>
    <w:rsid w:val="00A24545"/>
    <w:rsid w:val="00A2488C"/>
    <w:rsid w:val="00A24B15"/>
    <w:rsid w:val="00A24BF1"/>
    <w:rsid w:val="00A24C1B"/>
    <w:rsid w:val="00A24F7C"/>
    <w:rsid w:val="00A254E7"/>
    <w:rsid w:val="00A25590"/>
    <w:rsid w:val="00A25B73"/>
    <w:rsid w:val="00A25BF3"/>
    <w:rsid w:val="00A26402"/>
    <w:rsid w:val="00A2676D"/>
    <w:rsid w:val="00A26B29"/>
    <w:rsid w:val="00A272D4"/>
    <w:rsid w:val="00A2777A"/>
    <w:rsid w:val="00A2792B"/>
    <w:rsid w:val="00A27CFC"/>
    <w:rsid w:val="00A27DC6"/>
    <w:rsid w:val="00A3025C"/>
    <w:rsid w:val="00A3041F"/>
    <w:rsid w:val="00A30661"/>
    <w:rsid w:val="00A30C9D"/>
    <w:rsid w:val="00A30DBF"/>
    <w:rsid w:val="00A30DD7"/>
    <w:rsid w:val="00A31804"/>
    <w:rsid w:val="00A31904"/>
    <w:rsid w:val="00A31DBA"/>
    <w:rsid w:val="00A32284"/>
    <w:rsid w:val="00A326AA"/>
    <w:rsid w:val="00A326D4"/>
    <w:rsid w:val="00A32722"/>
    <w:rsid w:val="00A3295D"/>
    <w:rsid w:val="00A32AAA"/>
    <w:rsid w:val="00A330D5"/>
    <w:rsid w:val="00A3340A"/>
    <w:rsid w:val="00A33675"/>
    <w:rsid w:val="00A338A5"/>
    <w:rsid w:val="00A33B75"/>
    <w:rsid w:val="00A34319"/>
    <w:rsid w:val="00A345D9"/>
    <w:rsid w:val="00A34863"/>
    <w:rsid w:val="00A34C65"/>
    <w:rsid w:val="00A34DCA"/>
    <w:rsid w:val="00A34FCE"/>
    <w:rsid w:val="00A3504A"/>
    <w:rsid w:val="00A3506B"/>
    <w:rsid w:val="00A35184"/>
    <w:rsid w:val="00A35267"/>
    <w:rsid w:val="00A359B5"/>
    <w:rsid w:val="00A359D6"/>
    <w:rsid w:val="00A359E1"/>
    <w:rsid w:val="00A35B8E"/>
    <w:rsid w:val="00A35C15"/>
    <w:rsid w:val="00A35E2D"/>
    <w:rsid w:val="00A35EED"/>
    <w:rsid w:val="00A36650"/>
    <w:rsid w:val="00A367B3"/>
    <w:rsid w:val="00A37655"/>
    <w:rsid w:val="00A3790D"/>
    <w:rsid w:val="00A379D8"/>
    <w:rsid w:val="00A37BBB"/>
    <w:rsid w:val="00A37C01"/>
    <w:rsid w:val="00A400BA"/>
    <w:rsid w:val="00A4020F"/>
    <w:rsid w:val="00A402A8"/>
    <w:rsid w:val="00A40405"/>
    <w:rsid w:val="00A408FC"/>
    <w:rsid w:val="00A4094E"/>
    <w:rsid w:val="00A40A14"/>
    <w:rsid w:val="00A40A34"/>
    <w:rsid w:val="00A40A65"/>
    <w:rsid w:val="00A40ACA"/>
    <w:rsid w:val="00A40B38"/>
    <w:rsid w:val="00A4114F"/>
    <w:rsid w:val="00A4129D"/>
    <w:rsid w:val="00A41457"/>
    <w:rsid w:val="00A414BE"/>
    <w:rsid w:val="00A41899"/>
    <w:rsid w:val="00A41A40"/>
    <w:rsid w:val="00A41CB2"/>
    <w:rsid w:val="00A41FE4"/>
    <w:rsid w:val="00A42084"/>
    <w:rsid w:val="00A42086"/>
    <w:rsid w:val="00A422FD"/>
    <w:rsid w:val="00A4254E"/>
    <w:rsid w:val="00A42E05"/>
    <w:rsid w:val="00A42FC9"/>
    <w:rsid w:val="00A4373C"/>
    <w:rsid w:val="00A437A5"/>
    <w:rsid w:val="00A43986"/>
    <w:rsid w:val="00A44178"/>
    <w:rsid w:val="00A44382"/>
    <w:rsid w:val="00A44690"/>
    <w:rsid w:val="00A449CD"/>
    <w:rsid w:val="00A45342"/>
    <w:rsid w:val="00A4547A"/>
    <w:rsid w:val="00A462B7"/>
    <w:rsid w:val="00A46480"/>
    <w:rsid w:val="00A4663F"/>
    <w:rsid w:val="00A46B20"/>
    <w:rsid w:val="00A47545"/>
    <w:rsid w:val="00A47550"/>
    <w:rsid w:val="00A47667"/>
    <w:rsid w:val="00A47792"/>
    <w:rsid w:val="00A47971"/>
    <w:rsid w:val="00A47E2D"/>
    <w:rsid w:val="00A47FC8"/>
    <w:rsid w:val="00A47FF1"/>
    <w:rsid w:val="00A5024D"/>
    <w:rsid w:val="00A50A13"/>
    <w:rsid w:val="00A51351"/>
    <w:rsid w:val="00A516EE"/>
    <w:rsid w:val="00A516FC"/>
    <w:rsid w:val="00A5173C"/>
    <w:rsid w:val="00A517C2"/>
    <w:rsid w:val="00A5185A"/>
    <w:rsid w:val="00A51A9A"/>
    <w:rsid w:val="00A51D99"/>
    <w:rsid w:val="00A52267"/>
    <w:rsid w:val="00A526DD"/>
    <w:rsid w:val="00A52784"/>
    <w:rsid w:val="00A52AF9"/>
    <w:rsid w:val="00A52BF6"/>
    <w:rsid w:val="00A52E2E"/>
    <w:rsid w:val="00A52FD8"/>
    <w:rsid w:val="00A53176"/>
    <w:rsid w:val="00A533DF"/>
    <w:rsid w:val="00A53D04"/>
    <w:rsid w:val="00A5405D"/>
    <w:rsid w:val="00A546C3"/>
    <w:rsid w:val="00A54EB8"/>
    <w:rsid w:val="00A56950"/>
    <w:rsid w:val="00A56A01"/>
    <w:rsid w:val="00A56CC8"/>
    <w:rsid w:val="00A56F87"/>
    <w:rsid w:val="00A5718C"/>
    <w:rsid w:val="00A574CC"/>
    <w:rsid w:val="00A57C14"/>
    <w:rsid w:val="00A57D39"/>
    <w:rsid w:val="00A6014D"/>
    <w:rsid w:val="00A602B7"/>
    <w:rsid w:val="00A60373"/>
    <w:rsid w:val="00A614FA"/>
    <w:rsid w:val="00A6162B"/>
    <w:rsid w:val="00A61809"/>
    <w:rsid w:val="00A618FB"/>
    <w:rsid w:val="00A61CE5"/>
    <w:rsid w:val="00A61EC5"/>
    <w:rsid w:val="00A62489"/>
    <w:rsid w:val="00A62491"/>
    <w:rsid w:val="00A6259D"/>
    <w:rsid w:val="00A626BC"/>
    <w:rsid w:val="00A62827"/>
    <w:rsid w:val="00A62ED5"/>
    <w:rsid w:val="00A63031"/>
    <w:rsid w:val="00A63447"/>
    <w:rsid w:val="00A636FE"/>
    <w:rsid w:val="00A63888"/>
    <w:rsid w:val="00A63A59"/>
    <w:rsid w:val="00A63B63"/>
    <w:rsid w:val="00A64603"/>
    <w:rsid w:val="00A64693"/>
    <w:rsid w:val="00A6485A"/>
    <w:rsid w:val="00A648ED"/>
    <w:rsid w:val="00A64C37"/>
    <w:rsid w:val="00A650B7"/>
    <w:rsid w:val="00A65741"/>
    <w:rsid w:val="00A65F1A"/>
    <w:rsid w:val="00A660CF"/>
    <w:rsid w:val="00A6642B"/>
    <w:rsid w:val="00A665C2"/>
    <w:rsid w:val="00A66B06"/>
    <w:rsid w:val="00A66BD3"/>
    <w:rsid w:val="00A66BE5"/>
    <w:rsid w:val="00A6701C"/>
    <w:rsid w:val="00A67E62"/>
    <w:rsid w:val="00A7043E"/>
    <w:rsid w:val="00A7046B"/>
    <w:rsid w:val="00A705FD"/>
    <w:rsid w:val="00A70AF2"/>
    <w:rsid w:val="00A70B0C"/>
    <w:rsid w:val="00A70FA5"/>
    <w:rsid w:val="00A711AE"/>
    <w:rsid w:val="00A71410"/>
    <w:rsid w:val="00A71AF8"/>
    <w:rsid w:val="00A71F7E"/>
    <w:rsid w:val="00A72129"/>
    <w:rsid w:val="00A72344"/>
    <w:rsid w:val="00A72662"/>
    <w:rsid w:val="00A72739"/>
    <w:rsid w:val="00A729AC"/>
    <w:rsid w:val="00A72C7C"/>
    <w:rsid w:val="00A733E0"/>
    <w:rsid w:val="00A7363C"/>
    <w:rsid w:val="00A73795"/>
    <w:rsid w:val="00A73BC3"/>
    <w:rsid w:val="00A73C5C"/>
    <w:rsid w:val="00A73F25"/>
    <w:rsid w:val="00A7402B"/>
    <w:rsid w:val="00A74230"/>
    <w:rsid w:val="00A746D1"/>
    <w:rsid w:val="00A748DC"/>
    <w:rsid w:val="00A74A28"/>
    <w:rsid w:val="00A74E5E"/>
    <w:rsid w:val="00A74F18"/>
    <w:rsid w:val="00A750C9"/>
    <w:rsid w:val="00A75ACA"/>
    <w:rsid w:val="00A75B87"/>
    <w:rsid w:val="00A7667D"/>
    <w:rsid w:val="00A76D40"/>
    <w:rsid w:val="00A777CB"/>
    <w:rsid w:val="00A7792E"/>
    <w:rsid w:val="00A77AAE"/>
    <w:rsid w:val="00A77B0E"/>
    <w:rsid w:val="00A77CEB"/>
    <w:rsid w:val="00A77EFB"/>
    <w:rsid w:val="00A802D8"/>
    <w:rsid w:val="00A8081F"/>
    <w:rsid w:val="00A809DC"/>
    <w:rsid w:val="00A81609"/>
    <w:rsid w:val="00A81EE8"/>
    <w:rsid w:val="00A8247E"/>
    <w:rsid w:val="00A827C9"/>
    <w:rsid w:val="00A8283A"/>
    <w:rsid w:val="00A82C42"/>
    <w:rsid w:val="00A82E59"/>
    <w:rsid w:val="00A82E5F"/>
    <w:rsid w:val="00A83157"/>
    <w:rsid w:val="00A8326D"/>
    <w:rsid w:val="00A84375"/>
    <w:rsid w:val="00A847C9"/>
    <w:rsid w:val="00A84818"/>
    <w:rsid w:val="00A84F6B"/>
    <w:rsid w:val="00A85161"/>
    <w:rsid w:val="00A857F6"/>
    <w:rsid w:val="00A862AA"/>
    <w:rsid w:val="00A86B96"/>
    <w:rsid w:val="00A86C82"/>
    <w:rsid w:val="00A86E08"/>
    <w:rsid w:val="00A86E2A"/>
    <w:rsid w:val="00A8748E"/>
    <w:rsid w:val="00A90ABC"/>
    <w:rsid w:val="00A90D5C"/>
    <w:rsid w:val="00A91157"/>
    <w:rsid w:val="00A911BC"/>
    <w:rsid w:val="00A9129C"/>
    <w:rsid w:val="00A913CA"/>
    <w:rsid w:val="00A9151F"/>
    <w:rsid w:val="00A917CD"/>
    <w:rsid w:val="00A92144"/>
    <w:rsid w:val="00A92291"/>
    <w:rsid w:val="00A9245E"/>
    <w:rsid w:val="00A924E0"/>
    <w:rsid w:val="00A92678"/>
    <w:rsid w:val="00A9293F"/>
    <w:rsid w:val="00A92C98"/>
    <w:rsid w:val="00A92EF1"/>
    <w:rsid w:val="00A930E5"/>
    <w:rsid w:val="00A9313A"/>
    <w:rsid w:val="00A9329D"/>
    <w:rsid w:val="00A934E2"/>
    <w:rsid w:val="00A935DB"/>
    <w:rsid w:val="00A93BE3"/>
    <w:rsid w:val="00A9417A"/>
    <w:rsid w:val="00A94739"/>
    <w:rsid w:val="00A94ACF"/>
    <w:rsid w:val="00A94D3A"/>
    <w:rsid w:val="00A94E2B"/>
    <w:rsid w:val="00A952A5"/>
    <w:rsid w:val="00A957C1"/>
    <w:rsid w:val="00A95DBB"/>
    <w:rsid w:val="00A9626F"/>
    <w:rsid w:val="00A9630F"/>
    <w:rsid w:val="00A96B41"/>
    <w:rsid w:val="00A96CD0"/>
    <w:rsid w:val="00A96EF8"/>
    <w:rsid w:val="00A97710"/>
    <w:rsid w:val="00A97A5F"/>
    <w:rsid w:val="00A97D3F"/>
    <w:rsid w:val="00AA0016"/>
    <w:rsid w:val="00AA09FC"/>
    <w:rsid w:val="00AA0D24"/>
    <w:rsid w:val="00AA15DF"/>
    <w:rsid w:val="00AA1ADE"/>
    <w:rsid w:val="00AA1B54"/>
    <w:rsid w:val="00AA23D8"/>
    <w:rsid w:val="00AA247F"/>
    <w:rsid w:val="00AA2746"/>
    <w:rsid w:val="00AA3071"/>
    <w:rsid w:val="00AA30F7"/>
    <w:rsid w:val="00AA31DC"/>
    <w:rsid w:val="00AA34C9"/>
    <w:rsid w:val="00AA3CC4"/>
    <w:rsid w:val="00AA4544"/>
    <w:rsid w:val="00AA469E"/>
    <w:rsid w:val="00AA4CB6"/>
    <w:rsid w:val="00AA4FF5"/>
    <w:rsid w:val="00AA50DA"/>
    <w:rsid w:val="00AA551E"/>
    <w:rsid w:val="00AA5A88"/>
    <w:rsid w:val="00AA5BDA"/>
    <w:rsid w:val="00AA5D89"/>
    <w:rsid w:val="00AA5DDD"/>
    <w:rsid w:val="00AA5F76"/>
    <w:rsid w:val="00AA61BD"/>
    <w:rsid w:val="00AA61EB"/>
    <w:rsid w:val="00AA68F3"/>
    <w:rsid w:val="00AA6A19"/>
    <w:rsid w:val="00AA6E3A"/>
    <w:rsid w:val="00AA6EB5"/>
    <w:rsid w:val="00AA700C"/>
    <w:rsid w:val="00AA71F8"/>
    <w:rsid w:val="00AA7329"/>
    <w:rsid w:val="00AA7368"/>
    <w:rsid w:val="00AA76FE"/>
    <w:rsid w:val="00AA771A"/>
    <w:rsid w:val="00AA7DC5"/>
    <w:rsid w:val="00AA7E43"/>
    <w:rsid w:val="00AA7ED2"/>
    <w:rsid w:val="00AA7ED5"/>
    <w:rsid w:val="00AB0165"/>
    <w:rsid w:val="00AB01D7"/>
    <w:rsid w:val="00AB04A1"/>
    <w:rsid w:val="00AB08CC"/>
    <w:rsid w:val="00AB0900"/>
    <w:rsid w:val="00AB0B40"/>
    <w:rsid w:val="00AB10A8"/>
    <w:rsid w:val="00AB11EE"/>
    <w:rsid w:val="00AB1575"/>
    <w:rsid w:val="00AB15B3"/>
    <w:rsid w:val="00AB15F4"/>
    <w:rsid w:val="00AB1F60"/>
    <w:rsid w:val="00AB23CF"/>
    <w:rsid w:val="00AB2556"/>
    <w:rsid w:val="00AB2795"/>
    <w:rsid w:val="00AB27B4"/>
    <w:rsid w:val="00AB28AB"/>
    <w:rsid w:val="00AB2984"/>
    <w:rsid w:val="00AB2C38"/>
    <w:rsid w:val="00AB315D"/>
    <w:rsid w:val="00AB334C"/>
    <w:rsid w:val="00AB3A1C"/>
    <w:rsid w:val="00AB3D0A"/>
    <w:rsid w:val="00AB4141"/>
    <w:rsid w:val="00AB4B95"/>
    <w:rsid w:val="00AB4D5A"/>
    <w:rsid w:val="00AB54B9"/>
    <w:rsid w:val="00AB5F1F"/>
    <w:rsid w:val="00AB61D6"/>
    <w:rsid w:val="00AB68E4"/>
    <w:rsid w:val="00AB6B57"/>
    <w:rsid w:val="00AB7150"/>
    <w:rsid w:val="00AB7524"/>
    <w:rsid w:val="00AB7A04"/>
    <w:rsid w:val="00AB7E98"/>
    <w:rsid w:val="00AB7FA1"/>
    <w:rsid w:val="00AC024C"/>
    <w:rsid w:val="00AC04A2"/>
    <w:rsid w:val="00AC0C4F"/>
    <w:rsid w:val="00AC0C62"/>
    <w:rsid w:val="00AC1447"/>
    <w:rsid w:val="00AC18F9"/>
    <w:rsid w:val="00AC2A93"/>
    <w:rsid w:val="00AC2C28"/>
    <w:rsid w:val="00AC356B"/>
    <w:rsid w:val="00AC3B4E"/>
    <w:rsid w:val="00AC3EE6"/>
    <w:rsid w:val="00AC40F4"/>
    <w:rsid w:val="00AC41CD"/>
    <w:rsid w:val="00AC42FA"/>
    <w:rsid w:val="00AC4A8B"/>
    <w:rsid w:val="00AC4AF7"/>
    <w:rsid w:val="00AC4B77"/>
    <w:rsid w:val="00AC505B"/>
    <w:rsid w:val="00AC53E0"/>
    <w:rsid w:val="00AC5D9E"/>
    <w:rsid w:val="00AC6431"/>
    <w:rsid w:val="00AC6467"/>
    <w:rsid w:val="00AC6963"/>
    <w:rsid w:val="00AC6ECE"/>
    <w:rsid w:val="00AC6EFA"/>
    <w:rsid w:val="00AC706C"/>
    <w:rsid w:val="00AC70FF"/>
    <w:rsid w:val="00AC742C"/>
    <w:rsid w:val="00AC7563"/>
    <w:rsid w:val="00AC766B"/>
    <w:rsid w:val="00AC7F83"/>
    <w:rsid w:val="00AD00F2"/>
    <w:rsid w:val="00AD0193"/>
    <w:rsid w:val="00AD04A1"/>
    <w:rsid w:val="00AD0FFA"/>
    <w:rsid w:val="00AD196E"/>
    <w:rsid w:val="00AD1997"/>
    <w:rsid w:val="00AD205F"/>
    <w:rsid w:val="00AD22CE"/>
    <w:rsid w:val="00AD2424"/>
    <w:rsid w:val="00AD2569"/>
    <w:rsid w:val="00AD28C9"/>
    <w:rsid w:val="00AD2D27"/>
    <w:rsid w:val="00AD307D"/>
    <w:rsid w:val="00AD32AC"/>
    <w:rsid w:val="00AD32E0"/>
    <w:rsid w:val="00AD364D"/>
    <w:rsid w:val="00AD3650"/>
    <w:rsid w:val="00AD3B76"/>
    <w:rsid w:val="00AD3C3C"/>
    <w:rsid w:val="00AD3CAD"/>
    <w:rsid w:val="00AD4F28"/>
    <w:rsid w:val="00AD50A4"/>
    <w:rsid w:val="00AD52BB"/>
    <w:rsid w:val="00AD5332"/>
    <w:rsid w:val="00AD541C"/>
    <w:rsid w:val="00AD551F"/>
    <w:rsid w:val="00AD5A67"/>
    <w:rsid w:val="00AD5BB5"/>
    <w:rsid w:val="00AD5C1A"/>
    <w:rsid w:val="00AD6308"/>
    <w:rsid w:val="00AD6368"/>
    <w:rsid w:val="00AD6902"/>
    <w:rsid w:val="00AD6941"/>
    <w:rsid w:val="00AD6D40"/>
    <w:rsid w:val="00AD6F9D"/>
    <w:rsid w:val="00AD717F"/>
    <w:rsid w:val="00AD742C"/>
    <w:rsid w:val="00AD75B0"/>
    <w:rsid w:val="00AD796F"/>
    <w:rsid w:val="00AD7B00"/>
    <w:rsid w:val="00AD7B4F"/>
    <w:rsid w:val="00AD7E43"/>
    <w:rsid w:val="00AE067A"/>
    <w:rsid w:val="00AE0788"/>
    <w:rsid w:val="00AE07F6"/>
    <w:rsid w:val="00AE08D6"/>
    <w:rsid w:val="00AE0DAB"/>
    <w:rsid w:val="00AE0ED7"/>
    <w:rsid w:val="00AE14DC"/>
    <w:rsid w:val="00AE170C"/>
    <w:rsid w:val="00AE1746"/>
    <w:rsid w:val="00AE174C"/>
    <w:rsid w:val="00AE179E"/>
    <w:rsid w:val="00AE1884"/>
    <w:rsid w:val="00AE1954"/>
    <w:rsid w:val="00AE1B6F"/>
    <w:rsid w:val="00AE1CA4"/>
    <w:rsid w:val="00AE20DC"/>
    <w:rsid w:val="00AE260F"/>
    <w:rsid w:val="00AE2762"/>
    <w:rsid w:val="00AE2D8F"/>
    <w:rsid w:val="00AE3321"/>
    <w:rsid w:val="00AE34FB"/>
    <w:rsid w:val="00AE3681"/>
    <w:rsid w:val="00AE3A12"/>
    <w:rsid w:val="00AE3B8B"/>
    <w:rsid w:val="00AE3DC9"/>
    <w:rsid w:val="00AE3E1B"/>
    <w:rsid w:val="00AE3EE2"/>
    <w:rsid w:val="00AE4222"/>
    <w:rsid w:val="00AE467C"/>
    <w:rsid w:val="00AE4C59"/>
    <w:rsid w:val="00AE507A"/>
    <w:rsid w:val="00AE57A3"/>
    <w:rsid w:val="00AE5BF3"/>
    <w:rsid w:val="00AE5E44"/>
    <w:rsid w:val="00AE63A9"/>
    <w:rsid w:val="00AE63EA"/>
    <w:rsid w:val="00AE66F1"/>
    <w:rsid w:val="00AE6876"/>
    <w:rsid w:val="00AE6AEA"/>
    <w:rsid w:val="00AE6D34"/>
    <w:rsid w:val="00AE7155"/>
    <w:rsid w:val="00AE730A"/>
    <w:rsid w:val="00AE75BD"/>
    <w:rsid w:val="00AE7726"/>
    <w:rsid w:val="00AE7AEB"/>
    <w:rsid w:val="00AF04AF"/>
    <w:rsid w:val="00AF04FE"/>
    <w:rsid w:val="00AF085C"/>
    <w:rsid w:val="00AF0943"/>
    <w:rsid w:val="00AF09FB"/>
    <w:rsid w:val="00AF12F2"/>
    <w:rsid w:val="00AF13CA"/>
    <w:rsid w:val="00AF18F9"/>
    <w:rsid w:val="00AF2080"/>
    <w:rsid w:val="00AF21AD"/>
    <w:rsid w:val="00AF21D2"/>
    <w:rsid w:val="00AF24DA"/>
    <w:rsid w:val="00AF2731"/>
    <w:rsid w:val="00AF27E7"/>
    <w:rsid w:val="00AF290A"/>
    <w:rsid w:val="00AF2B1C"/>
    <w:rsid w:val="00AF2E49"/>
    <w:rsid w:val="00AF2E84"/>
    <w:rsid w:val="00AF2F6D"/>
    <w:rsid w:val="00AF303C"/>
    <w:rsid w:val="00AF3412"/>
    <w:rsid w:val="00AF3C85"/>
    <w:rsid w:val="00AF3EAF"/>
    <w:rsid w:val="00AF44F7"/>
    <w:rsid w:val="00AF4C22"/>
    <w:rsid w:val="00AF4C80"/>
    <w:rsid w:val="00AF52C1"/>
    <w:rsid w:val="00AF545A"/>
    <w:rsid w:val="00AF5B14"/>
    <w:rsid w:val="00AF5B37"/>
    <w:rsid w:val="00AF62D8"/>
    <w:rsid w:val="00AF64B1"/>
    <w:rsid w:val="00AF6835"/>
    <w:rsid w:val="00AF685B"/>
    <w:rsid w:val="00AF6A13"/>
    <w:rsid w:val="00AF6F61"/>
    <w:rsid w:val="00AF7154"/>
    <w:rsid w:val="00B00068"/>
    <w:rsid w:val="00B002DF"/>
    <w:rsid w:val="00B00733"/>
    <w:rsid w:val="00B00E18"/>
    <w:rsid w:val="00B011B2"/>
    <w:rsid w:val="00B018E5"/>
    <w:rsid w:val="00B01CB4"/>
    <w:rsid w:val="00B01CD6"/>
    <w:rsid w:val="00B01DCC"/>
    <w:rsid w:val="00B01DE2"/>
    <w:rsid w:val="00B01F6A"/>
    <w:rsid w:val="00B021B5"/>
    <w:rsid w:val="00B02535"/>
    <w:rsid w:val="00B025B5"/>
    <w:rsid w:val="00B02AD9"/>
    <w:rsid w:val="00B037B5"/>
    <w:rsid w:val="00B037F6"/>
    <w:rsid w:val="00B0383A"/>
    <w:rsid w:val="00B03E1C"/>
    <w:rsid w:val="00B03EE1"/>
    <w:rsid w:val="00B04960"/>
    <w:rsid w:val="00B04BA4"/>
    <w:rsid w:val="00B04E60"/>
    <w:rsid w:val="00B05577"/>
    <w:rsid w:val="00B05893"/>
    <w:rsid w:val="00B0596C"/>
    <w:rsid w:val="00B05A6E"/>
    <w:rsid w:val="00B05F5E"/>
    <w:rsid w:val="00B05F60"/>
    <w:rsid w:val="00B06350"/>
    <w:rsid w:val="00B06A80"/>
    <w:rsid w:val="00B06A9B"/>
    <w:rsid w:val="00B06AD3"/>
    <w:rsid w:val="00B06FC6"/>
    <w:rsid w:val="00B0723A"/>
    <w:rsid w:val="00B0725B"/>
    <w:rsid w:val="00B078DC"/>
    <w:rsid w:val="00B079BE"/>
    <w:rsid w:val="00B07E70"/>
    <w:rsid w:val="00B07F4E"/>
    <w:rsid w:val="00B10152"/>
    <w:rsid w:val="00B1047B"/>
    <w:rsid w:val="00B10980"/>
    <w:rsid w:val="00B10C2F"/>
    <w:rsid w:val="00B10C53"/>
    <w:rsid w:val="00B10FDA"/>
    <w:rsid w:val="00B1186F"/>
    <w:rsid w:val="00B11897"/>
    <w:rsid w:val="00B118FD"/>
    <w:rsid w:val="00B119F4"/>
    <w:rsid w:val="00B11D60"/>
    <w:rsid w:val="00B11DC8"/>
    <w:rsid w:val="00B12209"/>
    <w:rsid w:val="00B1272A"/>
    <w:rsid w:val="00B128B4"/>
    <w:rsid w:val="00B12C21"/>
    <w:rsid w:val="00B12CAF"/>
    <w:rsid w:val="00B12D69"/>
    <w:rsid w:val="00B13399"/>
    <w:rsid w:val="00B13463"/>
    <w:rsid w:val="00B1351D"/>
    <w:rsid w:val="00B135B8"/>
    <w:rsid w:val="00B139C2"/>
    <w:rsid w:val="00B13E4F"/>
    <w:rsid w:val="00B13EC5"/>
    <w:rsid w:val="00B14446"/>
    <w:rsid w:val="00B14615"/>
    <w:rsid w:val="00B146E8"/>
    <w:rsid w:val="00B147F2"/>
    <w:rsid w:val="00B14D17"/>
    <w:rsid w:val="00B14EEF"/>
    <w:rsid w:val="00B15110"/>
    <w:rsid w:val="00B155C5"/>
    <w:rsid w:val="00B156D3"/>
    <w:rsid w:val="00B15BBD"/>
    <w:rsid w:val="00B1651A"/>
    <w:rsid w:val="00B16ADA"/>
    <w:rsid w:val="00B16B22"/>
    <w:rsid w:val="00B16B6B"/>
    <w:rsid w:val="00B16FDC"/>
    <w:rsid w:val="00B1713B"/>
    <w:rsid w:val="00B171D4"/>
    <w:rsid w:val="00B173DB"/>
    <w:rsid w:val="00B174A9"/>
    <w:rsid w:val="00B1760A"/>
    <w:rsid w:val="00B178D0"/>
    <w:rsid w:val="00B17DBD"/>
    <w:rsid w:val="00B17DC9"/>
    <w:rsid w:val="00B2011B"/>
    <w:rsid w:val="00B2029B"/>
    <w:rsid w:val="00B20573"/>
    <w:rsid w:val="00B205AA"/>
    <w:rsid w:val="00B206FA"/>
    <w:rsid w:val="00B20FB0"/>
    <w:rsid w:val="00B2149E"/>
    <w:rsid w:val="00B21C60"/>
    <w:rsid w:val="00B21D0F"/>
    <w:rsid w:val="00B21F31"/>
    <w:rsid w:val="00B22458"/>
    <w:rsid w:val="00B224A0"/>
    <w:rsid w:val="00B225D7"/>
    <w:rsid w:val="00B2265B"/>
    <w:rsid w:val="00B22801"/>
    <w:rsid w:val="00B2313A"/>
    <w:rsid w:val="00B23151"/>
    <w:rsid w:val="00B2348E"/>
    <w:rsid w:val="00B23A52"/>
    <w:rsid w:val="00B23C34"/>
    <w:rsid w:val="00B23F59"/>
    <w:rsid w:val="00B24157"/>
    <w:rsid w:val="00B2446D"/>
    <w:rsid w:val="00B248A1"/>
    <w:rsid w:val="00B24921"/>
    <w:rsid w:val="00B24BB3"/>
    <w:rsid w:val="00B24CA3"/>
    <w:rsid w:val="00B24DCE"/>
    <w:rsid w:val="00B250F3"/>
    <w:rsid w:val="00B25146"/>
    <w:rsid w:val="00B2518B"/>
    <w:rsid w:val="00B254CF"/>
    <w:rsid w:val="00B264EE"/>
    <w:rsid w:val="00B267D4"/>
    <w:rsid w:val="00B268ED"/>
    <w:rsid w:val="00B2763E"/>
    <w:rsid w:val="00B27951"/>
    <w:rsid w:val="00B27A05"/>
    <w:rsid w:val="00B27CD9"/>
    <w:rsid w:val="00B27FF2"/>
    <w:rsid w:val="00B3064D"/>
    <w:rsid w:val="00B3065C"/>
    <w:rsid w:val="00B30A11"/>
    <w:rsid w:val="00B30B3E"/>
    <w:rsid w:val="00B30CD0"/>
    <w:rsid w:val="00B30EE9"/>
    <w:rsid w:val="00B313D4"/>
    <w:rsid w:val="00B31452"/>
    <w:rsid w:val="00B317A0"/>
    <w:rsid w:val="00B31B0C"/>
    <w:rsid w:val="00B31B98"/>
    <w:rsid w:val="00B31C7E"/>
    <w:rsid w:val="00B31CB8"/>
    <w:rsid w:val="00B31F38"/>
    <w:rsid w:val="00B31F91"/>
    <w:rsid w:val="00B32486"/>
    <w:rsid w:val="00B32A66"/>
    <w:rsid w:val="00B339B0"/>
    <w:rsid w:val="00B33C5E"/>
    <w:rsid w:val="00B33F2F"/>
    <w:rsid w:val="00B34154"/>
    <w:rsid w:val="00B34233"/>
    <w:rsid w:val="00B343E6"/>
    <w:rsid w:val="00B344F4"/>
    <w:rsid w:val="00B347F9"/>
    <w:rsid w:val="00B34900"/>
    <w:rsid w:val="00B3507E"/>
    <w:rsid w:val="00B353B8"/>
    <w:rsid w:val="00B3587C"/>
    <w:rsid w:val="00B35E93"/>
    <w:rsid w:val="00B36749"/>
    <w:rsid w:val="00B3688A"/>
    <w:rsid w:val="00B368D8"/>
    <w:rsid w:val="00B37AC3"/>
    <w:rsid w:val="00B37B6F"/>
    <w:rsid w:val="00B37D8E"/>
    <w:rsid w:val="00B404BA"/>
    <w:rsid w:val="00B405D0"/>
    <w:rsid w:val="00B40838"/>
    <w:rsid w:val="00B409BB"/>
    <w:rsid w:val="00B40CEF"/>
    <w:rsid w:val="00B416FD"/>
    <w:rsid w:val="00B41D9C"/>
    <w:rsid w:val="00B42039"/>
    <w:rsid w:val="00B420EF"/>
    <w:rsid w:val="00B42551"/>
    <w:rsid w:val="00B42693"/>
    <w:rsid w:val="00B42738"/>
    <w:rsid w:val="00B42AA0"/>
    <w:rsid w:val="00B42DBE"/>
    <w:rsid w:val="00B42F64"/>
    <w:rsid w:val="00B436DB"/>
    <w:rsid w:val="00B43B1E"/>
    <w:rsid w:val="00B43DA7"/>
    <w:rsid w:val="00B44828"/>
    <w:rsid w:val="00B4485C"/>
    <w:rsid w:val="00B44A87"/>
    <w:rsid w:val="00B44A8E"/>
    <w:rsid w:val="00B44BD5"/>
    <w:rsid w:val="00B451C3"/>
    <w:rsid w:val="00B455B3"/>
    <w:rsid w:val="00B459FF"/>
    <w:rsid w:val="00B45EA1"/>
    <w:rsid w:val="00B45FCC"/>
    <w:rsid w:val="00B46120"/>
    <w:rsid w:val="00B46143"/>
    <w:rsid w:val="00B466F0"/>
    <w:rsid w:val="00B467C2"/>
    <w:rsid w:val="00B46B41"/>
    <w:rsid w:val="00B46BCD"/>
    <w:rsid w:val="00B46E19"/>
    <w:rsid w:val="00B46FD3"/>
    <w:rsid w:val="00B4700A"/>
    <w:rsid w:val="00B47062"/>
    <w:rsid w:val="00B47264"/>
    <w:rsid w:val="00B474DD"/>
    <w:rsid w:val="00B509D5"/>
    <w:rsid w:val="00B50A57"/>
    <w:rsid w:val="00B50B14"/>
    <w:rsid w:val="00B5103C"/>
    <w:rsid w:val="00B52003"/>
    <w:rsid w:val="00B524A4"/>
    <w:rsid w:val="00B530CB"/>
    <w:rsid w:val="00B53C3C"/>
    <w:rsid w:val="00B53C8C"/>
    <w:rsid w:val="00B53E76"/>
    <w:rsid w:val="00B541B1"/>
    <w:rsid w:val="00B5459B"/>
    <w:rsid w:val="00B54A65"/>
    <w:rsid w:val="00B54AFD"/>
    <w:rsid w:val="00B54C07"/>
    <w:rsid w:val="00B55201"/>
    <w:rsid w:val="00B5541B"/>
    <w:rsid w:val="00B55711"/>
    <w:rsid w:val="00B559F9"/>
    <w:rsid w:val="00B55E94"/>
    <w:rsid w:val="00B55E9B"/>
    <w:rsid w:val="00B55F61"/>
    <w:rsid w:val="00B56113"/>
    <w:rsid w:val="00B564A1"/>
    <w:rsid w:val="00B56529"/>
    <w:rsid w:val="00B56679"/>
    <w:rsid w:val="00B5677A"/>
    <w:rsid w:val="00B56948"/>
    <w:rsid w:val="00B56AF1"/>
    <w:rsid w:val="00B56F4D"/>
    <w:rsid w:val="00B57C6B"/>
    <w:rsid w:val="00B57C6E"/>
    <w:rsid w:val="00B57E32"/>
    <w:rsid w:val="00B57F8D"/>
    <w:rsid w:val="00B57FE8"/>
    <w:rsid w:val="00B60AB3"/>
    <w:rsid w:val="00B60D16"/>
    <w:rsid w:val="00B613CA"/>
    <w:rsid w:val="00B61528"/>
    <w:rsid w:val="00B61649"/>
    <w:rsid w:val="00B6172D"/>
    <w:rsid w:val="00B61A4E"/>
    <w:rsid w:val="00B61DB5"/>
    <w:rsid w:val="00B622B7"/>
    <w:rsid w:val="00B624EE"/>
    <w:rsid w:val="00B62717"/>
    <w:rsid w:val="00B62A98"/>
    <w:rsid w:val="00B62CF5"/>
    <w:rsid w:val="00B62E39"/>
    <w:rsid w:val="00B62F22"/>
    <w:rsid w:val="00B6319A"/>
    <w:rsid w:val="00B631B0"/>
    <w:rsid w:val="00B6333B"/>
    <w:rsid w:val="00B63844"/>
    <w:rsid w:val="00B63D45"/>
    <w:rsid w:val="00B64450"/>
    <w:rsid w:val="00B651F1"/>
    <w:rsid w:val="00B656EB"/>
    <w:rsid w:val="00B65712"/>
    <w:rsid w:val="00B65F54"/>
    <w:rsid w:val="00B662F1"/>
    <w:rsid w:val="00B6675F"/>
    <w:rsid w:val="00B66873"/>
    <w:rsid w:val="00B66900"/>
    <w:rsid w:val="00B675FE"/>
    <w:rsid w:val="00B67682"/>
    <w:rsid w:val="00B70173"/>
    <w:rsid w:val="00B702DD"/>
    <w:rsid w:val="00B703DB"/>
    <w:rsid w:val="00B70C16"/>
    <w:rsid w:val="00B71096"/>
    <w:rsid w:val="00B7146B"/>
    <w:rsid w:val="00B7154F"/>
    <w:rsid w:val="00B71675"/>
    <w:rsid w:val="00B71730"/>
    <w:rsid w:val="00B718A5"/>
    <w:rsid w:val="00B71C38"/>
    <w:rsid w:val="00B71C41"/>
    <w:rsid w:val="00B71DFE"/>
    <w:rsid w:val="00B71ED0"/>
    <w:rsid w:val="00B71EFF"/>
    <w:rsid w:val="00B71FB0"/>
    <w:rsid w:val="00B722D2"/>
    <w:rsid w:val="00B7293F"/>
    <w:rsid w:val="00B730B3"/>
    <w:rsid w:val="00B73867"/>
    <w:rsid w:val="00B73A04"/>
    <w:rsid w:val="00B73A6D"/>
    <w:rsid w:val="00B73B56"/>
    <w:rsid w:val="00B73BFD"/>
    <w:rsid w:val="00B73EE6"/>
    <w:rsid w:val="00B742B7"/>
    <w:rsid w:val="00B74552"/>
    <w:rsid w:val="00B74575"/>
    <w:rsid w:val="00B74A45"/>
    <w:rsid w:val="00B74BCB"/>
    <w:rsid w:val="00B74FD7"/>
    <w:rsid w:val="00B75108"/>
    <w:rsid w:val="00B754B1"/>
    <w:rsid w:val="00B755D5"/>
    <w:rsid w:val="00B7582B"/>
    <w:rsid w:val="00B75E6D"/>
    <w:rsid w:val="00B76205"/>
    <w:rsid w:val="00B762EC"/>
    <w:rsid w:val="00B76711"/>
    <w:rsid w:val="00B768A3"/>
    <w:rsid w:val="00B76C92"/>
    <w:rsid w:val="00B7703D"/>
    <w:rsid w:val="00B772F2"/>
    <w:rsid w:val="00B77624"/>
    <w:rsid w:val="00B7778A"/>
    <w:rsid w:val="00B77BEC"/>
    <w:rsid w:val="00B800F3"/>
    <w:rsid w:val="00B80112"/>
    <w:rsid w:val="00B80227"/>
    <w:rsid w:val="00B8056F"/>
    <w:rsid w:val="00B80D80"/>
    <w:rsid w:val="00B818AA"/>
    <w:rsid w:val="00B81AF7"/>
    <w:rsid w:val="00B8204C"/>
    <w:rsid w:val="00B82AD4"/>
    <w:rsid w:val="00B8319F"/>
    <w:rsid w:val="00B8388E"/>
    <w:rsid w:val="00B83F9A"/>
    <w:rsid w:val="00B84034"/>
    <w:rsid w:val="00B85365"/>
    <w:rsid w:val="00B853AE"/>
    <w:rsid w:val="00B861B9"/>
    <w:rsid w:val="00B863F6"/>
    <w:rsid w:val="00B864B6"/>
    <w:rsid w:val="00B86997"/>
    <w:rsid w:val="00B86B85"/>
    <w:rsid w:val="00B86C8C"/>
    <w:rsid w:val="00B872E3"/>
    <w:rsid w:val="00B873E4"/>
    <w:rsid w:val="00B87527"/>
    <w:rsid w:val="00B87634"/>
    <w:rsid w:val="00B877E6"/>
    <w:rsid w:val="00B87C29"/>
    <w:rsid w:val="00B905AA"/>
    <w:rsid w:val="00B906C6"/>
    <w:rsid w:val="00B90AC3"/>
    <w:rsid w:val="00B90DEA"/>
    <w:rsid w:val="00B90F47"/>
    <w:rsid w:val="00B910C1"/>
    <w:rsid w:val="00B9162B"/>
    <w:rsid w:val="00B91630"/>
    <w:rsid w:val="00B917FD"/>
    <w:rsid w:val="00B91802"/>
    <w:rsid w:val="00B91DBB"/>
    <w:rsid w:val="00B93129"/>
    <w:rsid w:val="00B93260"/>
    <w:rsid w:val="00B93322"/>
    <w:rsid w:val="00B9343F"/>
    <w:rsid w:val="00B93B25"/>
    <w:rsid w:val="00B93CEF"/>
    <w:rsid w:val="00B93F55"/>
    <w:rsid w:val="00B94513"/>
    <w:rsid w:val="00B94981"/>
    <w:rsid w:val="00B94DF4"/>
    <w:rsid w:val="00B952D5"/>
    <w:rsid w:val="00B9567F"/>
    <w:rsid w:val="00B9571B"/>
    <w:rsid w:val="00B95D99"/>
    <w:rsid w:val="00B962EF"/>
    <w:rsid w:val="00B963E5"/>
    <w:rsid w:val="00B966F7"/>
    <w:rsid w:val="00B9675D"/>
    <w:rsid w:val="00B971D5"/>
    <w:rsid w:val="00B97464"/>
    <w:rsid w:val="00B976BA"/>
    <w:rsid w:val="00B976E6"/>
    <w:rsid w:val="00B97739"/>
    <w:rsid w:val="00B977B1"/>
    <w:rsid w:val="00B97B1D"/>
    <w:rsid w:val="00B97CFF"/>
    <w:rsid w:val="00BA00F2"/>
    <w:rsid w:val="00BA0472"/>
    <w:rsid w:val="00BA0651"/>
    <w:rsid w:val="00BA09F0"/>
    <w:rsid w:val="00BA0A8F"/>
    <w:rsid w:val="00BA0CC4"/>
    <w:rsid w:val="00BA141A"/>
    <w:rsid w:val="00BA1F02"/>
    <w:rsid w:val="00BA222C"/>
    <w:rsid w:val="00BA228A"/>
    <w:rsid w:val="00BA2299"/>
    <w:rsid w:val="00BA30C4"/>
    <w:rsid w:val="00BA3AE4"/>
    <w:rsid w:val="00BA3B54"/>
    <w:rsid w:val="00BA3BB1"/>
    <w:rsid w:val="00BA3C5B"/>
    <w:rsid w:val="00BA4100"/>
    <w:rsid w:val="00BA47F9"/>
    <w:rsid w:val="00BA4871"/>
    <w:rsid w:val="00BA53F0"/>
    <w:rsid w:val="00BA5474"/>
    <w:rsid w:val="00BA5965"/>
    <w:rsid w:val="00BA6009"/>
    <w:rsid w:val="00BA609E"/>
    <w:rsid w:val="00BA612D"/>
    <w:rsid w:val="00BA65AD"/>
    <w:rsid w:val="00BA676D"/>
    <w:rsid w:val="00BA73E0"/>
    <w:rsid w:val="00BA775B"/>
    <w:rsid w:val="00BA7BE2"/>
    <w:rsid w:val="00BA7D41"/>
    <w:rsid w:val="00BB0224"/>
    <w:rsid w:val="00BB0427"/>
    <w:rsid w:val="00BB0435"/>
    <w:rsid w:val="00BB0A79"/>
    <w:rsid w:val="00BB1342"/>
    <w:rsid w:val="00BB13DE"/>
    <w:rsid w:val="00BB1B07"/>
    <w:rsid w:val="00BB1C71"/>
    <w:rsid w:val="00BB2287"/>
    <w:rsid w:val="00BB24DA"/>
    <w:rsid w:val="00BB2922"/>
    <w:rsid w:val="00BB2BC0"/>
    <w:rsid w:val="00BB2FB2"/>
    <w:rsid w:val="00BB311F"/>
    <w:rsid w:val="00BB33E1"/>
    <w:rsid w:val="00BB387E"/>
    <w:rsid w:val="00BB406C"/>
    <w:rsid w:val="00BB40BB"/>
    <w:rsid w:val="00BB4303"/>
    <w:rsid w:val="00BB44DB"/>
    <w:rsid w:val="00BB4B4B"/>
    <w:rsid w:val="00BB4F1B"/>
    <w:rsid w:val="00BB5857"/>
    <w:rsid w:val="00BB5D89"/>
    <w:rsid w:val="00BB5F40"/>
    <w:rsid w:val="00BB6021"/>
    <w:rsid w:val="00BB60D6"/>
    <w:rsid w:val="00BB627F"/>
    <w:rsid w:val="00BB684C"/>
    <w:rsid w:val="00BB6DDE"/>
    <w:rsid w:val="00BB6FC4"/>
    <w:rsid w:val="00BB76E2"/>
    <w:rsid w:val="00BB7A3D"/>
    <w:rsid w:val="00BC0090"/>
    <w:rsid w:val="00BC0159"/>
    <w:rsid w:val="00BC01E4"/>
    <w:rsid w:val="00BC07F1"/>
    <w:rsid w:val="00BC1037"/>
    <w:rsid w:val="00BC1079"/>
    <w:rsid w:val="00BC1A1C"/>
    <w:rsid w:val="00BC1C32"/>
    <w:rsid w:val="00BC1F73"/>
    <w:rsid w:val="00BC20AE"/>
    <w:rsid w:val="00BC21C6"/>
    <w:rsid w:val="00BC2444"/>
    <w:rsid w:val="00BC255A"/>
    <w:rsid w:val="00BC2678"/>
    <w:rsid w:val="00BC26B1"/>
    <w:rsid w:val="00BC2716"/>
    <w:rsid w:val="00BC2858"/>
    <w:rsid w:val="00BC2AA4"/>
    <w:rsid w:val="00BC36AC"/>
    <w:rsid w:val="00BC3BF3"/>
    <w:rsid w:val="00BC3F0D"/>
    <w:rsid w:val="00BC4556"/>
    <w:rsid w:val="00BC477D"/>
    <w:rsid w:val="00BC4D09"/>
    <w:rsid w:val="00BC5224"/>
    <w:rsid w:val="00BC536B"/>
    <w:rsid w:val="00BC5F2D"/>
    <w:rsid w:val="00BC5F54"/>
    <w:rsid w:val="00BC6097"/>
    <w:rsid w:val="00BC6563"/>
    <w:rsid w:val="00BC65EF"/>
    <w:rsid w:val="00BC6A00"/>
    <w:rsid w:val="00BC6BFB"/>
    <w:rsid w:val="00BC6D4F"/>
    <w:rsid w:val="00BC6F49"/>
    <w:rsid w:val="00BC7955"/>
    <w:rsid w:val="00BC7AD6"/>
    <w:rsid w:val="00BC7C3E"/>
    <w:rsid w:val="00BD0291"/>
    <w:rsid w:val="00BD04C3"/>
    <w:rsid w:val="00BD05EC"/>
    <w:rsid w:val="00BD07D5"/>
    <w:rsid w:val="00BD0C6D"/>
    <w:rsid w:val="00BD1307"/>
    <w:rsid w:val="00BD1496"/>
    <w:rsid w:val="00BD170F"/>
    <w:rsid w:val="00BD17BF"/>
    <w:rsid w:val="00BD18AD"/>
    <w:rsid w:val="00BD1BEB"/>
    <w:rsid w:val="00BD1C11"/>
    <w:rsid w:val="00BD203C"/>
    <w:rsid w:val="00BD20F8"/>
    <w:rsid w:val="00BD219C"/>
    <w:rsid w:val="00BD21EF"/>
    <w:rsid w:val="00BD282C"/>
    <w:rsid w:val="00BD2A22"/>
    <w:rsid w:val="00BD2BF1"/>
    <w:rsid w:val="00BD2F2E"/>
    <w:rsid w:val="00BD336F"/>
    <w:rsid w:val="00BD3962"/>
    <w:rsid w:val="00BD3D5F"/>
    <w:rsid w:val="00BD50FC"/>
    <w:rsid w:val="00BD52CF"/>
    <w:rsid w:val="00BD5328"/>
    <w:rsid w:val="00BD5C4C"/>
    <w:rsid w:val="00BD5D57"/>
    <w:rsid w:val="00BD5FA9"/>
    <w:rsid w:val="00BD5FF2"/>
    <w:rsid w:val="00BD60CB"/>
    <w:rsid w:val="00BD6405"/>
    <w:rsid w:val="00BD64AA"/>
    <w:rsid w:val="00BD64EE"/>
    <w:rsid w:val="00BD6702"/>
    <w:rsid w:val="00BD6C63"/>
    <w:rsid w:val="00BD6C6A"/>
    <w:rsid w:val="00BD6C96"/>
    <w:rsid w:val="00BD70D0"/>
    <w:rsid w:val="00BD7370"/>
    <w:rsid w:val="00BE03AB"/>
    <w:rsid w:val="00BE0414"/>
    <w:rsid w:val="00BE05CD"/>
    <w:rsid w:val="00BE0993"/>
    <w:rsid w:val="00BE122F"/>
    <w:rsid w:val="00BE177B"/>
    <w:rsid w:val="00BE17DB"/>
    <w:rsid w:val="00BE19BD"/>
    <w:rsid w:val="00BE1F7B"/>
    <w:rsid w:val="00BE214F"/>
    <w:rsid w:val="00BE2312"/>
    <w:rsid w:val="00BE2573"/>
    <w:rsid w:val="00BE298B"/>
    <w:rsid w:val="00BE3015"/>
    <w:rsid w:val="00BE3487"/>
    <w:rsid w:val="00BE3607"/>
    <w:rsid w:val="00BE3AF5"/>
    <w:rsid w:val="00BE3E21"/>
    <w:rsid w:val="00BE3EA9"/>
    <w:rsid w:val="00BE41DD"/>
    <w:rsid w:val="00BE46C1"/>
    <w:rsid w:val="00BE4B92"/>
    <w:rsid w:val="00BE4D98"/>
    <w:rsid w:val="00BE4E4D"/>
    <w:rsid w:val="00BE4E70"/>
    <w:rsid w:val="00BE54E9"/>
    <w:rsid w:val="00BE5602"/>
    <w:rsid w:val="00BE5A5D"/>
    <w:rsid w:val="00BE5B88"/>
    <w:rsid w:val="00BE5E16"/>
    <w:rsid w:val="00BE6854"/>
    <w:rsid w:val="00BE6D94"/>
    <w:rsid w:val="00BE6F39"/>
    <w:rsid w:val="00BE7903"/>
    <w:rsid w:val="00BF0421"/>
    <w:rsid w:val="00BF066A"/>
    <w:rsid w:val="00BF09B1"/>
    <w:rsid w:val="00BF0B5F"/>
    <w:rsid w:val="00BF0DD5"/>
    <w:rsid w:val="00BF1423"/>
    <w:rsid w:val="00BF198C"/>
    <w:rsid w:val="00BF1B65"/>
    <w:rsid w:val="00BF1CE5"/>
    <w:rsid w:val="00BF2549"/>
    <w:rsid w:val="00BF2AB0"/>
    <w:rsid w:val="00BF2AC7"/>
    <w:rsid w:val="00BF2C4B"/>
    <w:rsid w:val="00BF2CE7"/>
    <w:rsid w:val="00BF33BC"/>
    <w:rsid w:val="00BF382B"/>
    <w:rsid w:val="00BF4955"/>
    <w:rsid w:val="00BF4A85"/>
    <w:rsid w:val="00BF4D2B"/>
    <w:rsid w:val="00BF510F"/>
    <w:rsid w:val="00BF57FA"/>
    <w:rsid w:val="00BF5C81"/>
    <w:rsid w:val="00BF5D87"/>
    <w:rsid w:val="00BF5E9C"/>
    <w:rsid w:val="00BF62C1"/>
    <w:rsid w:val="00BF68C8"/>
    <w:rsid w:val="00BF6A30"/>
    <w:rsid w:val="00BF6CA4"/>
    <w:rsid w:val="00BF6D3B"/>
    <w:rsid w:val="00BF719D"/>
    <w:rsid w:val="00BF7346"/>
    <w:rsid w:val="00BF76D4"/>
    <w:rsid w:val="00BF7842"/>
    <w:rsid w:val="00BF78BA"/>
    <w:rsid w:val="00BF7B9A"/>
    <w:rsid w:val="00C00067"/>
    <w:rsid w:val="00C002B0"/>
    <w:rsid w:val="00C00C5C"/>
    <w:rsid w:val="00C00E26"/>
    <w:rsid w:val="00C00F3A"/>
    <w:rsid w:val="00C01448"/>
    <w:rsid w:val="00C01541"/>
    <w:rsid w:val="00C0157B"/>
    <w:rsid w:val="00C015C7"/>
    <w:rsid w:val="00C0184E"/>
    <w:rsid w:val="00C01BD5"/>
    <w:rsid w:val="00C01C21"/>
    <w:rsid w:val="00C01FB1"/>
    <w:rsid w:val="00C02016"/>
    <w:rsid w:val="00C022A7"/>
    <w:rsid w:val="00C02461"/>
    <w:rsid w:val="00C029B1"/>
    <w:rsid w:val="00C02A78"/>
    <w:rsid w:val="00C02DDF"/>
    <w:rsid w:val="00C02F35"/>
    <w:rsid w:val="00C03724"/>
    <w:rsid w:val="00C03AB2"/>
    <w:rsid w:val="00C03AF8"/>
    <w:rsid w:val="00C03EF5"/>
    <w:rsid w:val="00C040FE"/>
    <w:rsid w:val="00C042CE"/>
    <w:rsid w:val="00C044EE"/>
    <w:rsid w:val="00C04BE7"/>
    <w:rsid w:val="00C04C06"/>
    <w:rsid w:val="00C04ED2"/>
    <w:rsid w:val="00C05576"/>
    <w:rsid w:val="00C0581B"/>
    <w:rsid w:val="00C0590A"/>
    <w:rsid w:val="00C05F25"/>
    <w:rsid w:val="00C0607F"/>
    <w:rsid w:val="00C063D9"/>
    <w:rsid w:val="00C065CD"/>
    <w:rsid w:val="00C0665D"/>
    <w:rsid w:val="00C06806"/>
    <w:rsid w:val="00C06A06"/>
    <w:rsid w:val="00C06E60"/>
    <w:rsid w:val="00C07709"/>
    <w:rsid w:val="00C07721"/>
    <w:rsid w:val="00C07727"/>
    <w:rsid w:val="00C07B13"/>
    <w:rsid w:val="00C07B58"/>
    <w:rsid w:val="00C10163"/>
    <w:rsid w:val="00C103B0"/>
    <w:rsid w:val="00C10AB4"/>
    <w:rsid w:val="00C1104E"/>
    <w:rsid w:val="00C118CF"/>
    <w:rsid w:val="00C11FE0"/>
    <w:rsid w:val="00C1206F"/>
    <w:rsid w:val="00C120DA"/>
    <w:rsid w:val="00C1282A"/>
    <w:rsid w:val="00C130D6"/>
    <w:rsid w:val="00C13160"/>
    <w:rsid w:val="00C131E9"/>
    <w:rsid w:val="00C1329C"/>
    <w:rsid w:val="00C1335C"/>
    <w:rsid w:val="00C1364A"/>
    <w:rsid w:val="00C1406C"/>
    <w:rsid w:val="00C14A10"/>
    <w:rsid w:val="00C14CF1"/>
    <w:rsid w:val="00C14D07"/>
    <w:rsid w:val="00C15379"/>
    <w:rsid w:val="00C155AC"/>
    <w:rsid w:val="00C1565F"/>
    <w:rsid w:val="00C158E2"/>
    <w:rsid w:val="00C1616B"/>
    <w:rsid w:val="00C16240"/>
    <w:rsid w:val="00C17067"/>
    <w:rsid w:val="00C17079"/>
    <w:rsid w:val="00C1726E"/>
    <w:rsid w:val="00C1729D"/>
    <w:rsid w:val="00C17D3C"/>
    <w:rsid w:val="00C17E96"/>
    <w:rsid w:val="00C2050A"/>
    <w:rsid w:val="00C21171"/>
    <w:rsid w:val="00C21522"/>
    <w:rsid w:val="00C21606"/>
    <w:rsid w:val="00C21FB2"/>
    <w:rsid w:val="00C22B0A"/>
    <w:rsid w:val="00C233C1"/>
    <w:rsid w:val="00C23804"/>
    <w:rsid w:val="00C23871"/>
    <w:rsid w:val="00C23E3B"/>
    <w:rsid w:val="00C23E5F"/>
    <w:rsid w:val="00C24238"/>
    <w:rsid w:val="00C242F1"/>
    <w:rsid w:val="00C24919"/>
    <w:rsid w:val="00C24D5F"/>
    <w:rsid w:val="00C2511D"/>
    <w:rsid w:val="00C253C4"/>
    <w:rsid w:val="00C257E3"/>
    <w:rsid w:val="00C25B9D"/>
    <w:rsid w:val="00C25C08"/>
    <w:rsid w:val="00C25E83"/>
    <w:rsid w:val="00C2601E"/>
    <w:rsid w:val="00C260D2"/>
    <w:rsid w:val="00C26BF0"/>
    <w:rsid w:val="00C26CAF"/>
    <w:rsid w:val="00C26CF2"/>
    <w:rsid w:val="00C26F1B"/>
    <w:rsid w:val="00C275DE"/>
    <w:rsid w:val="00C2763B"/>
    <w:rsid w:val="00C276A3"/>
    <w:rsid w:val="00C27963"/>
    <w:rsid w:val="00C27C11"/>
    <w:rsid w:val="00C27D02"/>
    <w:rsid w:val="00C27F82"/>
    <w:rsid w:val="00C3056E"/>
    <w:rsid w:val="00C3069E"/>
    <w:rsid w:val="00C30A72"/>
    <w:rsid w:val="00C30BE9"/>
    <w:rsid w:val="00C30C12"/>
    <w:rsid w:val="00C30EAA"/>
    <w:rsid w:val="00C31677"/>
    <w:rsid w:val="00C31CAE"/>
    <w:rsid w:val="00C31E66"/>
    <w:rsid w:val="00C320A7"/>
    <w:rsid w:val="00C32852"/>
    <w:rsid w:val="00C32A2F"/>
    <w:rsid w:val="00C32F60"/>
    <w:rsid w:val="00C3304C"/>
    <w:rsid w:val="00C330E4"/>
    <w:rsid w:val="00C3330E"/>
    <w:rsid w:val="00C3379A"/>
    <w:rsid w:val="00C337CB"/>
    <w:rsid w:val="00C33CE8"/>
    <w:rsid w:val="00C34414"/>
    <w:rsid w:val="00C34DC9"/>
    <w:rsid w:val="00C3520D"/>
    <w:rsid w:val="00C3546A"/>
    <w:rsid w:val="00C356CE"/>
    <w:rsid w:val="00C358DA"/>
    <w:rsid w:val="00C35AC3"/>
    <w:rsid w:val="00C35CCC"/>
    <w:rsid w:val="00C365BB"/>
    <w:rsid w:val="00C366A1"/>
    <w:rsid w:val="00C36AF4"/>
    <w:rsid w:val="00C36E45"/>
    <w:rsid w:val="00C36EAD"/>
    <w:rsid w:val="00C36F0B"/>
    <w:rsid w:val="00C3733D"/>
    <w:rsid w:val="00C3741B"/>
    <w:rsid w:val="00C3757C"/>
    <w:rsid w:val="00C375CC"/>
    <w:rsid w:val="00C37C00"/>
    <w:rsid w:val="00C37F22"/>
    <w:rsid w:val="00C37F3A"/>
    <w:rsid w:val="00C4024C"/>
    <w:rsid w:val="00C40369"/>
    <w:rsid w:val="00C4054D"/>
    <w:rsid w:val="00C406C3"/>
    <w:rsid w:val="00C40822"/>
    <w:rsid w:val="00C40E99"/>
    <w:rsid w:val="00C41062"/>
    <w:rsid w:val="00C41549"/>
    <w:rsid w:val="00C41592"/>
    <w:rsid w:val="00C41822"/>
    <w:rsid w:val="00C41892"/>
    <w:rsid w:val="00C41A10"/>
    <w:rsid w:val="00C41E02"/>
    <w:rsid w:val="00C41FA6"/>
    <w:rsid w:val="00C41FD6"/>
    <w:rsid w:val="00C4215B"/>
    <w:rsid w:val="00C424C0"/>
    <w:rsid w:val="00C428EC"/>
    <w:rsid w:val="00C42C4B"/>
    <w:rsid w:val="00C4363B"/>
    <w:rsid w:val="00C438E9"/>
    <w:rsid w:val="00C43936"/>
    <w:rsid w:val="00C43DBC"/>
    <w:rsid w:val="00C44056"/>
    <w:rsid w:val="00C44142"/>
    <w:rsid w:val="00C44324"/>
    <w:rsid w:val="00C443C0"/>
    <w:rsid w:val="00C4476C"/>
    <w:rsid w:val="00C449B6"/>
    <w:rsid w:val="00C45178"/>
    <w:rsid w:val="00C456A0"/>
    <w:rsid w:val="00C45F12"/>
    <w:rsid w:val="00C4618F"/>
    <w:rsid w:val="00C462C9"/>
    <w:rsid w:val="00C464A6"/>
    <w:rsid w:val="00C46608"/>
    <w:rsid w:val="00C46834"/>
    <w:rsid w:val="00C46D08"/>
    <w:rsid w:val="00C46D89"/>
    <w:rsid w:val="00C4765D"/>
    <w:rsid w:val="00C47735"/>
    <w:rsid w:val="00C479A8"/>
    <w:rsid w:val="00C47BA2"/>
    <w:rsid w:val="00C50504"/>
    <w:rsid w:val="00C50FD6"/>
    <w:rsid w:val="00C515AF"/>
    <w:rsid w:val="00C51B36"/>
    <w:rsid w:val="00C51B61"/>
    <w:rsid w:val="00C51B83"/>
    <w:rsid w:val="00C5229D"/>
    <w:rsid w:val="00C52996"/>
    <w:rsid w:val="00C5336F"/>
    <w:rsid w:val="00C53499"/>
    <w:rsid w:val="00C536F3"/>
    <w:rsid w:val="00C53AC2"/>
    <w:rsid w:val="00C53BD5"/>
    <w:rsid w:val="00C53D41"/>
    <w:rsid w:val="00C53F28"/>
    <w:rsid w:val="00C544A6"/>
    <w:rsid w:val="00C545AC"/>
    <w:rsid w:val="00C54801"/>
    <w:rsid w:val="00C550E9"/>
    <w:rsid w:val="00C552D0"/>
    <w:rsid w:val="00C55578"/>
    <w:rsid w:val="00C55CCB"/>
    <w:rsid w:val="00C55FB7"/>
    <w:rsid w:val="00C56372"/>
    <w:rsid w:val="00C56BB8"/>
    <w:rsid w:val="00C57128"/>
    <w:rsid w:val="00C57B85"/>
    <w:rsid w:val="00C57F23"/>
    <w:rsid w:val="00C601B1"/>
    <w:rsid w:val="00C603FF"/>
    <w:rsid w:val="00C6062B"/>
    <w:rsid w:val="00C6077E"/>
    <w:rsid w:val="00C6086C"/>
    <w:rsid w:val="00C60B1F"/>
    <w:rsid w:val="00C60C28"/>
    <w:rsid w:val="00C610CE"/>
    <w:rsid w:val="00C610F1"/>
    <w:rsid w:val="00C61AC8"/>
    <w:rsid w:val="00C61B54"/>
    <w:rsid w:val="00C61BBC"/>
    <w:rsid w:val="00C62329"/>
    <w:rsid w:val="00C625C1"/>
    <w:rsid w:val="00C6261D"/>
    <w:rsid w:val="00C62A33"/>
    <w:rsid w:val="00C62EF0"/>
    <w:rsid w:val="00C62F34"/>
    <w:rsid w:val="00C62FC6"/>
    <w:rsid w:val="00C630DA"/>
    <w:rsid w:val="00C63165"/>
    <w:rsid w:val="00C63F35"/>
    <w:rsid w:val="00C63FA9"/>
    <w:rsid w:val="00C64A5F"/>
    <w:rsid w:val="00C64CA8"/>
    <w:rsid w:val="00C65120"/>
    <w:rsid w:val="00C65FF1"/>
    <w:rsid w:val="00C6630B"/>
    <w:rsid w:val="00C6631B"/>
    <w:rsid w:val="00C66492"/>
    <w:rsid w:val="00C6660D"/>
    <w:rsid w:val="00C66650"/>
    <w:rsid w:val="00C66A75"/>
    <w:rsid w:val="00C675CC"/>
    <w:rsid w:val="00C679FC"/>
    <w:rsid w:val="00C67BC7"/>
    <w:rsid w:val="00C7035D"/>
    <w:rsid w:val="00C7050A"/>
    <w:rsid w:val="00C70904"/>
    <w:rsid w:val="00C70B63"/>
    <w:rsid w:val="00C70BE9"/>
    <w:rsid w:val="00C70C00"/>
    <w:rsid w:val="00C70E23"/>
    <w:rsid w:val="00C70F05"/>
    <w:rsid w:val="00C70FD8"/>
    <w:rsid w:val="00C71507"/>
    <w:rsid w:val="00C715B9"/>
    <w:rsid w:val="00C71A37"/>
    <w:rsid w:val="00C71B21"/>
    <w:rsid w:val="00C7223B"/>
    <w:rsid w:val="00C72833"/>
    <w:rsid w:val="00C72DD9"/>
    <w:rsid w:val="00C72E41"/>
    <w:rsid w:val="00C73532"/>
    <w:rsid w:val="00C73558"/>
    <w:rsid w:val="00C7375E"/>
    <w:rsid w:val="00C73EF6"/>
    <w:rsid w:val="00C74153"/>
    <w:rsid w:val="00C741AA"/>
    <w:rsid w:val="00C7420F"/>
    <w:rsid w:val="00C74717"/>
    <w:rsid w:val="00C74891"/>
    <w:rsid w:val="00C74F97"/>
    <w:rsid w:val="00C75100"/>
    <w:rsid w:val="00C7539A"/>
    <w:rsid w:val="00C75A68"/>
    <w:rsid w:val="00C75AFA"/>
    <w:rsid w:val="00C75B68"/>
    <w:rsid w:val="00C764C9"/>
    <w:rsid w:val="00C76678"/>
    <w:rsid w:val="00C76B04"/>
    <w:rsid w:val="00C76B8C"/>
    <w:rsid w:val="00C76C8B"/>
    <w:rsid w:val="00C76CE8"/>
    <w:rsid w:val="00C774EE"/>
    <w:rsid w:val="00C77F1C"/>
    <w:rsid w:val="00C8065D"/>
    <w:rsid w:val="00C80681"/>
    <w:rsid w:val="00C80A58"/>
    <w:rsid w:val="00C80C88"/>
    <w:rsid w:val="00C80D46"/>
    <w:rsid w:val="00C80D57"/>
    <w:rsid w:val="00C815B1"/>
    <w:rsid w:val="00C81651"/>
    <w:rsid w:val="00C81ABC"/>
    <w:rsid w:val="00C81B04"/>
    <w:rsid w:val="00C81C58"/>
    <w:rsid w:val="00C827FB"/>
    <w:rsid w:val="00C82E62"/>
    <w:rsid w:val="00C82E85"/>
    <w:rsid w:val="00C8332A"/>
    <w:rsid w:val="00C840E4"/>
    <w:rsid w:val="00C84292"/>
    <w:rsid w:val="00C84377"/>
    <w:rsid w:val="00C8450A"/>
    <w:rsid w:val="00C8473D"/>
    <w:rsid w:val="00C850B9"/>
    <w:rsid w:val="00C852CE"/>
    <w:rsid w:val="00C85850"/>
    <w:rsid w:val="00C85900"/>
    <w:rsid w:val="00C859B7"/>
    <w:rsid w:val="00C859BD"/>
    <w:rsid w:val="00C85E2F"/>
    <w:rsid w:val="00C8602E"/>
    <w:rsid w:val="00C860B7"/>
    <w:rsid w:val="00C860C8"/>
    <w:rsid w:val="00C86890"/>
    <w:rsid w:val="00C86F7B"/>
    <w:rsid w:val="00C87378"/>
    <w:rsid w:val="00C877AE"/>
    <w:rsid w:val="00C879A0"/>
    <w:rsid w:val="00C87E38"/>
    <w:rsid w:val="00C9046E"/>
    <w:rsid w:val="00C90542"/>
    <w:rsid w:val="00C90A52"/>
    <w:rsid w:val="00C90B6B"/>
    <w:rsid w:val="00C90C6B"/>
    <w:rsid w:val="00C90DC9"/>
    <w:rsid w:val="00C90FE6"/>
    <w:rsid w:val="00C911D2"/>
    <w:rsid w:val="00C913D9"/>
    <w:rsid w:val="00C917A5"/>
    <w:rsid w:val="00C918B4"/>
    <w:rsid w:val="00C91B55"/>
    <w:rsid w:val="00C91E1F"/>
    <w:rsid w:val="00C91EE6"/>
    <w:rsid w:val="00C92272"/>
    <w:rsid w:val="00C922B2"/>
    <w:rsid w:val="00C9283B"/>
    <w:rsid w:val="00C92B17"/>
    <w:rsid w:val="00C92BC5"/>
    <w:rsid w:val="00C92EAD"/>
    <w:rsid w:val="00C937B8"/>
    <w:rsid w:val="00C93D44"/>
    <w:rsid w:val="00C94036"/>
    <w:rsid w:val="00C9437F"/>
    <w:rsid w:val="00C9493B"/>
    <w:rsid w:val="00C94AE8"/>
    <w:rsid w:val="00C950D7"/>
    <w:rsid w:val="00C955C9"/>
    <w:rsid w:val="00C955E0"/>
    <w:rsid w:val="00C9589C"/>
    <w:rsid w:val="00C95AC2"/>
    <w:rsid w:val="00C95B15"/>
    <w:rsid w:val="00C95D20"/>
    <w:rsid w:val="00C962D0"/>
    <w:rsid w:val="00C968E2"/>
    <w:rsid w:val="00C96BAA"/>
    <w:rsid w:val="00C972BD"/>
    <w:rsid w:val="00C97347"/>
    <w:rsid w:val="00C9734F"/>
    <w:rsid w:val="00C97459"/>
    <w:rsid w:val="00C979F6"/>
    <w:rsid w:val="00CA0152"/>
    <w:rsid w:val="00CA062F"/>
    <w:rsid w:val="00CA08C6"/>
    <w:rsid w:val="00CA0C1E"/>
    <w:rsid w:val="00CA114F"/>
    <w:rsid w:val="00CA11AF"/>
    <w:rsid w:val="00CA1451"/>
    <w:rsid w:val="00CA15E7"/>
    <w:rsid w:val="00CA1613"/>
    <w:rsid w:val="00CA1A11"/>
    <w:rsid w:val="00CA1A36"/>
    <w:rsid w:val="00CA2241"/>
    <w:rsid w:val="00CA232A"/>
    <w:rsid w:val="00CA2506"/>
    <w:rsid w:val="00CA26DE"/>
    <w:rsid w:val="00CA2799"/>
    <w:rsid w:val="00CA2EF3"/>
    <w:rsid w:val="00CA337B"/>
    <w:rsid w:val="00CA35BB"/>
    <w:rsid w:val="00CA3E0A"/>
    <w:rsid w:val="00CA3E30"/>
    <w:rsid w:val="00CA42E9"/>
    <w:rsid w:val="00CA5487"/>
    <w:rsid w:val="00CA554B"/>
    <w:rsid w:val="00CA5774"/>
    <w:rsid w:val="00CA5A00"/>
    <w:rsid w:val="00CA5E16"/>
    <w:rsid w:val="00CA5F89"/>
    <w:rsid w:val="00CA61B4"/>
    <w:rsid w:val="00CA64D1"/>
    <w:rsid w:val="00CA6D2B"/>
    <w:rsid w:val="00CA7256"/>
    <w:rsid w:val="00CA77DC"/>
    <w:rsid w:val="00CB0189"/>
    <w:rsid w:val="00CB03E9"/>
    <w:rsid w:val="00CB0A24"/>
    <w:rsid w:val="00CB0A9F"/>
    <w:rsid w:val="00CB1C82"/>
    <w:rsid w:val="00CB1D98"/>
    <w:rsid w:val="00CB262C"/>
    <w:rsid w:val="00CB27DC"/>
    <w:rsid w:val="00CB2C0C"/>
    <w:rsid w:val="00CB324B"/>
    <w:rsid w:val="00CB38CE"/>
    <w:rsid w:val="00CB3DDF"/>
    <w:rsid w:val="00CB3FA2"/>
    <w:rsid w:val="00CB4053"/>
    <w:rsid w:val="00CB410E"/>
    <w:rsid w:val="00CB4218"/>
    <w:rsid w:val="00CB42F2"/>
    <w:rsid w:val="00CB435A"/>
    <w:rsid w:val="00CB4399"/>
    <w:rsid w:val="00CB46FF"/>
    <w:rsid w:val="00CB4927"/>
    <w:rsid w:val="00CB4D1A"/>
    <w:rsid w:val="00CB4D34"/>
    <w:rsid w:val="00CB5246"/>
    <w:rsid w:val="00CB57C0"/>
    <w:rsid w:val="00CB5AE8"/>
    <w:rsid w:val="00CB5B24"/>
    <w:rsid w:val="00CB5B55"/>
    <w:rsid w:val="00CB5D55"/>
    <w:rsid w:val="00CB6535"/>
    <w:rsid w:val="00CB6A7D"/>
    <w:rsid w:val="00CB73BD"/>
    <w:rsid w:val="00CB7C7F"/>
    <w:rsid w:val="00CB7D21"/>
    <w:rsid w:val="00CC0308"/>
    <w:rsid w:val="00CC05DC"/>
    <w:rsid w:val="00CC05E1"/>
    <w:rsid w:val="00CC0707"/>
    <w:rsid w:val="00CC0BCA"/>
    <w:rsid w:val="00CC0CB7"/>
    <w:rsid w:val="00CC1826"/>
    <w:rsid w:val="00CC1883"/>
    <w:rsid w:val="00CC1EC8"/>
    <w:rsid w:val="00CC1F3F"/>
    <w:rsid w:val="00CC2066"/>
    <w:rsid w:val="00CC21FE"/>
    <w:rsid w:val="00CC2275"/>
    <w:rsid w:val="00CC2A0E"/>
    <w:rsid w:val="00CC2D18"/>
    <w:rsid w:val="00CC2E01"/>
    <w:rsid w:val="00CC3144"/>
    <w:rsid w:val="00CC372A"/>
    <w:rsid w:val="00CC3B57"/>
    <w:rsid w:val="00CC3EC7"/>
    <w:rsid w:val="00CC4140"/>
    <w:rsid w:val="00CC43B2"/>
    <w:rsid w:val="00CC4821"/>
    <w:rsid w:val="00CC499F"/>
    <w:rsid w:val="00CC4AC5"/>
    <w:rsid w:val="00CC4F0B"/>
    <w:rsid w:val="00CC518A"/>
    <w:rsid w:val="00CC5475"/>
    <w:rsid w:val="00CC5869"/>
    <w:rsid w:val="00CC5D06"/>
    <w:rsid w:val="00CC61E4"/>
    <w:rsid w:val="00CC6471"/>
    <w:rsid w:val="00CC670D"/>
    <w:rsid w:val="00CC681A"/>
    <w:rsid w:val="00CC6A53"/>
    <w:rsid w:val="00CC6AC7"/>
    <w:rsid w:val="00CC6DEC"/>
    <w:rsid w:val="00CC6FA9"/>
    <w:rsid w:val="00CC73D1"/>
    <w:rsid w:val="00CC7468"/>
    <w:rsid w:val="00CC76C5"/>
    <w:rsid w:val="00CC7CE6"/>
    <w:rsid w:val="00CD00F0"/>
    <w:rsid w:val="00CD02D9"/>
    <w:rsid w:val="00CD0574"/>
    <w:rsid w:val="00CD07CD"/>
    <w:rsid w:val="00CD098B"/>
    <w:rsid w:val="00CD0ADD"/>
    <w:rsid w:val="00CD1185"/>
    <w:rsid w:val="00CD1557"/>
    <w:rsid w:val="00CD2056"/>
    <w:rsid w:val="00CD22D0"/>
    <w:rsid w:val="00CD25F5"/>
    <w:rsid w:val="00CD2626"/>
    <w:rsid w:val="00CD2CB9"/>
    <w:rsid w:val="00CD3156"/>
    <w:rsid w:val="00CD31DA"/>
    <w:rsid w:val="00CD3C29"/>
    <w:rsid w:val="00CD3CDD"/>
    <w:rsid w:val="00CD3FAC"/>
    <w:rsid w:val="00CD40C1"/>
    <w:rsid w:val="00CD42B0"/>
    <w:rsid w:val="00CD4345"/>
    <w:rsid w:val="00CD496D"/>
    <w:rsid w:val="00CD4C41"/>
    <w:rsid w:val="00CD4E5A"/>
    <w:rsid w:val="00CD4E70"/>
    <w:rsid w:val="00CD5352"/>
    <w:rsid w:val="00CD588D"/>
    <w:rsid w:val="00CD5ABC"/>
    <w:rsid w:val="00CD5B38"/>
    <w:rsid w:val="00CD641E"/>
    <w:rsid w:val="00CD6688"/>
    <w:rsid w:val="00CD69BC"/>
    <w:rsid w:val="00CD69D7"/>
    <w:rsid w:val="00CD6A69"/>
    <w:rsid w:val="00CD6BA4"/>
    <w:rsid w:val="00CD6DAD"/>
    <w:rsid w:val="00CD738A"/>
    <w:rsid w:val="00CD77CA"/>
    <w:rsid w:val="00CD7D20"/>
    <w:rsid w:val="00CD7D4E"/>
    <w:rsid w:val="00CE0333"/>
    <w:rsid w:val="00CE0986"/>
    <w:rsid w:val="00CE09F7"/>
    <w:rsid w:val="00CE101C"/>
    <w:rsid w:val="00CE15E6"/>
    <w:rsid w:val="00CE16EE"/>
    <w:rsid w:val="00CE175F"/>
    <w:rsid w:val="00CE177A"/>
    <w:rsid w:val="00CE2373"/>
    <w:rsid w:val="00CE2B04"/>
    <w:rsid w:val="00CE38C5"/>
    <w:rsid w:val="00CE3A2E"/>
    <w:rsid w:val="00CE405B"/>
    <w:rsid w:val="00CE41B7"/>
    <w:rsid w:val="00CE4332"/>
    <w:rsid w:val="00CE477B"/>
    <w:rsid w:val="00CE4DB0"/>
    <w:rsid w:val="00CE571A"/>
    <w:rsid w:val="00CE5897"/>
    <w:rsid w:val="00CE59B1"/>
    <w:rsid w:val="00CE6C88"/>
    <w:rsid w:val="00CE6CC5"/>
    <w:rsid w:val="00CE6CF9"/>
    <w:rsid w:val="00CE6F8D"/>
    <w:rsid w:val="00CE7163"/>
    <w:rsid w:val="00CE75AD"/>
    <w:rsid w:val="00CE78E4"/>
    <w:rsid w:val="00CE79DC"/>
    <w:rsid w:val="00CE7C7E"/>
    <w:rsid w:val="00CE7C84"/>
    <w:rsid w:val="00CE7D27"/>
    <w:rsid w:val="00CE7F62"/>
    <w:rsid w:val="00CE7F98"/>
    <w:rsid w:val="00CF02FB"/>
    <w:rsid w:val="00CF06CD"/>
    <w:rsid w:val="00CF06EA"/>
    <w:rsid w:val="00CF0ACE"/>
    <w:rsid w:val="00CF0B73"/>
    <w:rsid w:val="00CF0B91"/>
    <w:rsid w:val="00CF0F72"/>
    <w:rsid w:val="00CF10C9"/>
    <w:rsid w:val="00CF1412"/>
    <w:rsid w:val="00CF148D"/>
    <w:rsid w:val="00CF1E62"/>
    <w:rsid w:val="00CF2847"/>
    <w:rsid w:val="00CF2C52"/>
    <w:rsid w:val="00CF2F95"/>
    <w:rsid w:val="00CF3050"/>
    <w:rsid w:val="00CF3177"/>
    <w:rsid w:val="00CF36E9"/>
    <w:rsid w:val="00CF3D40"/>
    <w:rsid w:val="00CF4222"/>
    <w:rsid w:val="00CF4637"/>
    <w:rsid w:val="00CF4957"/>
    <w:rsid w:val="00CF4986"/>
    <w:rsid w:val="00CF49C1"/>
    <w:rsid w:val="00CF4F3F"/>
    <w:rsid w:val="00CF5016"/>
    <w:rsid w:val="00CF53E7"/>
    <w:rsid w:val="00CF58CA"/>
    <w:rsid w:val="00CF5D93"/>
    <w:rsid w:val="00CF6156"/>
    <w:rsid w:val="00CF6787"/>
    <w:rsid w:val="00CF6D02"/>
    <w:rsid w:val="00CF6D71"/>
    <w:rsid w:val="00CF6F2D"/>
    <w:rsid w:val="00CF7014"/>
    <w:rsid w:val="00CF73D3"/>
    <w:rsid w:val="00CF744B"/>
    <w:rsid w:val="00CF7581"/>
    <w:rsid w:val="00CF76CC"/>
    <w:rsid w:val="00CF78E2"/>
    <w:rsid w:val="00CF7D73"/>
    <w:rsid w:val="00D005EF"/>
    <w:rsid w:val="00D007C4"/>
    <w:rsid w:val="00D0083D"/>
    <w:rsid w:val="00D019C4"/>
    <w:rsid w:val="00D023CA"/>
    <w:rsid w:val="00D028EE"/>
    <w:rsid w:val="00D02E13"/>
    <w:rsid w:val="00D02EFD"/>
    <w:rsid w:val="00D0336A"/>
    <w:rsid w:val="00D035C0"/>
    <w:rsid w:val="00D03900"/>
    <w:rsid w:val="00D03F35"/>
    <w:rsid w:val="00D044A0"/>
    <w:rsid w:val="00D04BA0"/>
    <w:rsid w:val="00D04EF3"/>
    <w:rsid w:val="00D050D5"/>
    <w:rsid w:val="00D05198"/>
    <w:rsid w:val="00D05663"/>
    <w:rsid w:val="00D05B47"/>
    <w:rsid w:val="00D05BEF"/>
    <w:rsid w:val="00D06383"/>
    <w:rsid w:val="00D065FD"/>
    <w:rsid w:val="00D06832"/>
    <w:rsid w:val="00D069DA"/>
    <w:rsid w:val="00D06B5B"/>
    <w:rsid w:val="00D06E36"/>
    <w:rsid w:val="00D06EFD"/>
    <w:rsid w:val="00D06FB2"/>
    <w:rsid w:val="00D06FDF"/>
    <w:rsid w:val="00D07CF5"/>
    <w:rsid w:val="00D07F54"/>
    <w:rsid w:val="00D10B1C"/>
    <w:rsid w:val="00D10F46"/>
    <w:rsid w:val="00D10F53"/>
    <w:rsid w:val="00D1119A"/>
    <w:rsid w:val="00D11544"/>
    <w:rsid w:val="00D117A7"/>
    <w:rsid w:val="00D11825"/>
    <w:rsid w:val="00D11B42"/>
    <w:rsid w:val="00D11CCC"/>
    <w:rsid w:val="00D11FBC"/>
    <w:rsid w:val="00D1204F"/>
    <w:rsid w:val="00D125DD"/>
    <w:rsid w:val="00D12903"/>
    <w:rsid w:val="00D12BFD"/>
    <w:rsid w:val="00D12E0D"/>
    <w:rsid w:val="00D13011"/>
    <w:rsid w:val="00D13373"/>
    <w:rsid w:val="00D13514"/>
    <w:rsid w:val="00D135DB"/>
    <w:rsid w:val="00D13932"/>
    <w:rsid w:val="00D13B0D"/>
    <w:rsid w:val="00D13D0E"/>
    <w:rsid w:val="00D14650"/>
    <w:rsid w:val="00D149BD"/>
    <w:rsid w:val="00D14AAE"/>
    <w:rsid w:val="00D14BFA"/>
    <w:rsid w:val="00D14F04"/>
    <w:rsid w:val="00D15690"/>
    <w:rsid w:val="00D15822"/>
    <w:rsid w:val="00D15AE0"/>
    <w:rsid w:val="00D15B0B"/>
    <w:rsid w:val="00D15BB5"/>
    <w:rsid w:val="00D16B89"/>
    <w:rsid w:val="00D172D7"/>
    <w:rsid w:val="00D17852"/>
    <w:rsid w:val="00D17DF1"/>
    <w:rsid w:val="00D17E3B"/>
    <w:rsid w:val="00D17F47"/>
    <w:rsid w:val="00D20053"/>
    <w:rsid w:val="00D201D2"/>
    <w:rsid w:val="00D208EE"/>
    <w:rsid w:val="00D20968"/>
    <w:rsid w:val="00D209A0"/>
    <w:rsid w:val="00D209AD"/>
    <w:rsid w:val="00D2139F"/>
    <w:rsid w:val="00D21740"/>
    <w:rsid w:val="00D22298"/>
    <w:rsid w:val="00D22527"/>
    <w:rsid w:val="00D22534"/>
    <w:rsid w:val="00D2288C"/>
    <w:rsid w:val="00D22E58"/>
    <w:rsid w:val="00D23250"/>
    <w:rsid w:val="00D2346F"/>
    <w:rsid w:val="00D2353D"/>
    <w:rsid w:val="00D23936"/>
    <w:rsid w:val="00D23A46"/>
    <w:rsid w:val="00D23B5F"/>
    <w:rsid w:val="00D23CBB"/>
    <w:rsid w:val="00D240B4"/>
    <w:rsid w:val="00D242D1"/>
    <w:rsid w:val="00D24A2B"/>
    <w:rsid w:val="00D24AE1"/>
    <w:rsid w:val="00D24AE3"/>
    <w:rsid w:val="00D24E27"/>
    <w:rsid w:val="00D25320"/>
    <w:rsid w:val="00D25345"/>
    <w:rsid w:val="00D253CD"/>
    <w:rsid w:val="00D25580"/>
    <w:rsid w:val="00D2598A"/>
    <w:rsid w:val="00D25F52"/>
    <w:rsid w:val="00D261F3"/>
    <w:rsid w:val="00D26B92"/>
    <w:rsid w:val="00D26C6B"/>
    <w:rsid w:val="00D26FC5"/>
    <w:rsid w:val="00D27D1D"/>
    <w:rsid w:val="00D27E60"/>
    <w:rsid w:val="00D30085"/>
    <w:rsid w:val="00D3008B"/>
    <w:rsid w:val="00D30C8F"/>
    <w:rsid w:val="00D310A6"/>
    <w:rsid w:val="00D31A93"/>
    <w:rsid w:val="00D31B55"/>
    <w:rsid w:val="00D32068"/>
    <w:rsid w:val="00D321BE"/>
    <w:rsid w:val="00D3226A"/>
    <w:rsid w:val="00D32A51"/>
    <w:rsid w:val="00D32F05"/>
    <w:rsid w:val="00D33046"/>
    <w:rsid w:val="00D331BE"/>
    <w:rsid w:val="00D33263"/>
    <w:rsid w:val="00D33539"/>
    <w:rsid w:val="00D33585"/>
    <w:rsid w:val="00D33CA0"/>
    <w:rsid w:val="00D3419B"/>
    <w:rsid w:val="00D34841"/>
    <w:rsid w:val="00D34960"/>
    <w:rsid w:val="00D3574D"/>
    <w:rsid w:val="00D357B9"/>
    <w:rsid w:val="00D3593D"/>
    <w:rsid w:val="00D36060"/>
    <w:rsid w:val="00D361A4"/>
    <w:rsid w:val="00D36D0A"/>
    <w:rsid w:val="00D3792B"/>
    <w:rsid w:val="00D37E2E"/>
    <w:rsid w:val="00D37F6A"/>
    <w:rsid w:val="00D4014D"/>
    <w:rsid w:val="00D40800"/>
    <w:rsid w:val="00D40DD0"/>
    <w:rsid w:val="00D4100F"/>
    <w:rsid w:val="00D414F6"/>
    <w:rsid w:val="00D41685"/>
    <w:rsid w:val="00D41BFF"/>
    <w:rsid w:val="00D41E4A"/>
    <w:rsid w:val="00D424AE"/>
    <w:rsid w:val="00D42595"/>
    <w:rsid w:val="00D43076"/>
    <w:rsid w:val="00D432A4"/>
    <w:rsid w:val="00D43633"/>
    <w:rsid w:val="00D4368B"/>
    <w:rsid w:val="00D43AE5"/>
    <w:rsid w:val="00D440F0"/>
    <w:rsid w:val="00D443C1"/>
    <w:rsid w:val="00D445CC"/>
    <w:rsid w:val="00D446F5"/>
    <w:rsid w:val="00D448F9"/>
    <w:rsid w:val="00D44AE1"/>
    <w:rsid w:val="00D44E87"/>
    <w:rsid w:val="00D450A4"/>
    <w:rsid w:val="00D451F7"/>
    <w:rsid w:val="00D453D3"/>
    <w:rsid w:val="00D4558B"/>
    <w:rsid w:val="00D4566B"/>
    <w:rsid w:val="00D46210"/>
    <w:rsid w:val="00D46257"/>
    <w:rsid w:val="00D46D31"/>
    <w:rsid w:val="00D46ECB"/>
    <w:rsid w:val="00D47278"/>
    <w:rsid w:val="00D47554"/>
    <w:rsid w:val="00D47B4B"/>
    <w:rsid w:val="00D47EB0"/>
    <w:rsid w:val="00D500C7"/>
    <w:rsid w:val="00D50256"/>
    <w:rsid w:val="00D5037B"/>
    <w:rsid w:val="00D5057E"/>
    <w:rsid w:val="00D50BDC"/>
    <w:rsid w:val="00D50FF8"/>
    <w:rsid w:val="00D51533"/>
    <w:rsid w:val="00D515B3"/>
    <w:rsid w:val="00D51B48"/>
    <w:rsid w:val="00D51EA8"/>
    <w:rsid w:val="00D5369E"/>
    <w:rsid w:val="00D53702"/>
    <w:rsid w:val="00D538D0"/>
    <w:rsid w:val="00D5419F"/>
    <w:rsid w:val="00D544E6"/>
    <w:rsid w:val="00D545C8"/>
    <w:rsid w:val="00D54844"/>
    <w:rsid w:val="00D54A0B"/>
    <w:rsid w:val="00D54C3A"/>
    <w:rsid w:val="00D54D88"/>
    <w:rsid w:val="00D556B1"/>
    <w:rsid w:val="00D55794"/>
    <w:rsid w:val="00D55AD7"/>
    <w:rsid w:val="00D55B2F"/>
    <w:rsid w:val="00D55FC6"/>
    <w:rsid w:val="00D56141"/>
    <w:rsid w:val="00D5670D"/>
    <w:rsid w:val="00D568B6"/>
    <w:rsid w:val="00D56E97"/>
    <w:rsid w:val="00D576D8"/>
    <w:rsid w:val="00D57796"/>
    <w:rsid w:val="00D5788C"/>
    <w:rsid w:val="00D57BC8"/>
    <w:rsid w:val="00D60A97"/>
    <w:rsid w:val="00D60BD4"/>
    <w:rsid w:val="00D60D48"/>
    <w:rsid w:val="00D60D95"/>
    <w:rsid w:val="00D60FBF"/>
    <w:rsid w:val="00D6147A"/>
    <w:rsid w:val="00D618B3"/>
    <w:rsid w:val="00D61A5A"/>
    <w:rsid w:val="00D61F3D"/>
    <w:rsid w:val="00D62433"/>
    <w:rsid w:val="00D624BF"/>
    <w:rsid w:val="00D626A2"/>
    <w:rsid w:val="00D62B7A"/>
    <w:rsid w:val="00D62DC6"/>
    <w:rsid w:val="00D62EEC"/>
    <w:rsid w:val="00D63288"/>
    <w:rsid w:val="00D63415"/>
    <w:rsid w:val="00D638F3"/>
    <w:rsid w:val="00D63CBF"/>
    <w:rsid w:val="00D63E7D"/>
    <w:rsid w:val="00D6442F"/>
    <w:rsid w:val="00D64CE3"/>
    <w:rsid w:val="00D64D0B"/>
    <w:rsid w:val="00D64DE4"/>
    <w:rsid w:val="00D64FA3"/>
    <w:rsid w:val="00D653B5"/>
    <w:rsid w:val="00D6554D"/>
    <w:rsid w:val="00D657DD"/>
    <w:rsid w:val="00D65C3B"/>
    <w:rsid w:val="00D65F00"/>
    <w:rsid w:val="00D661DD"/>
    <w:rsid w:val="00D66422"/>
    <w:rsid w:val="00D66762"/>
    <w:rsid w:val="00D675BC"/>
    <w:rsid w:val="00D67745"/>
    <w:rsid w:val="00D67A39"/>
    <w:rsid w:val="00D67B70"/>
    <w:rsid w:val="00D67FE5"/>
    <w:rsid w:val="00D700A1"/>
    <w:rsid w:val="00D70432"/>
    <w:rsid w:val="00D70600"/>
    <w:rsid w:val="00D70B34"/>
    <w:rsid w:val="00D710DB"/>
    <w:rsid w:val="00D7111E"/>
    <w:rsid w:val="00D716C5"/>
    <w:rsid w:val="00D71BD9"/>
    <w:rsid w:val="00D71DED"/>
    <w:rsid w:val="00D71E65"/>
    <w:rsid w:val="00D7271E"/>
    <w:rsid w:val="00D73849"/>
    <w:rsid w:val="00D738FB"/>
    <w:rsid w:val="00D7397F"/>
    <w:rsid w:val="00D73F32"/>
    <w:rsid w:val="00D73F7B"/>
    <w:rsid w:val="00D74236"/>
    <w:rsid w:val="00D74523"/>
    <w:rsid w:val="00D7456F"/>
    <w:rsid w:val="00D7524F"/>
    <w:rsid w:val="00D7538F"/>
    <w:rsid w:val="00D75452"/>
    <w:rsid w:val="00D757C4"/>
    <w:rsid w:val="00D76445"/>
    <w:rsid w:val="00D76595"/>
    <w:rsid w:val="00D76B8E"/>
    <w:rsid w:val="00D76E98"/>
    <w:rsid w:val="00D77097"/>
    <w:rsid w:val="00D77CF6"/>
    <w:rsid w:val="00D77EBA"/>
    <w:rsid w:val="00D77F8E"/>
    <w:rsid w:val="00D802D5"/>
    <w:rsid w:val="00D8082D"/>
    <w:rsid w:val="00D80A50"/>
    <w:rsid w:val="00D80D74"/>
    <w:rsid w:val="00D8100E"/>
    <w:rsid w:val="00D81300"/>
    <w:rsid w:val="00D8145B"/>
    <w:rsid w:val="00D817C8"/>
    <w:rsid w:val="00D81B9E"/>
    <w:rsid w:val="00D81C95"/>
    <w:rsid w:val="00D82095"/>
    <w:rsid w:val="00D82213"/>
    <w:rsid w:val="00D823C6"/>
    <w:rsid w:val="00D828AB"/>
    <w:rsid w:val="00D82951"/>
    <w:rsid w:val="00D8300D"/>
    <w:rsid w:val="00D83038"/>
    <w:rsid w:val="00D831CC"/>
    <w:rsid w:val="00D83569"/>
    <w:rsid w:val="00D838D2"/>
    <w:rsid w:val="00D83CE4"/>
    <w:rsid w:val="00D84114"/>
    <w:rsid w:val="00D84B62"/>
    <w:rsid w:val="00D84C86"/>
    <w:rsid w:val="00D84EEF"/>
    <w:rsid w:val="00D8546B"/>
    <w:rsid w:val="00D855A7"/>
    <w:rsid w:val="00D85BF5"/>
    <w:rsid w:val="00D85F59"/>
    <w:rsid w:val="00D8602A"/>
    <w:rsid w:val="00D861D7"/>
    <w:rsid w:val="00D86899"/>
    <w:rsid w:val="00D86AB9"/>
    <w:rsid w:val="00D86B1D"/>
    <w:rsid w:val="00D86C75"/>
    <w:rsid w:val="00D8726E"/>
    <w:rsid w:val="00D874A7"/>
    <w:rsid w:val="00D87920"/>
    <w:rsid w:val="00D87A10"/>
    <w:rsid w:val="00D87CEF"/>
    <w:rsid w:val="00D87E45"/>
    <w:rsid w:val="00D9008F"/>
    <w:rsid w:val="00D9049C"/>
    <w:rsid w:val="00D90907"/>
    <w:rsid w:val="00D90B10"/>
    <w:rsid w:val="00D90B28"/>
    <w:rsid w:val="00D90E61"/>
    <w:rsid w:val="00D91307"/>
    <w:rsid w:val="00D91527"/>
    <w:rsid w:val="00D9153A"/>
    <w:rsid w:val="00D9154D"/>
    <w:rsid w:val="00D91B98"/>
    <w:rsid w:val="00D91C8F"/>
    <w:rsid w:val="00D92A1C"/>
    <w:rsid w:val="00D9343E"/>
    <w:rsid w:val="00D9354E"/>
    <w:rsid w:val="00D936F2"/>
    <w:rsid w:val="00D93797"/>
    <w:rsid w:val="00D93FEE"/>
    <w:rsid w:val="00D940FE"/>
    <w:rsid w:val="00D941FD"/>
    <w:rsid w:val="00D94973"/>
    <w:rsid w:val="00D94AD2"/>
    <w:rsid w:val="00D94E21"/>
    <w:rsid w:val="00D95177"/>
    <w:rsid w:val="00D95491"/>
    <w:rsid w:val="00D95529"/>
    <w:rsid w:val="00D95D2C"/>
    <w:rsid w:val="00D95FBB"/>
    <w:rsid w:val="00D95FC8"/>
    <w:rsid w:val="00D96074"/>
    <w:rsid w:val="00D96223"/>
    <w:rsid w:val="00D96655"/>
    <w:rsid w:val="00D969FF"/>
    <w:rsid w:val="00D96A7B"/>
    <w:rsid w:val="00D96F32"/>
    <w:rsid w:val="00D9707A"/>
    <w:rsid w:val="00D9734A"/>
    <w:rsid w:val="00D9770E"/>
    <w:rsid w:val="00D977ED"/>
    <w:rsid w:val="00D9794B"/>
    <w:rsid w:val="00D97AEC"/>
    <w:rsid w:val="00DA05BC"/>
    <w:rsid w:val="00DA08DC"/>
    <w:rsid w:val="00DA0B75"/>
    <w:rsid w:val="00DA10CD"/>
    <w:rsid w:val="00DA1184"/>
    <w:rsid w:val="00DA1311"/>
    <w:rsid w:val="00DA1424"/>
    <w:rsid w:val="00DA2094"/>
    <w:rsid w:val="00DA234C"/>
    <w:rsid w:val="00DA255D"/>
    <w:rsid w:val="00DA26A2"/>
    <w:rsid w:val="00DA2AB6"/>
    <w:rsid w:val="00DA2F59"/>
    <w:rsid w:val="00DA393A"/>
    <w:rsid w:val="00DA3CA3"/>
    <w:rsid w:val="00DA3D1F"/>
    <w:rsid w:val="00DA3EAA"/>
    <w:rsid w:val="00DA414C"/>
    <w:rsid w:val="00DA4C39"/>
    <w:rsid w:val="00DA4DF0"/>
    <w:rsid w:val="00DA50D4"/>
    <w:rsid w:val="00DA58CA"/>
    <w:rsid w:val="00DA5BA3"/>
    <w:rsid w:val="00DA5BFE"/>
    <w:rsid w:val="00DA63C2"/>
    <w:rsid w:val="00DA6AA1"/>
    <w:rsid w:val="00DA6C26"/>
    <w:rsid w:val="00DA6CA3"/>
    <w:rsid w:val="00DA6F38"/>
    <w:rsid w:val="00DA7332"/>
    <w:rsid w:val="00DA7BA1"/>
    <w:rsid w:val="00DA7D1E"/>
    <w:rsid w:val="00DB000C"/>
    <w:rsid w:val="00DB009D"/>
    <w:rsid w:val="00DB0127"/>
    <w:rsid w:val="00DB02D0"/>
    <w:rsid w:val="00DB057B"/>
    <w:rsid w:val="00DB1288"/>
    <w:rsid w:val="00DB1705"/>
    <w:rsid w:val="00DB1912"/>
    <w:rsid w:val="00DB1E3A"/>
    <w:rsid w:val="00DB20F5"/>
    <w:rsid w:val="00DB224A"/>
    <w:rsid w:val="00DB2581"/>
    <w:rsid w:val="00DB2893"/>
    <w:rsid w:val="00DB298B"/>
    <w:rsid w:val="00DB29F7"/>
    <w:rsid w:val="00DB2CAD"/>
    <w:rsid w:val="00DB32EB"/>
    <w:rsid w:val="00DB3481"/>
    <w:rsid w:val="00DB4152"/>
    <w:rsid w:val="00DB48E6"/>
    <w:rsid w:val="00DB4E09"/>
    <w:rsid w:val="00DB5667"/>
    <w:rsid w:val="00DB5A06"/>
    <w:rsid w:val="00DB5A41"/>
    <w:rsid w:val="00DB6346"/>
    <w:rsid w:val="00DB655E"/>
    <w:rsid w:val="00DB6E35"/>
    <w:rsid w:val="00DB6FDD"/>
    <w:rsid w:val="00DB7831"/>
    <w:rsid w:val="00DB791C"/>
    <w:rsid w:val="00DB7CCA"/>
    <w:rsid w:val="00DB7D6E"/>
    <w:rsid w:val="00DB7D7D"/>
    <w:rsid w:val="00DB7DCF"/>
    <w:rsid w:val="00DC00E2"/>
    <w:rsid w:val="00DC092A"/>
    <w:rsid w:val="00DC0B98"/>
    <w:rsid w:val="00DC0C78"/>
    <w:rsid w:val="00DC0CEC"/>
    <w:rsid w:val="00DC0E3E"/>
    <w:rsid w:val="00DC117B"/>
    <w:rsid w:val="00DC1458"/>
    <w:rsid w:val="00DC1D75"/>
    <w:rsid w:val="00DC1D8A"/>
    <w:rsid w:val="00DC1F7D"/>
    <w:rsid w:val="00DC22B5"/>
    <w:rsid w:val="00DC2328"/>
    <w:rsid w:val="00DC2B2B"/>
    <w:rsid w:val="00DC2CB0"/>
    <w:rsid w:val="00DC2EB4"/>
    <w:rsid w:val="00DC31DC"/>
    <w:rsid w:val="00DC3588"/>
    <w:rsid w:val="00DC3857"/>
    <w:rsid w:val="00DC390F"/>
    <w:rsid w:val="00DC3952"/>
    <w:rsid w:val="00DC40AD"/>
    <w:rsid w:val="00DC4D83"/>
    <w:rsid w:val="00DC4E7E"/>
    <w:rsid w:val="00DC4F4B"/>
    <w:rsid w:val="00DC503D"/>
    <w:rsid w:val="00DC520A"/>
    <w:rsid w:val="00DC5391"/>
    <w:rsid w:val="00DC53DA"/>
    <w:rsid w:val="00DC55BE"/>
    <w:rsid w:val="00DC55C5"/>
    <w:rsid w:val="00DC5A80"/>
    <w:rsid w:val="00DC5C51"/>
    <w:rsid w:val="00DC602F"/>
    <w:rsid w:val="00DC607D"/>
    <w:rsid w:val="00DC64D4"/>
    <w:rsid w:val="00DC6E77"/>
    <w:rsid w:val="00DC6FE9"/>
    <w:rsid w:val="00DC7229"/>
    <w:rsid w:val="00DC7780"/>
    <w:rsid w:val="00DC778A"/>
    <w:rsid w:val="00DC78FE"/>
    <w:rsid w:val="00DC7B90"/>
    <w:rsid w:val="00DC7C67"/>
    <w:rsid w:val="00DC7D6A"/>
    <w:rsid w:val="00DC7DA7"/>
    <w:rsid w:val="00DC7E40"/>
    <w:rsid w:val="00DD0418"/>
    <w:rsid w:val="00DD0478"/>
    <w:rsid w:val="00DD08B3"/>
    <w:rsid w:val="00DD0BAC"/>
    <w:rsid w:val="00DD0C27"/>
    <w:rsid w:val="00DD1066"/>
    <w:rsid w:val="00DD1315"/>
    <w:rsid w:val="00DD179B"/>
    <w:rsid w:val="00DD18A0"/>
    <w:rsid w:val="00DD1C8E"/>
    <w:rsid w:val="00DD209C"/>
    <w:rsid w:val="00DD24F3"/>
    <w:rsid w:val="00DD2609"/>
    <w:rsid w:val="00DD27CC"/>
    <w:rsid w:val="00DD2D02"/>
    <w:rsid w:val="00DD2DB1"/>
    <w:rsid w:val="00DD2E62"/>
    <w:rsid w:val="00DD3339"/>
    <w:rsid w:val="00DD3A3B"/>
    <w:rsid w:val="00DD3A74"/>
    <w:rsid w:val="00DD3A7C"/>
    <w:rsid w:val="00DD4732"/>
    <w:rsid w:val="00DD5222"/>
    <w:rsid w:val="00DD5361"/>
    <w:rsid w:val="00DD53F3"/>
    <w:rsid w:val="00DD55FB"/>
    <w:rsid w:val="00DD5B57"/>
    <w:rsid w:val="00DD5E2D"/>
    <w:rsid w:val="00DD5FC6"/>
    <w:rsid w:val="00DD6019"/>
    <w:rsid w:val="00DD637A"/>
    <w:rsid w:val="00DD6646"/>
    <w:rsid w:val="00DD706B"/>
    <w:rsid w:val="00DD778E"/>
    <w:rsid w:val="00DD7C89"/>
    <w:rsid w:val="00DD7D42"/>
    <w:rsid w:val="00DD7E29"/>
    <w:rsid w:val="00DE01EB"/>
    <w:rsid w:val="00DE035A"/>
    <w:rsid w:val="00DE1446"/>
    <w:rsid w:val="00DE182B"/>
    <w:rsid w:val="00DE18C1"/>
    <w:rsid w:val="00DE1911"/>
    <w:rsid w:val="00DE1A4F"/>
    <w:rsid w:val="00DE2131"/>
    <w:rsid w:val="00DE21DF"/>
    <w:rsid w:val="00DE26F4"/>
    <w:rsid w:val="00DE2B42"/>
    <w:rsid w:val="00DE2E48"/>
    <w:rsid w:val="00DE2EA4"/>
    <w:rsid w:val="00DE3209"/>
    <w:rsid w:val="00DE3508"/>
    <w:rsid w:val="00DE369D"/>
    <w:rsid w:val="00DE36F7"/>
    <w:rsid w:val="00DE3F3F"/>
    <w:rsid w:val="00DE4139"/>
    <w:rsid w:val="00DE46AD"/>
    <w:rsid w:val="00DE4C6B"/>
    <w:rsid w:val="00DE4DC6"/>
    <w:rsid w:val="00DE5456"/>
    <w:rsid w:val="00DE550C"/>
    <w:rsid w:val="00DE5537"/>
    <w:rsid w:val="00DE576E"/>
    <w:rsid w:val="00DE579A"/>
    <w:rsid w:val="00DE5879"/>
    <w:rsid w:val="00DE5C51"/>
    <w:rsid w:val="00DE5DC2"/>
    <w:rsid w:val="00DE5FDE"/>
    <w:rsid w:val="00DE62ED"/>
    <w:rsid w:val="00DE63B4"/>
    <w:rsid w:val="00DE68FE"/>
    <w:rsid w:val="00DE697B"/>
    <w:rsid w:val="00DE6BBE"/>
    <w:rsid w:val="00DE7071"/>
    <w:rsid w:val="00DE74D2"/>
    <w:rsid w:val="00DE799E"/>
    <w:rsid w:val="00DE7BE5"/>
    <w:rsid w:val="00DE7CB4"/>
    <w:rsid w:val="00DF0251"/>
    <w:rsid w:val="00DF0AA4"/>
    <w:rsid w:val="00DF0B04"/>
    <w:rsid w:val="00DF0DFF"/>
    <w:rsid w:val="00DF107C"/>
    <w:rsid w:val="00DF1563"/>
    <w:rsid w:val="00DF173D"/>
    <w:rsid w:val="00DF17AE"/>
    <w:rsid w:val="00DF19DD"/>
    <w:rsid w:val="00DF206B"/>
    <w:rsid w:val="00DF2335"/>
    <w:rsid w:val="00DF238E"/>
    <w:rsid w:val="00DF23B3"/>
    <w:rsid w:val="00DF2671"/>
    <w:rsid w:val="00DF297F"/>
    <w:rsid w:val="00DF2EB1"/>
    <w:rsid w:val="00DF3514"/>
    <w:rsid w:val="00DF36E3"/>
    <w:rsid w:val="00DF3FBE"/>
    <w:rsid w:val="00DF42F7"/>
    <w:rsid w:val="00DF4464"/>
    <w:rsid w:val="00DF4CF4"/>
    <w:rsid w:val="00DF4EE9"/>
    <w:rsid w:val="00DF4FC8"/>
    <w:rsid w:val="00DF5357"/>
    <w:rsid w:val="00DF5409"/>
    <w:rsid w:val="00DF56F4"/>
    <w:rsid w:val="00DF5F87"/>
    <w:rsid w:val="00DF6697"/>
    <w:rsid w:val="00DF690C"/>
    <w:rsid w:val="00DF6947"/>
    <w:rsid w:val="00DF6E27"/>
    <w:rsid w:val="00DF7594"/>
    <w:rsid w:val="00DF7BBF"/>
    <w:rsid w:val="00DF7CBD"/>
    <w:rsid w:val="00DF7F17"/>
    <w:rsid w:val="00E000AD"/>
    <w:rsid w:val="00E001AB"/>
    <w:rsid w:val="00E00240"/>
    <w:rsid w:val="00E003C9"/>
    <w:rsid w:val="00E00726"/>
    <w:rsid w:val="00E00801"/>
    <w:rsid w:val="00E00A63"/>
    <w:rsid w:val="00E00FCB"/>
    <w:rsid w:val="00E01097"/>
    <w:rsid w:val="00E01AAA"/>
    <w:rsid w:val="00E023BC"/>
    <w:rsid w:val="00E023D9"/>
    <w:rsid w:val="00E02CAB"/>
    <w:rsid w:val="00E031E8"/>
    <w:rsid w:val="00E0320C"/>
    <w:rsid w:val="00E03552"/>
    <w:rsid w:val="00E035AA"/>
    <w:rsid w:val="00E03CA4"/>
    <w:rsid w:val="00E043BA"/>
    <w:rsid w:val="00E04444"/>
    <w:rsid w:val="00E04642"/>
    <w:rsid w:val="00E048D6"/>
    <w:rsid w:val="00E04AE5"/>
    <w:rsid w:val="00E04C89"/>
    <w:rsid w:val="00E04EA5"/>
    <w:rsid w:val="00E054FA"/>
    <w:rsid w:val="00E05DDE"/>
    <w:rsid w:val="00E062CB"/>
    <w:rsid w:val="00E06388"/>
    <w:rsid w:val="00E0658D"/>
    <w:rsid w:val="00E06667"/>
    <w:rsid w:val="00E0687A"/>
    <w:rsid w:val="00E06AB3"/>
    <w:rsid w:val="00E06EFC"/>
    <w:rsid w:val="00E07496"/>
    <w:rsid w:val="00E10594"/>
    <w:rsid w:val="00E1125F"/>
    <w:rsid w:val="00E11811"/>
    <w:rsid w:val="00E1193E"/>
    <w:rsid w:val="00E11D29"/>
    <w:rsid w:val="00E11E29"/>
    <w:rsid w:val="00E12140"/>
    <w:rsid w:val="00E12242"/>
    <w:rsid w:val="00E12D83"/>
    <w:rsid w:val="00E12DA4"/>
    <w:rsid w:val="00E1376D"/>
    <w:rsid w:val="00E1383E"/>
    <w:rsid w:val="00E13E4C"/>
    <w:rsid w:val="00E14AF8"/>
    <w:rsid w:val="00E14F4E"/>
    <w:rsid w:val="00E14F6D"/>
    <w:rsid w:val="00E15F26"/>
    <w:rsid w:val="00E15FEA"/>
    <w:rsid w:val="00E163EF"/>
    <w:rsid w:val="00E165F6"/>
    <w:rsid w:val="00E169E7"/>
    <w:rsid w:val="00E16F3E"/>
    <w:rsid w:val="00E1786A"/>
    <w:rsid w:val="00E17A88"/>
    <w:rsid w:val="00E20571"/>
    <w:rsid w:val="00E206FF"/>
    <w:rsid w:val="00E20D80"/>
    <w:rsid w:val="00E2122D"/>
    <w:rsid w:val="00E214F8"/>
    <w:rsid w:val="00E216E7"/>
    <w:rsid w:val="00E2194B"/>
    <w:rsid w:val="00E21A03"/>
    <w:rsid w:val="00E22539"/>
    <w:rsid w:val="00E22643"/>
    <w:rsid w:val="00E2289D"/>
    <w:rsid w:val="00E22934"/>
    <w:rsid w:val="00E22F2C"/>
    <w:rsid w:val="00E236C8"/>
    <w:rsid w:val="00E23C1E"/>
    <w:rsid w:val="00E243AD"/>
    <w:rsid w:val="00E247B8"/>
    <w:rsid w:val="00E24901"/>
    <w:rsid w:val="00E25040"/>
    <w:rsid w:val="00E2504E"/>
    <w:rsid w:val="00E25941"/>
    <w:rsid w:val="00E25ED4"/>
    <w:rsid w:val="00E26132"/>
    <w:rsid w:val="00E26991"/>
    <w:rsid w:val="00E2720A"/>
    <w:rsid w:val="00E2783C"/>
    <w:rsid w:val="00E27AE0"/>
    <w:rsid w:val="00E27E5A"/>
    <w:rsid w:val="00E27E91"/>
    <w:rsid w:val="00E27F5E"/>
    <w:rsid w:val="00E303F9"/>
    <w:rsid w:val="00E3041B"/>
    <w:rsid w:val="00E30675"/>
    <w:rsid w:val="00E30AFE"/>
    <w:rsid w:val="00E30B14"/>
    <w:rsid w:val="00E30CEB"/>
    <w:rsid w:val="00E3113D"/>
    <w:rsid w:val="00E31320"/>
    <w:rsid w:val="00E31399"/>
    <w:rsid w:val="00E3146A"/>
    <w:rsid w:val="00E3180C"/>
    <w:rsid w:val="00E32034"/>
    <w:rsid w:val="00E32286"/>
    <w:rsid w:val="00E326B0"/>
    <w:rsid w:val="00E327BB"/>
    <w:rsid w:val="00E32DA6"/>
    <w:rsid w:val="00E32FCB"/>
    <w:rsid w:val="00E33421"/>
    <w:rsid w:val="00E334EB"/>
    <w:rsid w:val="00E3360A"/>
    <w:rsid w:val="00E3371E"/>
    <w:rsid w:val="00E337D0"/>
    <w:rsid w:val="00E33A09"/>
    <w:rsid w:val="00E33C59"/>
    <w:rsid w:val="00E341F8"/>
    <w:rsid w:val="00E34332"/>
    <w:rsid w:val="00E3443D"/>
    <w:rsid w:val="00E34564"/>
    <w:rsid w:val="00E348D1"/>
    <w:rsid w:val="00E34CA5"/>
    <w:rsid w:val="00E34D00"/>
    <w:rsid w:val="00E35CDC"/>
    <w:rsid w:val="00E35D38"/>
    <w:rsid w:val="00E3603A"/>
    <w:rsid w:val="00E3611B"/>
    <w:rsid w:val="00E36637"/>
    <w:rsid w:val="00E368D0"/>
    <w:rsid w:val="00E36DD0"/>
    <w:rsid w:val="00E3709D"/>
    <w:rsid w:val="00E374A0"/>
    <w:rsid w:val="00E3755B"/>
    <w:rsid w:val="00E37582"/>
    <w:rsid w:val="00E37638"/>
    <w:rsid w:val="00E37B82"/>
    <w:rsid w:val="00E37EDC"/>
    <w:rsid w:val="00E37EFC"/>
    <w:rsid w:val="00E40295"/>
    <w:rsid w:val="00E402B6"/>
    <w:rsid w:val="00E40A21"/>
    <w:rsid w:val="00E40F1B"/>
    <w:rsid w:val="00E41A15"/>
    <w:rsid w:val="00E41B37"/>
    <w:rsid w:val="00E426A6"/>
    <w:rsid w:val="00E42B60"/>
    <w:rsid w:val="00E433AE"/>
    <w:rsid w:val="00E4362B"/>
    <w:rsid w:val="00E43B09"/>
    <w:rsid w:val="00E43C8D"/>
    <w:rsid w:val="00E4453F"/>
    <w:rsid w:val="00E44B14"/>
    <w:rsid w:val="00E44CFB"/>
    <w:rsid w:val="00E44D8C"/>
    <w:rsid w:val="00E4502B"/>
    <w:rsid w:val="00E45351"/>
    <w:rsid w:val="00E45941"/>
    <w:rsid w:val="00E46172"/>
    <w:rsid w:val="00E4649A"/>
    <w:rsid w:val="00E46B24"/>
    <w:rsid w:val="00E46D68"/>
    <w:rsid w:val="00E4739B"/>
    <w:rsid w:val="00E47466"/>
    <w:rsid w:val="00E4755F"/>
    <w:rsid w:val="00E47D67"/>
    <w:rsid w:val="00E47E20"/>
    <w:rsid w:val="00E50508"/>
    <w:rsid w:val="00E5064B"/>
    <w:rsid w:val="00E508DF"/>
    <w:rsid w:val="00E5092B"/>
    <w:rsid w:val="00E5119B"/>
    <w:rsid w:val="00E5144B"/>
    <w:rsid w:val="00E515EC"/>
    <w:rsid w:val="00E516A6"/>
    <w:rsid w:val="00E5193F"/>
    <w:rsid w:val="00E51C75"/>
    <w:rsid w:val="00E51C77"/>
    <w:rsid w:val="00E51D55"/>
    <w:rsid w:val="00E51E61"/>
    <w:rsid w:val="00E52163"/>
    <w:rsid w:val="00E5233F"/>
    <w:rsid w:val="00E524D6"/>
    <w:rsid w:val="00E52866"/>
    <w:rsid w:val="00E52CFF"/>
    <w:rsid w:val="00E52F04"/>
    <w:rsid w:val="00E52F53"/>
    <w:rsid w:val="00E530FC"/>
    <w:rsid w:val="00E53354"/>
    <w:rsid w:val="00E53AF2"/>
    <w:rsid w:val="00E53C8E"/>
    <w:rsid w:val="00E5420D"/>
    <w:rsid w:val="00E5431E"/>
    <w:rsid w:val="00E543D7"/>
    <w:rsid w:val="00E54553"/>
    <w:rsid w:val="00E546DC"/>
    <w:rsid w:val="00E54860"/>
    <w:rsid w:val="00E54C6B"/>
    <w:rsid w:val="00E54C9E"/>
    <w:rsid w:val="00E54D08"/>
    <w:rsid w:val="00E54EF2"/>
    <w:rsid w:val="00E5531F"/>
    <w:rsid w:val="00E5535A"/>
    <w:rsid w:val="00E555BE"/>
    <w:rsid w:val="00E556CA"/>
    <w:rsid w:val="00E559FE"/>
    <w:rsid w:val="00E55D50"/>
    <w:rsid w:val="00E56180"/>
    <w:rsid w:val="00E561FB"/>
    <w:rsid w:val="00E56252"/>
    <w:rsid w:val="00E562AF"/>
    <w:rsid w:val="00E56535"/>
    <w:rsid w:val="00E568FC"/>
    <w:rsid w:val="00E56966"/>
    <w:rsid w:val="00E56A72"/>
    <w:rsid w:val="00E56C3C"/>
    <w:rsid w:val="00E571B4"/>
    <w:rsid w:val="00E605FE"/>
    <w:rsid w:val="00E60C95"/>
    <w:rsid w:val="00E60D03"/>
    <w:rsid w:val="00E60D7E"/>
    <w:rsid w:val="00E6129E"/>
    <w:rsid w:val="00E61727"/>
    <w:rsid w:val="00E6185D"/>
    <w:rsid w:val="00E61A1E"/>
    <w:rsid w:val="00E61A9B"/>
    <w:rsid w:val="00E61B8A"/>
    <w:rsid w:val="00E6204C"/>
    <w:rsid w:val="00E62113"/>
    <w:rsid w:val="00E62508"/>
    <w:rsid w:val="00E62779"/>
    <w:rsid w:val="00E6294E"/>
    <w:rsid w:val="00E62C42"/>
    <w:rsid w:val="00E62EF7"/>
    <w:rsid w:val="00E630E7"/>
    <w:rsid w:val="00E6343F"/>
    <w:rsid w:val="00E63457"/>
    <w:rsid w:val="00E635EB"/>
    <w:rsid w:val="00E63EB2"/>
    <w:rsid w:val="00E644E4"/>
    <w:rsid w:val="00E64703"/>
    <w:rsid w:val="00E651DF"/>
    <w:rsid w:val="00E655C3"/>
    <w:rsid w:val="00E6566C"/>
    <w:rsid w:val="00E6579F"/>
    <w:rsid w:val="00E657D8"/>
    <w:rsid w:val="00E65B6B"/>
    <w:rsid w:val="00E66286"/>
    <w:rsid w:val="00E668B2"/>
    <w:rsid w:val="00E66ED5"/>
    <w:rsid w:val="00E66FF5"/>
    <w:rsid w:val="00E67089"/>
    <w:rsid w:val="00E672E5"/>
    <w:rsid w:val="00E675BA"/>
    <w:rsid w:val="00E67B4C"/>
    <w:rsid w:val="00E67BB8"/>
    <w:rsid w:val="00E67E04"/>
    <w:rsid w:val="00E7005D"/>
    <w:rsid w:val="00E700C6"/>
    <w:rsid w:val="00E70340"/>
    <w:rsid w:val="00E7035D"/>
    <w:rsid w:val="00E70414"/>
    <w:rsid w:val="00E704DD"/>
    <w:rsid w:val="00E70614"/>
    <w:rsid w:val="00E70E46"/>
    <w:rsid w:val="00E712D2"/>
    <w:rsid w:val="00E714AA"/>
    <w:rsid w:val="00E718DC"/>
    <w:rsid w:val="00E71D96"/>
    <w:rsid w:val="00E72411"/>
    <w:rsid w:val="00E725B1"/>
    <w:rsid w:val="00E7300D"/>
    <w:rsid w:val="00E73019"/>
    <w:rsid w:val="00E7331E"/>
    <w:rsid w:val="00E73406"/>
    <w:rsid w:val="00E734D5"/>
    <w:rsid w:val="00E73599"/>
    <w:rsid w:val="00E7359F"/>
    <w:rsid w:val="00E7360C"/>
    <w:rsid w:val="00E73F4D"/>
    <w:rsid w:val="00E74007"/>
    <w:rsid w:val="00E7412D"/>
    <w:rsid w:val="00E74144"/>
    <w:rsid w:val="00E74506"/>
    <w:rsid w:val="00E74672"/>
    <w:rsid w:val="00E74C97"/>
    <w:rsid w:val="00E75367"/>
    <w:rsid w:val="00E75F6E"/>
    <w:rsid w:val="00E75F9A"/>
    <w:rsid w:val="00E762F4"/>
    <w:rsid w:val="00E76AB1"/>
    <w:rsid w:val="00E76AD6"/>
    <w:rsid w:val="00E76CA0"/>
    <w:rsid w:val="00E76DC7"/>
    <w:rsid w:val="00E76E46"/>
    <w:rsid w:val="00E76FDD"/>
    <w:rsid w:val="00E77222"/>
    <w:rsid w:val="00E77228"/>
    <w:rsid w:val="00E7764F"/>
    <w:rsid w:val="00E777EB"/>
    <w:rsid w:val="00E77BB0"/>
    <w:rsid w:val="00E77F07"/>
    <w:rsid w:val="00E80999"/>
    <w:rsid w:val="00E8099D"/>
    <w:rsid w:val="00E80A0A"/>
    <w:rsid w:val="00E80CE1"/>
    <w:rsid w:val="00E8101A"/>
    <w:rsid w:val="00E81104"/>
    <w:rsid w:val="00E816E9"/>
    <w:rsid w:val="00E817E9"/>
    <w:rsid w:val="00E81AE4"/>
    <w:rsid w:val="00E81AE8"/>
    <w:rsid w:val="00E81C13"/>
    <w:rsid w:val="00E81C34"/>
    <w:rsid w:val="00E8207C"/>
    <w:rsid w:val="00E820D3"/>
    <w:rsid w:val="00E8236B"/>
    <w:rsid w:val="00E82388"/>
    <w:rsid w:val="00E82A30"/>
    <w:rsid w:val="00E82C71"/>
    <w:rsid w:val="00E82C95"/>
    <w:rsid w:val="00E82EEA"/>
    <w:rsid w:val="00E8342C"/>
    <w:rsid w:val="00E836FB"/>
    <w:rsid w:val="00E837EE"/>
    <w:rsid w:val="00E83DE5"/>
    <w:rsid w:val="00E83E31"/>
    <w:rsid w:val="00E84071"/>
    <w:rsid w:val="00E847CA"/>
    <w:rsid w:val="00E84843"/>
    <w:rsid w:val="00E84AE8"/>
    <w:rsid w:val="00E850E2"/>
    <w:rsid w:val="00E850F0"/>
    <w:rsid w:val="00E8525A"/>
    <w:rsid w:val="00E86A9D"/>
    <w:rsid w:val="00E86FAA"/>
    <w:rsid w:val="00E8730B"/>
    <w:rsid w:val="00E87323"/>
    <w:rsid w:val="00E87DE4"/>
    <w:rsid w:val="00E900B1"/>
    <w:rsid w:val="00E90150"/>
    <w:rsid w:val="00E901CE"/>
    <w:rsid w:val="00E906F0"/>
    <w:rsid w:val="00E917FC"/>
    <w:rsid w:val="00E91927"/>
    <w:rsid w:val="00E91C6C"/>
    <w:rsid w:val="00E91E33"/>
    <w:rsid w:val="00E91F47"/>
    <w:rsid w:val="00E920B2"/>
    <w:rsid w:val="00E92187"/>
    <w:rsid w:val="00E9248D"/>
    <w:rsid w:val="00E92828"/>
    <w:rsid w:val="00E92DF2"/>
    <w:rsid w:val="00E92F82"/>
    <w:rsid w:val="00E93410"/>
    <w:rsid w:val="00E935E8"/>
    <w:rsid w:val="00E93822"/>
    <w:rsid w:val="00E93DB8"/>
    <w:rsid w:val="00E948A2"/>
    <w:rsid w:val="00E94B24"/>
    <w:rsid w:val="00E94C72"/>
    <w:rsid w:val="00E94F1E"/>
    <w:rsid w:val="00E95445"/>
    <w:rsid w:val="00E955B5"/>
    <w:rsid w:val="00E95638"/>
    <w:rsid w:val="00E9571F"/>
    <w:rsid w:val="00E95798"/>
    <w:rsid w:val="00E9596C"/>
    <w:rsid w:val="00E95B73"/>
    <w:rsid w:val="00E96042"/>
    <w:rsid w:val="00E96511"/>
    <w:rsid w:val="00E9694E"/>
    <w:rsid w:val="00E96A29"/>
    <w:rsid w:val="00E96A99"/>
    <w:rsid w:val="00E974D2"/>
    <w:rsid w:val="00E9762A"/>
    <w:rsid w:val="00E97BD2"/>
    <w:rsid w:val="00E97C7B"/>
    <w:rsid w:val="00E97D1B"/>
    <w:rsid w:val="00E97EF6"/>
    <w:rsid w:val="00EA0170"/>
    <w:rsid w:val="00EA0954"/>
    <w:rsid w:val="00EA0DF2"/>
    <w:rsid w:val="00EA1331"/>
    <w:rsid w:val="00EA1395"/>
    <w:rsid w:val="00EA13BA"/>
    <w:rsid w:val="00EA15FD"/>
    <w:rsid w:val="00EA1A4A"/>
    <w:rsid w:val="00EA1C58"/>
    <w:rsid w:val="00EA1CDB"/>
    <w:rsid w:val="00EA1DD6"/>
    <w:rsid w:val="00EA2134"/>
    <w:rsid w:val="00EA22EC"/>
    <w:rsid w:val="00EA2AFD"/>
    <w:rsid w:val="00EA2C23"/>
    <w:rsid w:val="00EA31AD"/>
    <w:rsid w:val="00EA35C8"/>
    <w:rsid w:val="00EA36DD"/>
    <w:rsid w:val="00EA40BB"/>
    <w:rsid w:val="00EA42D6"/>
    <w:rsid w:val="00EA42F8"/>
    <w:rsid w:val="00EA4433"/>
    <w:rsid w:val="00EA4A74"/>
    <w:rsid w:val="00EA551B"/>
    <w:rsid w:val="00EA5762"/>
    <w:rsid w:val="00EA579D"/>
    <w:rsid w:val="00EA5B92"/>
    <w:rsid w:val="00EA5D69"/>
    <w:rsid w:val="00EA5F86"/>
    <w:rsid w:val="00EA62F4"/>
    <w:rsid w:val="00EA6865"/>
    <w:rsid w:val="00EA6E68"/>
    <w:rsid w:val="00EA6E7E"/>
    <w:rsid w:val="00EA7721"/>
    <w:rsid w:val="00EA774D"/>
    <w:rsid w:val="00EA7837"/>
    <w:rsid w:val="00EA78B6"/>
    <w:rsid w:val="00EA79DB"/>
    <w:rsid w:val="00EA79F9"/>
    <w:rsid w:val="00EA7EB5"/>
    <w:rsid w:val="00EB007B"/>
    <w:rsid w:val="00EB0703"/>
    <w:rsid w:val="00EB0ACF"/>
    <w:rsid w:val="00EB0C85"/>
    <w:rsid w:val="00EB0D27"/>
    <w:rsid w:val="00EB12BF"/>
    <w:rsid w:val="00EB16C9"/>
    <w:rsid w:val="00EB17C6"/>
    <w:rsid w:val="00EB18C5"/>
    <w:rsid w:val="00EB1EF7"/>
    <w:rsid w:val="00EB1F6C"/>
    <w:rsid w:val="00EB2770"/>
    <w:rsid w:val="00EB2DA6"/>
    <w:rsid w:val="00EB2E19"/>
    <w:rsid w:val="00EB2FEC"/>
    <w:rsid w:val="00EB3533"/>
    <w:rsid w:val="00EB3CC5"/>
    <w:rsid w:val="00EB3CEC"/>
    <w:rsid w:val="00EB4339"/>
    <w:rsid w:val="00EB49D3"/>
    <w:rsid w:val="00EB4EF7"/>
    <w:rsid w:val="00EB4F76"/>
    <w:rsid w:val="00EB5213"/>
    <w:rsid w:val="00EB5260"/>
    <w:rsid w:val="00EB528A"/>
    <w:rsid w:val="00EB56AD"/>
    <w:rsid w:val="00EB5E0B"/>
    <w:rsid w:val="00EB6569"/>
    <w:rsid w:val="00EB715C"/>
    <w:rsid w:val="00EB72C9"/>
    <w:rsid w:val="00EB73F3"/>
    <w:rsid w:val="00EB7E24"/>
    <w:rsid w:val="00EC01FE"/>
    <w:rsid w:val="00EC063D"/>
    <w:rsid w:val="00EC079C"/>
    <w:rsid w:val="00EC0913"/>
    <w:rsid w:val="00EC113B"/>
    <w:rsid w:val="00EC1371"/>
    <w:rsid w:val="00EC1465"/>
    <w:rsid w:val="00EC1BC4"/>
    <w:rsid w:val="00EC1DE3"/>
    <w:rsid w:val="00EC21AE"/>
    <w:rsid w:val="00EC2975"/>
    <w:rsid w:val="00EC370B"/>
    <w:rsid w:val="00EC3A27"/>
    <w:rsid w:val="00EC3BED"/>
    <w:rsid w:val="00EC3D8A"/>
    <w:rsid w:val="00EC3DE8"/>
    <w:rsid w:val="00EC3E78"/>
    <w:rsid w:val="00EC448B"/>
    <w:rsid w:val="00EC4E71"/>
    <w:rsid w:val="00EC4EA3"/>
    <w:rsid w:val="00EC4F2E"/>
    <w:rsid w:val="00EC5229"/>
    <w:rsid w:val="00EC54E0"/>
    <w:rsid w:val="00EC5726"/>
    <w:rsid w:val="00EC59B5"/>
    <w:rsid w:val="00EC5C92"/>
    <w:rsid w:val="00EC5DBD"/>
    <w:rsid w:val="00EC60C6"/>
    <w:rsid w:val="00EC60ED"/>
    <w:rsid w:val="00EC60F9"/>
    <w:rsid w:val="00EC685F"/>
    <w:rsid w:val="00EC689E"/>
    <w:rsid w:val="00EC68E9"/>
    <w:rsid w:val="00EC6A99"/>
    <w:rsid w:val="00EC6CE3"/>
    <w:rsid w:val="00EC6E18"/>
    <w:rsid w:val="00EC6F0F"/>
    <w:rsid w:val="00EC73CD"/>
    <w:rsid w:val="00EC7B94"/>
    <w:rsid w:val="00ED009D"/>
    <w:rsid w:val="00ED00DC"/>
    <w:rsid w:val="00ED0162"/>
    <w:rsid w:val="00ED01FD"/>
    <w:rsid w:val="00ED04F6"/>
    <w:rsid w:val="00ED0CA6"/>
    <w:rsid w:val="00ED1191"/>
    <w:rsid w:val="00ED13EA"/>
    <w:rsid w:val="00ED1617"/>
    <w:rsid w:val="00ED176E"/>
    <w:rsid w:val="00ED1B6C"/>
    <w:rsid w:val="00ED23AB"/>
    <w:rsid w:val="00ED2580"/>
    <w:rsid w:val="00ED2623"/>
    <w:rsid w:val="00ED2958"/>
    <w:rsid w:val="00ED2AF5"/>
    <w:rsid w:val="00ED304E"/>
    <w:rsid w:val="00ED30FE"/>
    <w:rsid w:val="00ED347D"/>
    <w:rsid w:val="00ED3E3B"/>
    <w:rsid w:val="00ED469D"/>
    <w:rsid w:val="00ED482F"/>
    <w:rsid w:val="00ED51E7"/>
    <w:rsid w:val="00ED62A8"/>
    <w:rsid w:val="00ED6365"/>
    <w:rsid w:val="00ED66D4"/>
    <w:rsid w:val="00ED6DAC"/>
    <w:rsid w:val="00ED6DFD"/>
    <w:rsid w:val="00ED7902"/>
    <w:rsid w:val="00ED7B67"/>
    <w:rsid w:val="00ED7E5B"/>
    <w:rsid w:val="00EE0206"/>
    <w:rsid w:val="00EE0CAC"/>
    <w:rsid w:val="00EE13A9"/>
    <w:rsid w:val="00EE1738"/>
    <w:rsid w:val="00EE180C"/>
    <w:rsid w:val="00EE1C87"/>
    <w:rsid w:val="00EE1E48"/>
    <w:rsid w:val="00EE1FF8"/>
    <w:rsid w:val="00EE22A5"/>
    <w:rsid w:val="00EE2555"/>
    <w:rsid w:val="00EE2AAD"/>
    <w:rsid w:val="00EE2B8B"/>
    <w:rsid w:val="00EE2C54"/>
    <w:rsid w:val="00EE2C77"/>
    <w:rsid w:val="00EE31FB"/>
    <w:rsid w:val="00EE3350"/>
    <w:rsid w:val="00EE33AE"/>
    <w:rsid w:val="00EE370F"/>
    <w:rsid w:val="00EE3B42"/>
    <w:rsid w:val="00EE3FCF"/>
    <w:rsid w:val="00EE3FD5"/>
    <w:rsid w:val="00EE3FF3"/>
    <w:rsid w:val="00EE4115"/>
    <w:rsid w:val="00EE4187"/>
    <w:rsid w:val="00EE4B75"/>
    <w:rsid w:val="00EE4BCA"/>
    <w:rsid w:val="00EE4C75"/>
    <w:rsid w:val="00EE4D4D"/>
    <w:rsid w:val="00EE4E62"/>
    <w:rsid w:val="00EE5247"/>
    <w:rsid w:val="00EE5496"/>
    <w:rsid w:val="00EE5C9D"/>
    <w:rsid w:val="00EE5D03"/>
    <w:rsid w:val="00EE61EE"/>
    <w:rsid w:val="00EE6626"/>
    <w:rsid w:val="00EE66FD"/>
    <w:rsid w:val="00EE6720"/>
    <w:rsid w:val="00EE697B"/>
    <w:rsid w:val="00EE6B7C"/>
    <w:rsid w:val="00EE6C8D"/>
    <w:rsid w:val="00EE74F9"/>
    <w:rsid w:val="00EE796F"/>
    <w:rsid w:val="00EE7986"/>
    <w:rsid w:val="00EE7992"/>
    <w:rsid w:val="00EE7BE6"/>
    <w:rsid w:val="00EF096B"/>
    <w:rsid w:val="00EF110B"/>
    <w:rsid w:val="00EF121C"/>
    <w:rsid w:val="00EF12D3"/>
    <w:rsid w:val="00EF16E2"/>
    <w:rsid w:val="00EF19A4"/>
    <w:rsid w:val="00EF2839"/>
    <w:rsid w:val="00EF2E27"/>
    <w:rsid w:val="00EF2EEB"/>
    <w:rsid w:val="00EF3092"/>
    <w:rsid w:val="00EF3688"/>
    <w:rsid w:val="00EF3D78"/>
    <w:rsid w:val="00EF3EFB"/>
    <w:rsid w:val="00EF403E"/>
    <w:rsid w:val="00EF4DB0"/>
    <w:rsid w:val="00EF60BE"/>
    <w:rsid w:val="00EF62F7"/>
    <w:rsid w:val="00EF636B"/>
    <w:rsid w:val="00EF6432"/>
    <w:rsid w:val="00EF65D3"/>
    <w:rsid w:val="00EF69F6"/>
    <w:rsid w:val="00EF6D67"/>
    <w:rsid w:val="00EF6D85"/>
    <w:rsid w:val="00EF6ED2"/>
    <w:rsid w:val="00EF7268"/>
    <w:rsid w:val="00EF74C0"/>
    <w:rsid w:val="00F00041"/>
    <w:rsid w:val="00F0009A"/>
    <w:rsid w:val="00F000DB"/>
    <w:rsid w:val="00F0023C"/>
    <w:rsid w:val="00F0039C"/>
    <w:rsid w:val="00F0078B"/>
    <w:rsid w:val="00F00B15"/>
    <w:rsid w:val="00F00DA2"/>
    <w:rsid w:val="00F00F50"/>
    <w:rsid w:val="00F01A01"/>
    <w:rsid w:val="00F021BE"/>
    <w:rsid w:val="00F024E8"/>
    <w:rsid w:val="00F02545"/>
    <w:rsid w:val="00F02695"/>
    <w:rsid w:val="00F026FA"/>
    <w:rsid w:val="00F027BE"/>
    <w:rsid w:val="00F02B9A"/>
    <w:rsid w:val="00F02C0B"/>
    <w:rsid w:val="00F02D1D"/>
    <w:rsid w:val="00F02D78"/>
    <w:rsid w:val="00F02EC7"/>
    <w:rsid w:val="00F0355A"/>
    <w:rsid w:val="00F0393A"/>
    <w:rsid w:val="00F03CBE"/>
    <w:rsid w:val="00F03EA5"/>
    <w:rsid w:val="00F04AA4"/>
    <w:rsid w:val="00F04F10"/>
    <w:rsid w:val="00F055F0"/>
    <w:rsid w:val="00F05B94"/>
    <w:rsid w:val="00F05EDC"/>
    <w:rsid w:val="00F06573"/>
    <w:rsid w:val="00F06773"/>
    <w:rsid w:val="00F06BC4"/>
    <w:rsid w:val="00F06F05"/>
    <w:rsid w:val="00F0723D"/>
    <w:rsid w:val="00F07331"/>
    <w:rsid w:val="00F07933"/>
    <w:rsid w:val="00F07E56"/>
    <w:rsid w:val="00F10A65"/>
    <w:rsid w:val="00F10D10"/>
    <w:rsid w:val="00F1100E"/>
    <w:rsid w:val="00F11054"/>
    <w:rsid w:val="00F114AA"/>
    <w:rsid w:val="00F11502"/>
    <w:rsid w:val="00F11C24"/>
    <w:rsid w:val="00F11FD1"/>
    <w:rsid w:val="00F123F8"/>
    <w:rsid w:val="00F12729"/>
    <w:rsid w:val="00F12767"/>
    <w:rsid w:val="00F12C05"/>
    <w:rsid w:val="00F1328E"/>
    <w:rsid w:val="00F1371C"/>
    <w:rsid w:val="00F13B9F"/>
    <w:rsid w:val="00F1419D"/>
    <w:rsid w:val="00F15445"/>
    <w:rsid w:val="00F154AE"/>
    <w:rsid w:val="00F15513"/>
    <w:rsid w:val="00F155D1"/>
    <w:rsid w:val="00F160AC"/>
    <w:rsid w:val="00F16250"/>
    <w:rsid w:val="00F1653A"/>
    <w:rsid w:val="00F16989"/>
    <w:rsid w:val="00F16A7C"/>
    <w:rsid w:val="00F16EA2"/>
    <w:rsid w:val="00F16FE8"/>
    <w:rsid w:val="00F17508"/>
    <w:rsid w:val="00F177C5"/>
    <w:rsid w:val="00F17879"/>
    <w:rsid w:val="00F178BF"/>
    <w:rsid w:val="00F178CC"/>
    <w:rsid w:val="00F17D10"/>
    <w:rsid w:val="00F17F11"/>
    <w:rsid w:val="00F206B3"/>
    <w:rsid w:val="00F2084E"/>
    <w:rsid w:val="00F20DBE"/>
    <w:rsid w:val="00F210A0"/>
    <w:rsid w:val="00F210B8"/>
    <w:rsid w:val="00F2115E"/>
    <w:rsid w:val="00F21161"/>
    <w:rsid w:val="00F212CF"/>
    <w:rsid w:val="00F212F2"/>
    <w:rsid w:val="00F2170F"/>
    <w:rsid w:val="00F218DB"/>
    <w:rsid w:val="00F21966"/>
    <w:rsid w:val="00F21AED"/>
    <w:rsid w:val="00F21C0A"/>
    <w:rsid w:val="00F21C5D"/>
    <w:rsid w:val="00F21F36"/>
    <w:rsid w:val="00F21FF2"/>
    <w:rsid w:val="00F22256"/>
    <w:rsid w:val="00F22580"/>
    <w:rsid w:val="00F22597"/>
    <w:rsid w:val="00F225AB"/>
    <w:rsid w:val="00F227FE"/>
    <w:rsid w:val="00F22A0C"/>
    <w:rsid w:val="00F22AE9"/>
    <w:rsid w:val="00F230B8"/>
    <w:rsid w:val="00F2373B"/>
    <w:rsid w:val="00F23B96"/>
    <w:rsid w:val="00F23D4B"/>
    <w:rsid w:val="00F23DF3"/>
    <w:rsid w:val="00F23E4E"/>
    <w:rsid w:val="00F249C6"/>
    <w:rsid w:val="00F24D1C"/>
    <w:rsid w:val="00F24FEC"/>
    <w:rsid w:val="00F25340"/>
    <w:rsid w:val="00F25396"/>
    <w:rsid w:val="00F2577A"/>
    <w:rsid w:val="00F257EF"/>
    <w:rsid w:val="00F25806"/>
    <w:rsid w:val="00F259AF"/>
    <w:rsid w:val="00F25FE3"/>
    <w:rsid w:val="00F268F1"/>
    <w:rsid w:val="00F269AE"/>
    <w:rsid w:val="00F26CE3"/>
    <w:rsid w:val="00F26F5B"/>
    <w:rsid w:val="00F272EE"/>
    <w:rsid w:val="00F2738E"/>
    <w:rsid w:val="00F27538"/>
    <w:rsid w:val="00F2796D"/>
    <w:rsid w:val="00F27FDB"/>
    <w:rsid w:val="00F30777"/>
    <w:rsid w:val="00F3086D"/>
    <w:rsid w:val="00F30CA3"/>
    <w:rsid w:val="00F312B5"/>
    <w:rsid w:val="00F312C5"/>
    <w:rsid w:val="00F31C34"/>
    <w:rsid w:val="00F31EA6"/>
    <w:rsid w:val="00F31F0C"/>
    <w:rsid w:val="00F32034"/>
    <w:rsid w:val="00F321BA"/>
    <w:rsid w:val="00F324C9"/>
    <w:rsid w:val="00F3254F"/>
    <w:rsid w:val="00F326FE"/>
    <w:rsid w:val="00F32A2E"/>
    <w:rsid w:val="00F33131"/>
    <w:rsid w:val="00F334AA"/>
    <w:rsid w:val="00F33611"/>
    <w:rsid w:val="00F336AC"/>
    <w:rsid w:val="00F337F7"/>
    <w:rsid w:val="00F338F7"/>
    <w:rsid w:val="00F33B2C"/>
    <w:rsid w:val="00F33CBB"/>
    <w:rsid w:val="00F33CF2"/>
    <w:rsid w:val="00F341AF"/>
    <w:rsid w:val="00F34418"/>
    <w:rsid w:val="00F347F6"/>
    <w:rsid w:val="00F350A9"/>
    <w:rsid w:val="00F35AC9"/>
    <w:rsid w:val="00F35AD9"/>
    <w:rsid w:val="00F35B0E"/>
    <w:rsid w:val="00F35B19"/>
    <w:rsid w:val="00F35B3C"/>
    <w:rsid w:val="00F35E8F"/>
    <w:rsid w:val="00F360DF"/>
    <w:rsid w:val="00F362AA"/>
    <w:rsid w:val="00F3649D"/>
    <w:rsid w:val="00F36877"/>
    <w:rsid w:val="00F36935"/>
    <w:rsid w:val="00F36A70"/>
    <w:rsid w:val="00F3743C"/>
    <w:rsid w:val="00F3775F"/>
    <w:rsid w:val="00F379D3"/>
    <w:rsid w:val="00F37BAF"/>
    <w:rsid w:val="00F37BDA"/>
    <w:rsid w:val="00F37D94"/>
    <w:rsid w:val="00F400DD"/>
    <w:rsid w:val="00F40222"/>
    <w:rsid w:val="00F40571"/>
    <w:rsid w:val="00F40620"/>
    <w:rsid w:val="00F4076C"/>
    <w:rsid w:val="00F40C43"/>
    <w:rsid w:val="00F40C9C"/>
    <w:rsid w:val="00F41167"/>
    <w:rsid w:val="00F41284"/>
    <w:rsid w:val="00F41870"/>
    <w:rsid w:val="00F41896"/>
    <w:rsid w:val="00F41E1D"/>
    <w:rsid w:val="00F42044"/>
    <w:rsid w:val="00F42131"/>
    <w:rsid w:val="00F421C9"/>
    <w:rsid w:val="00F42A33"/>
    <w:rsid w:val="00F42C25"/>
    <w:rsid w:val="00F42EA1"/>
    <w:rsid w:val="00F43162"/>
    <w:rsid w:val="00F437AE"/>
    <w:rsid w:val="00F4380B"/>
    <w:rsid w:val="00F43AFD"/>
    <w:rsid w:val="00F43BA6"/>
    <w:rsid w:val="00F43D23"/>
    <w:rsid w:val="00F440F5"/>
    <w:rsid w:val="00F4435F"/>
    <w:rsid w:val="00F445BA"/>
    <w:rsid w:val="00F445E8"/>
    <w:rsid w:val="00F44892"/>
    <w:rsid w:val="00F44BCC"/>
    <w:rsid w:val="00F45C22"/>
    <w:rsid w:val="00F460B2"/>
    <w:rsid w:val="00F469B1"/>
    <w:rsid w:val="00F469BD"/>
    <w:rsid w:val="00F46AD2"/>
    <w:rsid w:val="00F46C2C"/>
    <w:rsid w:val="00F47002"/>
    <w:rsid w:val="00F47070"/>
    <w:rsid w:val="00F47140"/>
    <w:rsid w:val="00F47828"/>
    <w:rsid w:val="00F4785F"/>
    <w:rsid w:val="00F479EA"/>
    <w:rsid w:val="00F47FC8"/>
    <w:rsid w:val="00F50101"/>
    <w:rsid w:val="00F502FC"/>
    <w:rsid w:val="00F5077A"/>
    <w:rsid w:val="00F509A7"/>
    <w:rsid w:val="00F50A68"/>
    <w:rsid w:val="00F50BC1"/>
    <w:rsid w:val="00F50BF3"/>
    <w:rsid w:val="00F50E9D"/>
    <w:rsid w:val="00F50FAE"/>
    <w:rsid w:val="00F51880"/>
    <w:rsid w:val="00F51FE9"/>
    <w:rsid w:val="00F52130"/>
    <w:rsid w:val="00F521CC"/>
    <w:rsid w:val="00F526AB"/>
    <w:rsid w:val="00F52AA7"/>
    <w:rsid w:val="00F52D57"/>
    <w:rsid w:val="00F53050"/>
    <w:rsid w:val="00F5305A"/>
    <w:rsid w:val="00F5340D"/>
    <w:rsid w:val="00F53451"/>
    <w:rsid w:val="00F53961"/>
    <w:rsid w:val="00F53980"/>
    <w:rsid w:val="00F53BDF"/>
    <w:rsid w:val="00F53CA6"/>
    <w:rsid w:val="00F53CF8"/>
    <w:rsid w:val="00F53DD9"/>
    <w:rsid w:val="00F5465A"/>
    <w:rsid w:val="00F548AB"/>
    <w:rsid w:val="00F54BF7"/>
    <w:rsid w:val="00F552D2"/>
    <w:rsid w:val="00F55326"/>
    <w:rsid w:val="00F55372"/>
    <w:rsid w:val="00F55F6F"/>
    <w:rsid w:val="00F565AE"/>
    <w:rsid w:val="00F56906"/>
    <w:rsid w:val="00F56907"/>
    <w:rsid w:val="00F56B5D"/>
    <w:rsid w:val="00F56D78"/>
    <w:rsid w:val="00F56EB8"/>
    <w:rsid w:val="00F57419"/>
    <w:rsid w:val="00F5744F"/>
    <w:rsid w:val="00F57B07"/>
    <w:rsid w:val="00F57C14"/>
    <w:rsid w:val="00F57E37"/>
    <w:rsid w:val="00F601F7"/>
    <w:rsid w:val="00F60494"/>
    <w:rsid w:val="00F6080F"/>
    <w:rsid w:val="00F60822"/>
    <w:rsid w:val="00F609AB"/>
    <w:rsid w:val="00F609F9"/>
    <w:rsid w:val="00F60B3E"/>
    <w:rsid w:val="00F61237"/>
    <w:rsid w:val="00F6146F"/>
    <w:rsid w:val="00F616F6"/>
    <w:rsid w:val="00F619DC"/>
    <w:rsid w:val="00F62495"/>
    <w:rsid w:val="00F62617"/>
    <w:rsid w:val="00F62984"/>
    <w:rsid w:val="00F62B71"/>
    <w:rsid w:val="00F63C3B"/>
    <w:rsid w:val="00F63C9C"/>
    <w:rsid w:val="00F640B5"/>
    <w:rsid w:val="00F64C1E"/>
    <w:rsid w:val="00F64D14"/>
    <w:rsid w:val="00F651B0"/>
    <w:rsid w:val="00F65545"/>
    <w:rsid w:val="00F65A7B"/>
    <w:rsid w:val="00F65D23"/>
    <w:rsid w:val="00F65E00"/>
    <w:rsid w:val="00F66AC3"/>
    <w:rsid w:val="00F67291"/>
    <w:rsid w:val="00F67CD8"/>
    <w:rsid w:val="00F67FA8"/>
    <w:rsid w:val="00F706F1"/>
    <w:rsid w:val="00F7087C"/>
    <w:rsid w:val="00F70AAE"/>
    <w:rsid w:val="00F70B21"/>
    <w:rsid w:val="00F71163"/>
    <w:rsid w:val="00F712B6"/>
    <w:rsid w:val="00F72286"/>
    <w:rsid w:val="00F72666"/>
    <w:rsid w:val="00F72B5D"/>
    <w:rsid w:val="00F72FF8"/>
    <w:rsid w:val="00F73063"/>
    <w:rsid w:val="00F731FB"/>
    <w:rsid w:val="00F7330A"/>
    <w:rsid w:val="00F73528"/>
    <w:rsid w:val="00F73625"/>
    <w:rsid w:val="00F739EB"/>
    <w:rsid w:val="00F73AEF"/>
    <w:rsid w:val="00F73DC0"/>
    <w:rsid w:val="00F74588"/>
    <w:rsid w:val="00F747C7"/>
    <w:rsid w:val="00F747E3"/>
    <w:rsid w:val="00F74A6C"/>
    <w:rsid w:val="00F74B63"/>
    <w:rsid w:val="00F74BBD"/>
    <w:rsid w:val="00F74C3D"/>
    <w:rsid w:val="00F750AF"/>
    <w:rsid w:val="00F75263"/>
    <w:rsid w:val="00F752E1"/>
    <w:rsid w:val="00F75481"/>
    <w:rsid w:val="00F757B2"/>
    <w:rsid w:val="00F757CB"/>
    <w:rsid w:val="00F758E8"/>
    <w:rsid w:val="00F758EA"/>
    <w:rsid w:val="00F75991"/>
    <w:rsid w:val="00F759F3"/>
    <w:rsid w:val="00F75B43"/>
    <w:rsid w:val="00F769B0"/>
    <w:rsid w:val="00F76D2E"/>
    <w:rsid w:val="00F76D3C"/>
    <w:rsid w:val="00F76D4C"/>
    <w:rsid w:val="00F802CB"/>
    <w:rsid w:val="00F803E4"/>
    <w:rsid w:val="00F806A4"/>
    <w:rsid w:val="00F806EE"/>
    <w:rsid w:val="00F8079F"/>
    <w:rsid w:val="00F8080E"/>
    <w:rsid w:val="00F80824"/>
    <w:rsid w:val="00F8086F"/>
    <w:rsid w:val="00F80A91"/>
    <w:rsid w:val="00F80B51"/>
    <w:rsid w:val="00F80C08"/>
    <w:rsid w:val="00F80DB3"/>
    <w:rsid w:val="00F80DDE"/>
    <w:rsid w:val="00F80FC0"/>
    <w:rsid w:val="00F810FF"/>
    <w:rsid w:val="00F81213"/>
    <w:rsid w:val="00F81737"/>
    <w:rsid w:val="00F81A00"/>
    <w:rsid w:val="00F82433"/>
    <w:rsid w:val="00F82606"/>
    <w:rsid w:val="00F82647"/>
    <w:rsid w:val="00F82B96"/>
    <w:rsid w:val="00F82C72"/>
    <w:rsid w:val="00F82CF1"/>
    <w:rsid w:val="00F82E35"/>
    <w:rsid w:val="00F8305D"/>
    <w:rsid w:val="00F831D8"/>
    <w:rsid w:val="00F8342E"/>
    <w:rsid w:val="00F83592"/>
    <w:rsid w:val="00F83BC8"/>
    <w:rsid w:val="00F83D0E"/>
    <w:rsid w:val="00F83F37"/>
    <w:rsid w:val="00F843D5"/>
    <w:rsid w:val="00F84EEC"/>
    <w:rsid w:val="00F850FB"/>
    <w:rsid w:val="00F854ED"/>
    <w:rsid w:val="00F8559B"/>
    <w:rsid w:val="00F856CE"/>
    <w:rsid w:val="00F856E0"/>
    <w:rsid w:val="00F85B8F"/>
    <w:rsid w:val="00F85C34"/>
    <w:rsid w:val="00F85CD4"/>
    <w:rsid w:val="00F86190"/>
    <w:rsid w:val="00F86336"/>
    <w:rsid w:val="00F86984"/>
    <w:rsid w:val="00F86B4C"/>
    <w:rsid w:val="00F86D11"/>
    <w:rsid w:val="00F86D52"/>
    <w:rsid w:val="00F86EE2"/>
    <w:rsid w:val="00F87961"/>
    <w:rsid w:val="00F87A3A"/>
    <w:rsid w:val="00F87CC2"/>
    <w:rsid w:val="00F87E0F"/>
    <w:rsid w:val="00F9061C"/>
    <w:rsid w:val="00F90950"/>
    <w:rsid w:val="00F90F07"/>
    <w:rsid w:val="00F913BA"/>
    <w:rsid w:val="00F91FFB"/>
    <w:rsid w:val="00F92425"/>
    <w:rsid w:val="00F92484"/>
    <w:rsid w:val="00F924B0"/>
    <w:rsid w:val="00F9301E"/>
    <w:rsid w:val="00F9309F"/>
    <w:rsid w:val="00F93200"/>
    <w:rsid w:val="00F932C9"/>
    <w:rsid w:val="00F93407"/>
    <w:rsid w:val="00F9389E"/>
    <w:rsid w:val="00F93932"/>
    <w:rsid w:val="00F93BB4"/>
    <w:rsid w:val="00F93C3A"/>
    <w:rsid w:val="00F9417C"/>
    <w:rsid w:val="00F9512B"/>
    <w:rsid w:val="00F9569B"/>
    <w:rsid w:val="00F959C7"/>
    <w:rsid w:val="00F95A26"/>
    <w:rsid w:val="00F95AF3"/>
    <w:rsid w:val="00F95D3C"/>
    <w:rsid w:val="00F960C1"/>
    <w:rsid w:val="00F96155"/>
    <w:rsid w:val="00F9645C"/>
    <w:rsid w:val="00F964EA"/>
    <w:rsid w:val="00F96ADA"/>
    <w:rsid w:val="00F97035"/>
    <w:rsid w:val="00F9734B"/>
    <w:rsid w:val="00F978B1"/>
    <w:rsid w:val="00F97CCB"/>
    <w:rsid w:val="00FA024D"/>
    <w:rsid w:val="00FA08B6"/>
    <w:rsid w:val="00FA0E99"/>
    <w:rsid w:val="00FA1467"/>
    <w:rsid w:val="00FA1C8C"/>
    <w:rsid w:val="00FA1CE8"/>
    <w:rsid w:val="00FA22A8"/>
    <w:rsid w:val="00FA2433"/>
    <w:rsid w:val="00FA2C6B"/>
    <w:rsid w:val="00FA2E58"/>
    <w:rsid w:val="00FA351B"/>
    <w:rsid w:val="00FA36AC"/>
    <w:rsid w:val="00FA36E6"/>
    <w:rsid w:val="00FA37E9"/>
    <w:rsid w:val="00FA3A44"/>
    <w:rsid w:val="00FA42AD"/>
    <w:rsid w:val="00FA4643"/>
    <w:rsid w:val="00FA46CD"/>
    <w:rsid w:val="00FA4C4E"/>
    <w:rsid w:val="00FA4D09"/>
    <w:rsid w:val="00FA5458"/>
    <w:rsid w:val="00FA5B1F"/>
    <w:rsid w:val="00FA5FE3"/>
    <w:rsid w:val="00FA629A"/>
    <w:rsid w:val="00FA6335"/>
    <w:rsid w:val="00FA6A69"/>
    <w:rsid w:val="00FA7177"/>
    <w:rsid w:val="00FA738E"/>
    <w:rsid w:val="00FA7D43"/>
    <w:rsid w:val="00FB0B22"/>
    <w:rsid w:val="00FB0DFA"/>
    <w:rsid w:val="00FB0E99"/>
    <w:rsid w:val="00FB0F9B"/>
    <w:rsid w:val="00FB125A"/>
    <w:rsid w:val="00FB17F1"/>
    <w:rsid w:val="00FB20AD"/>
    <w:rsid w:val="00FB2577"/>
    <w:rsid w:val="00FB25E6"/>
    <w:rsid w:val="00FB2674"/>
    <w:rsid w:val="00FB2677"/>
    <w:rsid w:val="00FB2D2F"/>
    <w:rsid w:val="00FB2DE0"/>
    <w:rsid w:val="00FB2E0C"/>
    <w:rsid w:val="00FB33E7"/>
    <w:rsid w:val="00FB35BC"/>
    <w:rsid w:val="00FB375E"/>
    <w:rsid w:val="00FB4B8E"/>
    <w:rsid w:val="00FB5452"/>
    <w:rsid w:val="00FB5E14"/>
    <w:rsid w:val="00FB6679"/>
    <w:rsid w:val="00FB67E0"/>
    <w:rsid w:val="00FB6923"/>
    <w:rsid w:val="00FB6B4E"/>
    <w:rsid w:val="00FB6D7D"/>
    <w:rsid w:val="00FB750F"/>
    <w:rsid w:val="00FB763C"/>
    <w:rsid w:val="00FC01AD"/>
    <w:rsid w:val="00FC0459"/>
    <w:rsid w:val="00FC0BFD"/>
    <w:rsid w:val="00FC0D2D"/>
    <w:rsid w:val="00FC1090"/>
    <w:rsid w:val="00FC11B0"/>
    <w:rsid w:val="00FC11E7"/>
    <w:rsid w:val="00FC14CC"/>
    <w:rsid w:val="00FC1538"/>
    <w:rsid w:val="00FC16E7"/>
    <w:rsid w:val="00FC1802"/>
    <w:rsid w:val="00FC18B4"/>
    <w:rsid w:val="00FC1E6E"/>
    <w:rsid w:val="00FC216F"/>
    <w:rsid w:val="00FC27FB"/>
    <w:rsid w:val="00FC2B09"/>
    <w:rsid w:val="00FC372D"/>
    <w:rsid w:val="00FC379C"/>
    <w:rsid w:val="00FC38FA"/>
    <w:rsid w:val="00FC3AD9"/>
    <w:rsid w:val="00FC3BBE"/>
    <w:rsid w:val="00FC3E29"/>
    <w:rsid w:val="00FC3FEB"/>
    <w:rsid w:val="00FC4176"/>
    <w:rsid w:val="00FC447C"/>
    <w:rsid w:val="00FC4546"/>
    <w:rsid w:val="00FC45DE"/>
    <w:rsid w:val="00FC4871"/>
    <w:rsid w:val="00FC4CCD"/>
    <w:rsid w:val="00FC4CD1"/>
    <w:rsid w:val="00FC5422"/>
    <w:rsid w:val="00FC5776"/>
    <w:rsid w:val="00FC59C9"/>
    <w:rsid w:val="00FC5AD5"/>
    <w:rsid w:val="00FC60C9"/>
    <w:rsid w:val="00FC673C"/>
    <w:rsid w:val="00FC7092"/>
    <w:rsid w:val="00FC7268"/>
    <w:rsid w:val="00FC7280"/>
    <w:rsid w:val="00FC7347"/>
    <w:rsid w:val="00FC7D59"/>
    <w:rsid w:val="00FC7EBA"/>
    <w:rsid w:val="00FC7EF2"/>
    <w:rsid w:val="00FD010F"/>
    <w:rsid w:val="00FD03A6"/>
    <w:rsid w:val="00FD0E83"/>
    <w:rsid w:val="00FD10D6"/>
    <w:rsid w:val="00FD1B5B"/>
    <w:rsid w:val="00FD1CE0"/>
    <w:rsid w:val="00FD246E"/>
    <w:rsid w:val="00FD24AC"/>
    <w:rsid w:val="00FD3077"/>
    <w:rsid w:val="00FD3734"/>
    <w:rsid w:val="00FD38D5"/>
    <w:rsid w:val="00FD3C86"/>
    <w:rsid w:val="00FD422B"/>
    <w:rsid w:val="00FD4803"/>
    <w:rsid w:val="00FD4888"/>
    <w:rsid w:val="00FD4A34"/>
    <w:rsid w:val="00FD55DC"/>
    <w:rsid w:val="00FD571E"/>
    <w:rsid w:val="00FD5752"/>
    <w:rsid w:val="00FD5BF4"/>
    <w:rsid w:val="00FD5C5C"/>
    <w:rsid w:val="00FD5CAF"/>
    <w:rsid w:val="00FD5F76"/>
    <w:rsid w:val="00FD60A4"/>
    <w:rsid w:val="00FD61E3"/>
    <w:rsid w:val="00FD62E9"/>
    <w:rsid w:val="00FD6E25"/>
    <w:rsid w:val="00FD6ED6"/>
    <w:rsid w:val="00FD736F"/>
    <w:rsid w:val="00FD750F"/>
    <w:rsid w:val="00FD7964"/>
    <w:rsid w:val="00FE08B0"/>
    <w:rsid w:val="00FE0965"/>
    <w:rsid w:val="00FE0981"/>
    <w:rsid w:val="00FE09F7"/>
    <w:rsid w:val="00FE1382"/>
    <w:rsid w:val="00FE18D3"/>
    <w:rsid w:val="00FE1C0E"/>
    <w:rsid w:val="00FE1C16"/>
    <w:rsid w:val="00FE1E6F"/>
    <w:rsid w:val="00FE2374"/>
    <w:rsid w:val="00FE24BC"/>
    <w:rsid w:val="00FE2684"/>
    <w:rsid w:val="00FE30AA"/>
    <w:rsid w:val="00FE30ED"/>
    <w:rsid w:val="00FE32CA"/>
    <w:rsid w:val="00FE35ED"/>
    <w:rsid w:val="00FE381D"/>
    <w:rsid w:val="00FE3AA1"/>
    <w:rsid w:val="00FE3AAF"/>
    <w:rsid w:val="00FE43FE"/>
    <w:rsid w:val="00FE4668"/>
    <w:rsid w:val="00FE4AC7"/>
    <w:rsid w:val="00FE54A8"/>
    <w:rsid w:val="00FE558B"/>
    <w:rsid w:val="00FE5819"/>
    <w:rsid w:val="00FE5CA5"/>
    <w:rsid w:val="00FE5CA7"/>
    <w:rsid w:val="00FE5F1D"/>
    <w:rsid w:val="00FE5FF6"/>
    <w:rsid w:val="00FE6118"/>
    <w:rsid w:val="00FE6D25"/>
    <w:rsid w:val="00FE780B"/>
    <w:rsid w:val="00FE7865"/>
    <w:rsid w:val="00FE7A9A"/>
    <w:rsid w:val="00FF00C8"/>
    <w:rsid w:val="00FF0347"/>
    <w:rsid w:val="00FF045F"/>
    <w:rsid w:val="00FF0684"/>
    <w:rsid w:val="00FF0929"/>
    <w:rsid w:val="00FF0C00"/>
    <w:rsid w:val="00FF0D28"/>
    <w:rsid w:val="00FF1435"/>
    <w:rsid w:val="00FF19FE"/>
    <w:rsid w:val="00FF2087"/>
    <w:rsid w:val="00FF242B"/>
    <w:rsid w:val="00FF24A0"/>
    <w:rsid w:val="00FF2617"/>
    <w:rsid w:val="00FF26B2"/>
    <w:rsid w:val="00FF273E"/>
    <w:rsid w:val="00FF282B"/>
    <w:rsid w:val="00FF31C0"/>
    <w:rsid w:val="00FF3279"/>
    <w:rsid w:val="00FF349D"/>
    <w:rsid w:val="00FF35D5"/>
    <w:rsid w:val="00FF3662"/>
    <w:rsid w:val="00FF3A7E"/>
    <w:rsid w:val="00FF3E1B"/>
    <w:rsid w:val="00FF4146"/>
    <w:rsid w:val="00FF44B2"/>
    <w:rsid w:val="00FF4940"/>
    <w:rsid w:val="00FF502A"/>
    <w:rsid w:val="00FF5162"/>
    <w:rsid w:val="00FF545D"/>
    <w:rsid w:val="00FF5AAC"/>
    <w:rsid w:val="00FF5C38"/>
    <w:rsid w:val="00FF5DF1"/>
    <w:rsid w:val="00FF6524"/>
    <w:rsid w:val="00FF6542"/>
    <w:rsid w:val="00FF6BE8"/>
    <w:rsid w:val="00FF70F4"/>
    <w:rsid w:val="00FF7413"/>
    <w:rsid w:val="00FF7CCE"/>
    <w:rsid w:val="00FF7E0B"/>
    <w:rsid w:val="01242681"/>
    <w:rsid w:val="013D14B4"/>
    <w:rsid w:val="02B22DE2"/>
    <w:rsid w:val="031171DC"/>
    <w:rsid w:val="032B52C8"/>
    <w:rsid w:val="03B75467"/>
    <w:rsid w:val="03FE5901"/>
    <w:rsid w:val="05045591"/>
    <w:rsid w:val="058222F7"/>
    <w:rsid w:val="05E67501"/>
    <w:rsid w:val="06983100"/>
    <w:rsid w:val="06FF2C10"/>
    <w:rsid w:val="07497801"/>
    <w:rsid w:val="08267EB2"/>
    <w:rsid w:val="08DE5ACC"/>
    <w:rsid w:val="08E87A6B"/>
    <w:rsid w:val="0A111700"/>
    <w:rsid w:val="0AE711C2"/>
    <w:rsid w:val="0B916DEE"/>
    <w:rsid w:val="0C294946"/>
    <w:rsid w:val="0C454642"/>
    <w:rsid w:val="0E9C3A4F"/>
    <w:rsid w:val="0F0B2D46"/>
    <w:rsid w:val="0F803AAF"/>
    <w:rsid w:val="0F916E99"/>
    <w:rsid w:val="0F983B15"/>
    <w:rsid w:val="101866F3"/>
    <w:rsid w:val="11791CC4"/>
    <w:rsid w:val="119C6B0F"/>
    <w:rsid w:val="12257CA2"/>
    <w:rsid w:val="1234394C"/>
    <w:rsid w:val="13290D01"/>
    <w:rsid w:val="13705C01"/>
    <w:rsid w:val="13AD1AE3"/>
    <w:rsid w:val="146C4A09"/>
    <w:rsid w:val="14BE31E0"/>
    <w:rsid w:val="14F5583C"/>
    <w:rsid w:val="15521EE3"/>
    <w:rsid w:val="164C43F0"/>
    <w:rsid w:val="16912C9F"/>
    <w:rsid w:val="1753267E"/>
    <w:rsid w:val="17E1595C"/>
    <w:rsid w:val="180E2BC9"/>
    <w:rsid w:val="18190C7E"/>
    <w:rsid w:val="19EB230A"/>
    <w:rsid w:val="1A8160F7"/>
    <w:rsid w:val="1DB51C26"/>
    <w:rsid w:val="1F0F32D3"/>
    <w:rsid w:val="1FC910EC"/>
    <w:rsid w:val="1FFB6907"/>
    <w:rsid w:val="20202B6B"/>
    <w:rsid w:val="206E0BA3"/>
    <w:rsid w:val="20854AB6"/>
    <w:rsid w:val="20B72AAB"/>
    <w:rsid w:val="20F0696F"/>
    <w:rsid w:val="214B2529"/>
    <w:rsid w:val="220B6E16"/>
    <w:rsid w:val="22501579"/>
    <w:rsid w:val="227056DE"/>
    <w:rsid w:val="22AF0F3C"/>
    <w:rsid w:val="22D97F5B"/>
    <w:rsid w:val="237B4B8C"/>
    <w:rsid w:val="24106C56"/>
    <w:rsid w:val="24CC53D8"/>
    <w:rsid w:val="24EB46E7"/>
    <w:rsid w:val="24F25FBA"/>
    <w:rsid w:val="267F07D5"/>
    <w:rsid w:val="270B60DF"/>
    <w:rsid w:val="279D6AE1"/>
    <w:rsid w:val="286B48C2"/>
    <w:rsid w:val="28B71982"/>
    <w:rsid w:val="2A1F1FD6"/>
    <w:rsid w:val="2AA37AF3"/>
    <w:rsid w:val="2B861CE1"/>
    <w:rsid w:val="2C050173"/>
    <w:rsid w:val="2C29677D"/>
    <w:rsid w:val="2C545F51"/>
    <w:rsid w:val="2CA67518"/>
    <w:rsid w:val="2D0E4E3D"/>
    <w:rsid w:val="2E145A60"/>
    <w:rsid w:val="30466FB4"/>
    <w:rsid w:val="304B148C"/>
    <w:rsid w:val="305E1D82"/>
    <w:rsid w:val="31045F13"/>
    <w:rsid w:val="31C67914"/>
    <w:rsid w:val="31FA05A5"/>
    <w:rsid w:val="321256D2"/>
    <w:rsid w:val="33654FBD"/>
    <w:rsid w:val="343201B0"/>
    <w:rsid w:val="34772230"/>
    <w:rsid w:val="34BF52A2"/>
    <w:rsid w:val="350D18AC"/>
    <w:rsid w:val="359C2436"/>
    <w:rsid w:val="360705BD"/>
    <w:rsid w:val="366A7604"/>
    <w:rsid w:val="37257DC8"/>
    <w:rsid w:val="3754586E"/>
    <w:rsid w:val="38187894"/>
    <w:rsid w:val="382F3161"/>
    <w:rsid w:val="38517101"/>
    <w:rsid w:val="38B07128"/>
    <w:rsid w:val="395679CF"/>
    <w:rsid w:val="395D28BC"/>
    <w:rsid w:val="398773B7"/>
    <w:rsid w:val="399B0364"/>
    <w:rsid w:val="3BFB69BC"/>
    <w:rsid w:val="3D4F459A"/>
    <w:rsid w:val="3D502652"/>
    <w:rsid w:val="3E4D38B9"/>
    <w:rsid w:val="3EFD72FE"/>
    <w:rsid w:val="3F146E89"/>
    <w:rsid w:val="3F7906E6"/>
    <w:rsid w:val="3F9A1AD7"/>
    <w:rsid w:val="3FF04029"/>
    <w:rsid w:val="404E00EA"/>
    <w:rsid w:val="40646E8D"/>
    <w:rsid w:val="417B1D28"/>
    <w:rsid w:val="41EB3E92"/>
    <w:rsid w:val="428E442C"/>
    <w:rsid w:val="43C47BBD"/>
    <w:rsid w:val="43CA1796"/>
    <w:rsid w:val="44583C55"/>
    <w:rsid w:val="459D37A8"/>
    <w:rsid w:val="45B621EC"/>
    <w:rsid w:val="46221F24"/>
    <w:rsid w:val="467D5796"/>
    <w:rsid w:val="46CF62DD"/>
    <w:rsid w:val="47771629"/>
    <w:rsid w:val="4778300F"/>
    <w:rsid w:val="48950BDF"/>
    <w:rsid w:val="48F07914"/>
    <w:rsid w:val="4AE24E3C"/>
    <w:rsid w:val="4B0348CE"/>
    <w:rsid w:val="4B0469D4"/>
    <w:rsid w:val="4B140568"/>
    <w:rsid w:val="4B331D93"/>
    <w:rsid w:val="4B52358A"/>
    <w:rsid w:val="4B617747"/>
    <w:rsid w:val="4B7F5D9A"/>
    <w:rsid w:val="4CAD6564"/>
    <w:rsid w:val="4DC9167B"/>
    <w:rsid w:val="4DCB7EB5"/>
    <w:rsid w:val="4E281763"/>
    <w:rsid w:val="4F261356"/>
    <w:rsid w:val="4F3C7C01"/>
    <w:rsid w:val="508D275F"/>
    <w:rsid w:val="51D206A2"/>
    <w:rsid w:val="52451C3E"/>
    <w:rsid w:val="528336E5"/>
    <w:rsid w:val="52A56A39"/>
    <w:rsid w:val="52E6445B"/>
    <w:rsid w:val="53342E2D"/>
    <w:rsid w:val="535079DF"/>
    <w:rsid w:val="549B11E7"/>
    <w:rsid w:val="55061AD5"/>
    <w:rsid w:val="55A86CC0"/>
    <w:rsid w:val="55DD7906"/>
    <w:rsid w:val="55FE058A"/>
    <w:rsid w:val="568547AA"/>
    <w:rsid w:val="5ABB7C28"/>
    <w:rsid w:val="5B3307D2"/>
    <w:rsid w:val="5B46272C"/>
    <w:rsid w:val="5B7D3466"/>
    <w:rsid w:val="5C303C2F"/>
    <w:rsid w:val="5C457693"/>
    <w:rsid w:val="5C80577D"/>
    <w:rsid w:val="5C80751A"/>
    <w:rsid w:val="5D2B4401"/>
    <w:rsid w:val="5D4635FF"/>
    <w:rsid w:val="5D5856F7"/>
    <w:rsid w:val="5E3911D7"/>
    <w:rsid w:val="5F2A333A"/>
    <w:rsid w:val="5F4C1CD9"/>
    <w:rsid w:val="5FA669F1"/>
    <w:rsid w:val="5FB17A54"/>
    <w:rsid w:val="5FF1688D"/>
    <w:rsid w:val="5FF66F96"/>
    <w:rsid w:val="607D0813"/>
    <w:rsid w:val="61204551"/>
    <w:rsid w:val="612A038C"/>
    <w:rsid w:val="62025DBC"/>
    <w:rsid w:val="624C1B7E"/>
    <w:rsid w:val="625B5E09"/>
    <w:rsid w:val="63BE5535"/>
    <w:rsid w:val="64100206"/>
    <w:rsid w:val="643A15B0"/>
    <w:rsid w:val="64757E5B"/>
    <w:rsid w:val="6487008D"/>
    <w:rsid w:val="648F7597"/>
    <w:rsid w:val="64C75526"/>
    <w:rsid w:val="65463661"/>
    <w:rsid w:val="65EA3C68"/>
    <w:rsid w:val="65F80EBE"/>
    <w:rsid w:val="66832225"/>
    <w:rsid w:val="66C86EF9"/>
    <w:rsid w:val="66DD1151"/>
    <w:rsid w:val="674D0D18"/>
    <w:rsid w:val="6928714D"/>
    <w:rsid w:val="698B79C1"/>
    <w:rsid w:val="6AD8687C"/>
    <w:rsid w:val="6B4F2895"/>
    <w:rsid w:val="6B5E67B7"/>
    <w:rsid w:val="6BCE0F00"/>
    <w:rsid w:val="6C423E09"/>
    <w:rsid w:val="6C6F002B"/>
    <w:rsid w:val="6CD36A75"/>
    <w:rsid w:val="6DCA0286"/>
    <w:rsid w:val="6E0D01EC"/>
    <w:rsid w:val="6E3630BA"/>
    <w:rsid w:val="6E642ECD"/>
    <w:rsid w:val="6F1A3324"/>
    <w:rsid w:val="6FAE6388"/>
    <w:rsid w:val="70B21A84"/>
    <w:rsid w:val="70B61374"/>
    <w:rsid w:val="70ED35B3"/>
    <w:rsid w:val="71B906A5"/>
    <w:rsid w:val="71C56A2C"/>
    <w:rsid w:val="721A7D3A"/>
    <w:rsid w:val="723332C7"/>
    <w:rsid w:val="72472DE9"/>
    <w:rsid w:val="728D1ADB"/>
    <w:rsid w:val="738F6565"/>
    <w:rsid w:val="73AE5193"/>
    <w:rsid w:val="73CF398A"/>
    <w:rsid w:val="743E3CC1"/>
    <w:rsid w:val="75D60FF8"/>
    <w:rsid w:val="7607465C"/>
    <w:rsid w:val="761624E9"/>
    <w:rsid w:val="7641301D"/>
    <w:rsid w:val="7678069B"/>
    <w:rsid w:val="771A2D02"/>
    <w:rsid w:val="777B6FC8"/>
    <w:rsid w:val="78186E4A"/>
    <w:rsid w:val="78D71825"/>
    <w:rsid w:val="792E190D"/>
    <w:rsid w:val="7B454607"/>
    <w:rsid w:val="7C357970"/>
    <w:rsid w:val="7C892DA1"/>
    <w:rsid w:val="7CE47772"/>
    <w:rsid w:val="7D504648"/>
    <w:rsid w:val="7D5A0928"/>
    <w:rsid w:val="7DF034FE"/>
    <w:rsid w:val="7EBB2A18"/>
    <w:rsid w:val="7F095A26"/>
    <w:rsid w:val="7FE364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nhideWhenUsed="0"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iPriority="99" w:semiHidden="0" w:name="footnote reference"/>
    <w:lsdException w:qFormat="1" w:unhideWhenUsed="0" w:uiPriority="0" w:semiHidden="0" w:name="annotation reference"/>
    <w:lsdException w:uiPriority="0" w:name="line number"/>
    <w:lsdException w:qFormat="1" w:unhideWhenUsed="0" w:uiPriority="99" w:semiHidden="0" w:name="page number"/>
    <w:lsdException w:uiPriority="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03"/>
    <w:qFormat/>
    <w:uiPriority w:val="0"/>
    <w:pPr>
      <w:keepNext/>
      <w:spacing w:line="240" w:lineRule="atLeast"/>
      <w:jc w:val="left"/>
      <w:outlineLvl w:val="0"/>
    </w:pPr>
    <w:rPr>
      <w:b/>
      <w:bCs/>
      <w:kern w:val="44"/>
      <w:sz w:val="36"/>
      <w:szCs w:val="36"/>
    </w:rPr>
  </w:style>
  <w:style w:type="paragraph" w:styleId="5">
    <w:name w:val="heading 2"/>
    <w:basedOn w:val="1"/>
    <w:next w:val="1"/>
    <w:qFormat/>
    <w:uiPriority w:val="0"/>
    <w:pPr>
      <w:keepNext/>
      <w:spacing w:line="240" w:lineRule="atLeast"/>
      <w:jc w:val="left"/>
      <w:outlineLvl w:val="1"/>
    </w:pPr>
    <w:rPr>
      <w:b/>
      <w:bCs/>
      <w:sz w:val="30"/>
      <w:szCs w:val="30"/>
    </w:rPr>
  </w:style>
  <w:style w:type="paragraph" w:styleId="6">
    <w:name w:val="heading 3"/>
    <w:basedOn w:val="1"/>
    <w:next w:val="1"/>
    <w:link w:val="104"/>
    <w:qFormat/>
    <w:uiPriority w:val="0"/>
    <w:pPr>
      <w:keepNext/>
      <w:keepLines/>
      <w:jc w:val="left"/>
      <w:outlineLvl w:val="2"/>
    </w:pPr>
    <w:rPr>
      <w:b/>
      <w:bCs/>
      <w:sz w:val="28"/>
      <w:szCs w:val="28"/>
    </w:rPr>
  </w:style>
  <w:style w:type="paragraph" w:styleId="7">
    <w:name w:val="heading 4"/>
    <w:basedOn w:val="1"/>
    <w:next w:val="1"/>
    <w:link w:val="305"/>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keepLines/>
      <w:spacing w:before="280" w:after="290" w:line="376" w:lineRule="auto"/>
      <w:outlineLvl w:val="4"/>
    </w:pPr>
    <w:rPr>
      <w:b/>
      <w:bCs/>
      <w:sz w:val="28"/>
      <w:szCs w:val="28"/>
    </w:rPr>
  </w:style>
  <w:style w:type="paragraph" w:styleId="9">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10">
    <w:name w:val="heading 7"/>
    <w:basedOn w:val="1"/>
    <w:next w:val="1"/>
    <w:qFormat/>
    <w:uiPriority w:val="0"/>
    <w:pPr>
      <w:keepNext/>
      <w:keepLines/>
      <w:spacing w:before="240" w:after="64" w:line="320" w:lineRule="auto"/>
      <w:outlineLvl w:val="6"/>
    </w:pPr>
    <w:rPr>
      <w:b/>
      <w:bCs/>
      <w:sz w:val="24"/>
    </w:rPr>
  </w:style>
  <w:style w:type="paragraph" w:styleId="11">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93">
    <w:name w:val="Default Paragraph Font"/>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customStyle="1" w:styleId="2">
    <w:name w:val="[1]正文"/>
    <w:basedOn w:val="1"/>
    <w:qFormat/>
    <w:uiPriority w:val="0"/>
    <w:pPr>
      <w:autoSpaceDE w:val="0"/>
      <w:autoSpaceDN w:val="0"/>
      <w:ind w:left="0" w:leftChars="0" w:firstLine="200" w:firstLineChars="200"/>
    </w:pPr>
    <w:rPr>
      <w:rFonts w:ascii="Times New Roman" w:hAnsi="Times New Roman"/>
      <w:color w:val="000000"/>
      <w:kern w:val="0"/>
      <w:szCs w:val="24"/>
      <w:lang w:val="zh-CN"/>
    </w:rPr>
  </w:style>
  <w:style w:type="paragraph" w:styleId="3">
    <w:name w:val="macro"/>
    <w:link w:val="379"/>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ind w:left="100" w:leftChars="400" w:hanging="200" w:hangingChars="200"/>
    </w:pPr>
  </w:style>
  <w:style w:type="paragraph" w:styleId="14">
    <w:name w:val="toc 7"/>
    <w:basedOn w:val="1"/>
    <w:next w:val="1"/>
    <w:unhideWhenUsed/>
    <w:qFormat/>
    <w:uiPriority w:val="39"/>
    <w:pPr>
      <w:ind w:left="1260"/>
      <w:jc w:val="left"/>
    </w:pPr>
    <w:rPr>
      <w:rFonts w:ascii="Calibri" w:hAnsi="Calibri"/>
      <w:sz w:val="18"/>
      <w:szCs w:val="18"/>
    </w:rPr>
  </w:style>
  <w:style w:type="paragraph" w:styleId="15">
    <w:name w:val="List Number 2"/>
    <w:basedOn w:val="1"/>
    <w:qFormat/>
    <w:uiPriority w:val="0"/>
    <w:pPr>
      <w:tabs>
        <w:tab w:val="left" w:pos="1200"/>
      </w:tabs>
      <w:ind w:left="1200" w:hanging="720"/>
    </w:pPr>
  </w:style>
  <w:style w:type="paragraph" w:styleId="16">
    <w:name w:val="table of authorities"/>
    <w:basedOn w:val="1"/>
    <w:next w:val="1"/>
    <w:qFormat/>
    <w:uiPriority w:val="0"/>
    <w:pPr>
      <w:ind w:left="420" w:leftChars="200"/>
    </w:pPr>
  </w:style>
  <w:style w:type="paragraph" w:styleId="17">
    <w:name w:val="Note Heading"/>
    <w:basedOn w:val="1"/>
    <w:next w:val="1"/>
    <w:link w:val="148"/>
    <w:qFormat/>
    <w:uiPriority w:val="0"/>
    <w:pPr>
      <w:keepNext/>
      <w:spacing w:line="360" w:lineRule="auto"/>
      <w:ind w:firstLine="200" w:firstLineChars="200"/>
      <w:jc w:val="left"/>
    </w:pPr>
    <w:rPr>
      <w:b/>
      <w:sz w:val="24"/>
    </w:rPr>
  </w:style>
  <w:style w:type="paragraph" w:styleId="18">
    <w:name w:val="List Bullet 4"/>
    <w:basedOn w:val="1"/>
    <w:qFormat/>
    <w:uiPriority w:val="0"/>
    <w:pPr>
      <w:tabs>
        <w:tab w:val="left" w:pos="1620"/>
      </w:tabs>
      <w:ind w:left="1620" w:leftChars="600" w:hanging="360" w:hangingChars="200"/>
    </w:pPr>
  </w:style>
  <w:style w:type="paragraph" w:styleId="19">
    <w:name w:val="index 8"/>
    <w:basedOn w:val="1"/>
    <w:next w:val="1"/>
    <w:qFormat/>
    <w:uiPriority w:val="0"/>
    <w:pPr>
      <w:ind w:left="1400" w:leftChars="1400"/>
    </w:pPr>
  </w:style>
  <w:style w:type="paragraph" w:styleId="20">
    <w:name w:val="E-mail Signature"/>
    <w:basedOn w:val="1"/>
    <w:qFormat/>
    <w:uiPriority w:val="0"/>
  </w:style>
  <w:style w:type="paragraph" w:styleId="21">
    <w:name w:val="List Number"/>
    <w:basedOn w:val="1"/>
    <w:qFormat/>
    <w:uiPriority w:val="0"/>
    <w:pPr>
      <w:tabs>
        <w:tab w:val="left" w:pos="870"/>
      </w:tabs>
      <w:ind w:left="870" w:hanging="360"/>
    </w:pPr>
  </w:style>
  <w:style w:type="paragraph" w:styleId="22">
    <w:name w:val="Normal Indent"/>
    <w:basedOn w:val="1"/>
    <w:next w:val="23"/>
    <w:qFormat/>
    <w:uiPriority w:val="0"/>
    <w:pPr>
      <w:jc w:val="center"/>
    </w:pPr>
    <w:rPr>
      <w:sz w:val="24"/>
      <w:szCs w:val="20"/>
    </w:rPr>
  </w:style>
  <w:style w:type="paragraph" w:styleId="23">
    <w:name w:val="Body Text First Indent 2"/>
    <w:basedOn w:val="24"/>
    <w:next w:val="25"/>
    <w:link w:val="300"/>
    <w:qFormat/>
    <w:uiPriority w:val="99"/>
    <w:pPr>
      <w:adjustRightInd w:val="0"/>
      <w:spacing w:line="360" w:lineRule="atLeast"/>
      <w:ind w:left="0" w:leftChars="0" w:firstLine="210"/>
      <w:jc w:val="left"/>
      <w:textAlignment w:val="baseline"/>
    </w:pPr>
    <w:rPr>
      <w:kern w:val="0"/>
      <w:sz w:val="24"/>
      <w:szCs w:val="20"/>
    </w:rPr>
  </w:style>
  <w:style w:type="paragraph" w:styleId="24">
    <w:name w:val="Body Text Indent"/>
    <w:basedOn w:val="1"/>
    <w:next w:val="1"/>
    <w:link w:val="318"/>
    <w:qFormat/>
    <w:uiPriority w:val="0"/>
    <w:pPr>
      <w:spacing w:after="120"/>
      <w:ind w:left="420" w:leftChars="200"/>
    </w:pPr>
  </w:style>
  <w:style w:type="paragraph" w:styleId="25">
    <w:name w:val="Body Text First Indent"/>
    <w:basedOn w:val="26"/>
    <w:next w:val="1"/>
    <w:qFormat/>
    <w:uiPriority w:val="0"/>
    <w:pPr>
      <w:ind w:firstLine="420" w:firstLineChars="100"/>
    </w:pPr>
  </w:style>
  <w:style w:type="paragraph" w:styleId="26">
    <w:name w:val="Body Text"/>
    <w:basedOn w:val="1"/>
    <w:next w:val="27"/>
    <w:link w:val="292"/>
    <w:qFormat/>
    <w:uiPriority w:val="0"/>
    <w:pPr>
      <w:spacing w:after="120"/>
    </w:pPr>
  </w:style>
  <w:style w:type="paragraph" w:styleId="27">
    <w:name w:val="List Bullet 5"/>
    <w:basedOn w:val="1"/>
    <w:qFormat/>
    <w:uiPriority w:val="0"/>
    <w:pPr>
      <w:tabs>
        <w:tab w:val="left" w:pos="2040"/>
      </w:tabs>
      <w:ind w:left="2040" w:leftChars="800" w:hanging="360" w:hangingChars="200"/>
    </w:pPr>
  </w:style>
  <w:style w:type="paragraph" w:styleId="28">
    <w:name w:val="caption"/>
    <w:basedOn w:val="1"/>
    <w:next w:val="1"/>
    <w:link w:val="407"/>
    <w:qFormat/>
    <w:uiPriority w:val="0"/>
    <w:rPr>
      <w:rFonts w:ascii="Arial" w:hAnsi="Arial" w:eastAsia="黑体" w:cs="Arial"/>
      <w:sz w:val="20"/>
      <w:szCs w:val="20"/>
    </w:rPr>
  </w:style>
  <w:style w:type="paragraph" w:styleId="29">
    <w:name w:val="index 5"/>
    <w:basedOn w:val="1"/>
    <w:next w:val="1"/>
    <w:qFormat/>
    <w:uiPriority w:val="0"/>
    <w:pPr>
      <w:ind w:left="800" w:leftChars="800"/>
    </w:pPr>
  </w:style>
  <w:style w:type="paragraph" w:styleId="30">
    <w:name w:val="List Bullet"/>
    <w:basedOn w:val="1"/>
    <w:qFormat/>
    <w:uiPriority w:val="0"/>
    <w:pPr>
      <w:tabs>
        <w:tab w:val="left" w:pos="720"/>
      </w:tabs>
      <w:ind w:left="720" w:hanging="240"/>
    </w:pPr>
  </w:style>
  <w:style w:type="paragraph" w:styleId="31">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32">
    <w:name w:val="Document Map"/>
    <w:basedOn w:val="1"/>
    <w:link w:val="115"/>
    <w:qFormat/>
    <w:uiPriority w:val="99"/>
    <w:pPr>
      <w:shd w:val="clear" w:color="auto" w:fill="000080"/>
    </w:pPr>
  </w:style>
  <w:style w:type="paragraph" w:styleId="33">
    <w:name w:val="toa heading"/>
    <w:basedOn w:val="1"/>
    <w:next w:val="1"/>
    <w:qFormat/>
    <w:uiPriority w:val="0"/>
    <w:pPr>
      <w:spacing w:before="120"/>
    </w:pPr>
    <w:rPr>
      <w:rFonts w:ascii="Cambria" w:hAnsi="Cambria"/>
      <w:sz w:val="24"/>
    </w:rPr>
  </w:style>
  <w:style w:type="paragraph" w:styleId="34">
    <w:name w:val="annotation text"/>
    <w:basedOn w:val="1"/>
    <w:semiHidden/>
    <w:qFormat/>
    <w:uiPriority w:val="0"/>
    <w:pPr>
      <w:adjustRightInd w:val="0"/>
      <w:spacing w:line="360" w:lineRule="atLeast"/>
      <w:jc w:val="left"/>
      <w:textAlignment w:val="baseline"/>
    </w:pPr>
    <w:rPr>
      <w:kern w:val="0"/>
      <w:sz w:val="24"/>
      <w:szCs w:val="20"/>
    </w:rPr>
  </w:style>
  <w:style w:type="paragraph" w:styleId="35">
    <w:name w:val="index 6"/>
    <w:basedOn w:val="1"/>
    <w:next w:val="1"/>
    <w:qFormat/>
    <w:uiPriority w:val="0"/>
    <w:pPr>
      <w:ind w:left="1000" w:leftChars="1000"/>
    </w:pPr>
  </w:style>
  <w:style w:type="paragraph" w:styleId="36">
    <w:name w:val="Salutation"/>
    <w:basedOn w:val="1"/>
    <w:next w:val="1"/>
    <w:qFormat/>
    <w:uiPriority w:val="0"/>
  </w:style>
  <w:style w:type="paragraph" w:styleId="37">
    <w:name w:val="Body Text 3"/>
    <w:basedOn w:val="1"/>
    <w:qFormat/>
    <w:uiPriority w:val="0"/>
    <w:pPr>
      <w:spacing w:after="120"/>
    </w:pPr>
    <w:rPr>
      <w:sz w:val="16"/>
      <w:szCs w:val="16"/>
    </w:rPr>
  </w:style>
  <w:style w:type="paragraph" w:styleId="38">
    <w:name w:val="Closing"/>
    <w:basedOn w:val="1"/>
    <w:qFormat/>
    <w:uiPriority w:val="0"/>
    <w:pPr>
      <w:ind w:left="100" w:leftChars="2100"/>
    </w:pPr>
  </w:style>
  <w:style w:type="paragraph" w:styleId="39">
    <w:name w:val="List Bullet 3"/>
    <w:basedOn w:val="1"/>
    <w:qFormat/>
    <w:uiPriority w:val="0"/>
    <w:pPr>
      <w:tabs>
        <w:tab w:val="left" w:pos="1200"/>
      </w:tabs>
      <w:ind w:left="1200" w:leftChars="400" w:hanging="360" w:hangingChars="200"/>
    </w:pPr>
  </w:style>
  <w:style w:type="paragraph" w:styleId="40">
    <w:name w:val="List Number 3"/>
    <w:basedOn w:val="1"/>
    <w:qFormat/>
    <w:uiPriority w:val="0"/>
    <w:pPr>
      <w:tabs>
        <w:tab w:val="left" w:pos="1200"/>
      </w:tabs>
      <w:ind w:left="1200" w:leftChars="400" w:hanging="360" w:hangingChars="200"/>
    </w:pPr>
  </w:style>
  <w:style w:type="paragraph" w:styleId="41">
    <w:name w:val="List 2"/>
    <w:basedOn w:val="1"/>
    <w:qFormat/>
    <w:uiPriority w:val="0"/>
    <w:pPr>
      <w:ind w:left="100" w:leftChars="200" w:hanging="200" w:hangingChars="200"/>
    </w:pPr>
  </w:style>
  <w:style w:type="paragraph" w:styleId="42">
    <w:name w:val="List Continue"/>
    <w:basedOn w:val="1"/>
    <w:qFormat/>
    <w:uiPriority w:val="0"/>
    <w:pPr>
      <w:spacing w:after="120"/>
      <w:ind w:left="420" w:leftChars="200"/>
    </w:pPr>
  </w:style>
  <w:style w:type="paragraph" w:styleId="43">
    <w:name w:val="Block Text"/>
    <w:basedOn w:val="1"/>
    <w:qFormat/>
    <w:uiPriority w:val="0"/>
    <w:pPr>
      <w:spacing w:after="120"/>
      <w:ind w:left="1440" w:leftChars="700" w:right="1440" w:rightChars="700"/>
    </w:pPr>
  </w:style>
  <w:style w:type="paragraph" w:styleId="44">
    <w:name w:val="List Bullet 2"/>
    <w:basedOn w:val="1"/>
    <w:qFormat/>
    <w:uiPriority w:val="0"/>
    <w:pPr>
      <w:tabs>
        <w:tab w:val="left" w:pos="360"/>
      </w:tabs>
      <w:ind w:left="360" w:hanging="360"/>
    </w:pPr>
  </w:style>
  <w:style w:type="paragraph" w:styleId="45">
    <w:name w:val="HTML Address"/>
    <w:basedOn w:val="1"/>
    <w:qFormat/>
    <w:uiPriority w:val="0"/>
    <w:rPr>
      <w:i/>
      <w:iCs/>
    </w:rPr>
  </w:style>
  <w:style w:type="paragraph" w:styleId="46">
    <w:name w:val="index 4"/>
    <w:basedOn w:val="1"/>
    <w:next w:val="1"/>
    <w:qFormat/>
    <w:uiPriority w:val="0"/>
    <w:pPr>
      <w:ind w:left="600" w:leftChars="600"/>
    </w:pPr>
  </w:style>
  <w:style w:type="paragraph" w:styleId="47">
    <w:name w:val="toc 5"/>
    <w:basedOn w:val="1"/>
    <w:next w:val="1"/>
    <w:unhideWhenUsed/>
    <w:qFormat/>
    <w:uiPriority w:val="39"/>
    <w:pPr>
      <w:ind w:left="840"/>
      <w:jc w:val="left"/>
    </w:pPr>
    <w:rPr>
      <w:rFonts w:ascii="Calibri" w:hAnsi="Calibri"/>
      <w:sz w:val="18"/>
      <w:szCs w:val="18"/>
    </w:rPr>
  </w:style>
  <w:style w:type="paragraph" w:styleId="48">
    <w:name w:val="toc 3"/>
    <w:basedOn w:val="1"/>
    <w:next w:val="1"/>
    <w:qFormat/>
    <w:uiPriority w:val="39"/>
    <w:pPr>
      <w:ind w:left="420"/>
      <w:jc w:val="left"/>
    </w:pPr>
    <w:rPr>
      <w:rFonts w:ascii="Calibri" w:hAnsi="Calibri"/>
      <w:i/>
      <w:iCs/>
      <w:sz w:val="20"/>
      <w:szCs w:val="20"/>
    </w:rPr>
  </w:style>
  <w:style w:type="paragraph" w:styleId="49">
    <w:name w:val="Plain Text"/>
    <w:basedOn w:val="1"/>
    <w:next w:val="1"/>
    <w:link w:val="170"/>
    <w:qFormat/>
    <w:uiPriority w:val="0"/>
    <w:rPr>
      <w:rFonts w:ascii="宋体" w:hAnsi="Courier New"/>
      <w:szCs w:val="20"/>
    </w:rPr>
  </w:style>
  <w:style w:type="paragraph" w:styleId="50">
    <w:name w:val="List Number 4"/>
    <w:basedOn w:val="1"/>
    <w:qFormat/>
    <w:uiPriority w:val="0"/>
    <w:pPr>
      <w:tabs>
        <w:tab w:val="left" w:pos="1620"/>
      </w:tabs>
      <w:ind w:left="1620" w:leftChars="600" w:hanging="360" w:hangingChars="200"/>
    </w:pPr>
  </w:style>
  <w:style w:type="paragraph" w:styleId="51">
    <w:name w:val="toc 8"/>
    <w:basedOn w:val="1"/>
    <w:next w:val="1"/>
    <w:qFormat/>
    <w:uiPriority w:val="39"/>
    <w:pPr>
      <w:ind w:left="1470"/>
      <w:jc w:val="left"/>
    </w:pPr>
    <w:rPr>
      <w:rFonts w:ascii="Calibri" w:hAnsi="Calibri"/>
      <w:sz w:val="18"/>
      <w:szCs w:val="18"/>
    </w:rPr>
  </w:style>
  <w:style w:type="paragraph" w:styleId="52">
    <w:name w:val="index 3"/>
    <w:basedOn w:val="1"/>
    <w:next w:val="1"/>
    <w:qFormat/>
    <w:uiPriority w:val="0"/>
    <w:pPr>
      <w:ind w:left="400" w:leftChars="400"/>
    </w:pPr>
  </w:style>
  <w:style w:type="paragraph" w:styleId="53">
    <w:name w:val="Date"/>
    <w:basedOn w:val="1"/>
    <w:next w:val="1"/>
    <w:link w:val="166"/>
    <w:qFormat/>
    <w:uiPriority w:val="0"/>
    <w:pPr>
      <w:adjustRightInd w:val="0"/>
      <w:spacing w:line="360" w:lineRule="atLeast"/>
      <w:textAlignment w:val="baseline"/>
    </w:pPr>
    <w:rPr>
      <w:kern w:val="0"/>
      <w:sz w:val="24"/>
      <w:szCs w:val="20"/>
    </w:rPr>
  </w:style>
  <w:style w:type="paragraph" w:styleId="54">
    <w:name w:val="Body Text Indent 2"/>
    <w:basedOn w:val="1"/>
    <w:qFormat/>
    <w:uiPriority w:val="99"/>
    <w:pPr>
      <w:spacing w:after="120" w:line="480" w:lineRule="auto"/>
      <w:ind w:left="420" w:leftChars="200"/>
    </w:pPr>
  </w:style>
  <w:style w:type="paragraph" w:styleId="55">
    <w:name w:val="endnote text"/>
    <w:basedOn w:val="1"/>
    <w:link w:val="383"/>
    <w:qFormat/>
    <w:uiPriority w:val="0"/>
    <w:pPr>
      <w:snapToGrid w:val="0"/>
      <w:jc w:val="left"/>
    </w:pPr>
  </w:style>
  <w:style w:type="paragraph" w:styleId="56">
    <w:name w:val="List Continue 5"/>
    <w:basedOn w:val="1"/>
    <w:qFormat/>
    <w:uiPriority w:val="0"/>
    <w:pPr>
      <w:spacing w:after="120"/>
      <w:ind w:left="2100" w:leftChars="1000"/>
    </w:pPr>
  </w:style>
  <w:style w:type="paragraph" w:styleId="57">
    <w:name w:val="Balloon Text"/>
    <w:basedOn w:val="1"/>
    <w:link w:val="308"/>
    <w:qFormat/>
    <w:uiPriority w:val="0"/>
    <w:rPr>
      <w:sz w:val="18"/>
      <w:szCs w:val="18"/>
    </w:rPr>
  </w:style>
  <w:style w:type="paragraph" w:styleId="58">
    <w:name w:val="footer"/>
    <w:basedOn w:val="1"/>
    <w:next w:val="59"/>
    <w:link w:val="105"/>
    <w:qFormat/>
    <w:uiPriority w:val="99"/>
    <w:pPr>
      <w:pBdr>
        <w:top w:val="single" w:color="auto" w:sz="4" w:space="1"/>
      </w:pBdr>
      <w:tabs>
        <w:tab w:val="center" w:pos="4153"/>
        <w:tab w:val="right" w:pos="8306"/>
      </w:tabs>
      <w:snapToGrid w:val="0"/>
      <w:jc w:val="left"/>
    </w:pPr>
    <w:rPr>
      <w:rFonts w:eastAsia="楷体_GB2312"/>
      <w:b/>
      <w:szCs w:val="18"/>
    </w:rPr>
  </w:style>
  <w:style w:type="paragraph" w:customStyle="1" w:styleId="59">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styleId="60">
    <w:name w:val="envelope return"/>
    <w:basedOn w:val="1"/>
    <w:qFormat/>
    <w:uiPriority w:val="0"/>
    <w:pPr>
      <w:snapToGrid w:val="0"/>
    </w:pPr>
    <w:rPr>
      <w:rFonts w:ascii="Arial" w:hAnsi="Arial" w:cs="Arial"/>
    </w:rPr>
  </w:style>
  <w:style w:type="paragraph" w:styleId="61">
    <w:name w:val="header"/>
    <w:basedOn w:val="1"/>
    <w:link w:val="128"/>
    <w:qFormat/>
    <w:uiPriority w:val="0"/>
    <w:pPr>
      <w:pBdr>
        <w:bottom w:val="thinThickSmallGap" w:color="auto" w:sz="24" w:space="1"/>
      </w:pBdr>
      <w:tabs>
        <w:tab w:val="center" w:pos="4153"/>
        <w:tab w:val="right" w:pos="8306"/>
      </w:tabs>
      <w:snapToGrid w:val="0"/>
      <w:jc w:val="center"/>
    </w:pPr>
    <w:rPr>
      <w:rFonts w:ascii="黑体" w:hAnsi="黑体" w:eastAsia="黑体"/>
      <w:szCs w:val="21"/>
    </w:rPr>
  </w:style>
  <w:style w:type="paragraph" w:styleId="62">
    <w:name w:val="Signature"/>
    <w:basedOn w:val="1"/>
    <w:qFormat/>
    <w:uiPriority w:val="0"/>
    <w:pPr>
      <w:ind w:left="100" w:leftChars="2100"/>
    </w:pPr>
  </w:style>
  <w:style w:type="paragraph" w:styleId="63">
    <w:name w:val="toc 1"/>
    <w:basedOn w:val="1"/>
    <w:next w:val="1"/>
    <w:qFormat/>
    <w:uiPriority w:val="39"/>
    <w:pPr>
      <w:spacing w:before="120" w:after="120"/>
      <w:jc w:val="left"/>
    </w:pPr>
    <w:rPr>
      <w:rFonts w:ascii="Calibri" w:hAnsi="Calibri"/>
      <w:b/>
      <w:bCs/>
      <w:caps/>
      <w:sz w:val="20"/>
      <w:szCs w:val="20"/>
    </w:rPr>
  </w:style>
  <w:style w:type="paragraph" w:styleId="64">
    <w:name w:val="List Continue 4"/>
    <w:basedOn w:val="1"/>
    <w:qFormat/>
    <w:uiPriority w:val="0"/>
    <w:pPr>
      <w:spacing w:after="120"/>
      <w:ind w:left="1680" w:leftChars="800"/>
    </w:pPr>
  </w:style>
  <w:style w:type="paragraph" w:styleId="65">
    <w:name w:val="toc 4"/>
    <w:basedOn w:val="1"/>
    <w:next w:val="1"/>
    <w:qFormat/>
    <w:uiPriority w:val="39"/>
    <w:pPr>
      <w:ind w:left="630"/>
      <w:jc w:val="left"/>
    </w:pPr>
    <w:rPr>
      <w:rFonts w:ascii="Calibri" w:hAnsi="Calibri"/>
      <w:sz w:val="18"/>
      <w:szCs w:val="18"/>
    </w:rPr>
  </w:style>
  <w:style w:type="paragraph" w:styleId="66">
    <w:name w:val="index heading"/>
    <w:basedOn w:val="1"/>
    <w:next w:val="67"/>
    <w:qFormat/>
    <w:uiPriority w:val="0"/>
    <w:rPr>
      <w:rFonts w:ascii="Cambria" w:hAnsi="Cambria"/>
      <w:b/>
      <w:bCs/>
    </w:rPr>
  </w:style>
  <w:style w:type="paragraph" w:styleId="67">
    <w:name w:val="index 1"/>
    <w:basedOn w:val="1"/>
    <w:next w:val="1"/>
    <w:qFormat/>
    <w:uiPriority w:val="0"/>
  </w:style>
  <w:style w:type="paragraph" w:styleId="68">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69">
    <w:name w:val="List Number 5"/>
    <w:basedOn w:val="1"/>
    <w:qFormat/>
    <w:uiPriority w:val="0"/>
    <w:pPr>
      <w:tabs>
        <w:tab w:val="left" w:pos="2040"/>
      </w:tabs>
      <w:ind w:left="2040" w:leftChars="800" w:hanging="360" w:hangingChars="200"/>
    </w:pPr>
  </w:style>
  <w:style w:type="paragraph" w:styleId="70">
    <w:name w:val="List"/>
    <w:basedOn w:val="1"/>
    <w:qFormat/>
    <w:uiPriority w:val="0"/>
    <w:pPr>
      <w:ind w:left="200" w:hanging="200" w:hangingChars="200"/>
    </w:pPr>
  </w:style>
  <w:style w:type="paragraph" w:styleId="71">
    <w:name w:val="footnote text"/>
    <w:basedOn w:val="1"/>
    <w:link w:val="329"/>
    <w:unhideWhenUsed/>
    <w:qFormat/>
    <w:uiPriority w:val="99"/>
    <w:pPr>
      <w:snapToGrid w:val="0"/>
      <w:jc w:val="left"/>
    </w:pPr>
    <w:rPr>
      <w:sz w:val="18"/>
      <w:szCs w:val="18"/>
    </w:rPr>
  </w:style>
  <w:style w:type="paragraph" w:styleId="72">
    <w:name w:val="toc 6"/>
    <w:basedOn w:val="1"/>
    <w:next w:val="1"/>
    <w:unhideWhenUsed/>
    <w:qFormat/>
    <w:uiPriority w:val="39"/>
    <w:pPr>
      <w:ind w:left="1050"/>
      <w:jc w:val="left"/>
    </w:pPr>
    <w:rPr>
      <w:rFonts w:ascii="Calibri" w:hAnsi="Calibri"/>
      <w:sz w:val="18"/>
      <w:szCs w:val="18"/>
    </w:rPr>
  </w:style>
  <w:style w:type="paragraph" w:styleId="73">
    <w:name w:val="List 5"/>
    <w:basedOn w:val="1"/>
    <w:qFormat/>
    <w:uiPriority w:val="0"/>
    <w:pPr>
      <w:adjustRightInd w:val="0"/>
      <w:spacing w:line="360" w:lineRule="atLeast"/>
      <w:ind w:left="2100" w:hanging="420"/>
      <w:jc w:val="left"/>
      <w:textAlignment w:val="baseline"/>
    </w:pPr>
    <w:rPr>
      <w:kern w:val="0"/>
      <w:sz w:val="24"/>
      <w:szCs w:val="20"/>
    </w:rPr>
  </w:style>
  <w:style w:type="paragraph" w:styleId="74">
    <w:name w:val="Body Text Indent 3"/>
    <w:basedOn w:val="1"/>
    <w:link w:val="130"/>
    <w:qFormat/>
    <w:uiPriority w:val="0"/>
    <w:pPr>
      <w:spacing w:after="120"/>
      <w:ind w:left="420" w:leftChars="200"/>
    </w:pPr>
    <w:rPr>
      <w:sz w:val="16"/>
      <w:szCs w:val="16"/>
      <w:lang w:val="zh-CN"/>
    </w:rPr>
  </w:style>
  <w:style w:type="paragraph" w:styleId="75">
    <w:name w:val="index 7"/>
    <w:basedOn w:val="1"/>
    <w:next w:val="1"/>
    <w:qFormat/>
    <w:uiPriority w:val="0"/>
    <w:pPr>
      <w:ind w:left="1200" w:leftChars="1200"/>
    </w:pPr>
  </w:style>
  <w:style w:type="paragraph" w:styleId="76">
    <w:name w:val="index 9"/>
    <w:basedOn w:val="1"/>
    <w:next w:val="1"/>
    <w:qFormat/>
    <w:uiPriority w:val="0"/>
    <w:pPr>
      <w:ind w:left="1600" w:leftChars="1600"/>
    </w:pPr>
  </w:style>
  <w:style w:type="paragraph" w:styleId="77">
    <w:name w:val="table of figures"/>
    <w:basedOn w:val="1"/>
    <w:next w:val="1"/>
    <w:qFormat/>
    <w:uiPriority w:val="0"/>
    <w:pPr>
      <w:ind w:left="200" w:leftChars="200" w:hanging="200" w:hangingChars="200"/>
    </w:pPr>
  </w:style>
  <w:style w:type="paragraph" w:styleId="78">
    <w:name w:val="toc 2"/>
    <w:basedOn w:val="1"/>
    <w:next w:val="1"/>
    <w:qFormat/>
    <w:uiPriority w:val="39"/>
    <w:pPr>
      <w:ind w:left="210"/>
      <w:jc w:val="left"/>
    </w:pPr>
    <w:rPr>
      <w:rFonts w:ascii="Calibri" w:hAnsi="Calibri"/>
      <w:smallCaps/>
      <w:sz w:val="20"/>
      <w:szCs w:val="20"/>
    </w:rPr>
  </w:style>
  <w:style w:type="paragraph" w:styleId="79">
    <w:name w:val="toc 9"/>
    <w:basedOn w:val="1"/>
    <w:next w:val="1"/>
    <w:unhideWhenUsed/>
    <w:qFormat/>
    <w:uiPriority w:val="39"/>
    <w:pPr>
      <w:ind w:left="1680"/>
      <w:jc w:val="left"/>
    </w:pPr>
    <w:rPr>
      <w:rFonts w:ascii="Calibri" w:hAnsi="Calibri"/>
      <w:sz w:val="18"/>
      <w:szCs w:val="18"/>
    </w:rPr>
  </w:style>
  <w:style w:type="paragraph" w:styleId="80">
    <w:name w:val="Body Text 2"/>
    <w:basedOn w:val="1"/>
    <w:qFormat/>
    <w:uiPriority w:val="0"/>
    <w:rPr>
      <w:i/>
      <w:sz w:val="24"/>
      <w:szCs w:val="21"/>
    </w:rPr>
  </w:style>
  <w:style w:type="paragraph" w:styleId="81">
    <w:name w:val="List 4"/>
    <w:basedOn w:val="1"/>
    <w:qFormat/>
    <w:uiPriority w:val="0"/>
    <w:pPr>
      <w:ind w:left="100" w:leftChars="600" w:hanging="200" w:hangingChars="200"/>
    </w:pPr>
  </w:style>
  <w:style w:type="paragraph" w:styleId="82">
    <w:name w:val="List Continue 2"/>
    <w:basedOn w:val="1"/>
    <w:qFormat/>
    <w:uiPriority w:val="0"/>
    <w:pPr>
      <w:spacing w:after="120"/>
      <w:ind w:left="840" w:leftChars="400"/>
    </w:pPr>
  </w:style>
  <w:style w:type="paragraph" w:styleId="83">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4">
    <w:name w:val="HTML Preformatted"/>
    <w:basedOn w:val="1"/>
    <w:qFormat/>
    <w:uiPriority w:val="99"/>
    <w:rPr>
      <w:rFonts w:ascii="Courier New" w:hAnsi="Courier New" w:cs="Courier New"/>
      <w:sz w:val="20"/>
      <w:szCs w:val="20"/>
    </w:rPr>
  </w:style>
  <w:style w:type="paragraph" w:styleId="8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86">
    <w:name w:val="List Continue 3"/>
    <w:basedOn w:val="1"/>
    <w:qFormat/>
    <w:uiPriority w:val="0"/>
    <w:pPr>
      <w:spacing w:after="120"/>
      <w:ind w:left="1260" w:leftChars="600"/>
    </w:pPr>
  </w:style>
  <w:style w:type="paragraph" w:styleId="87">
    <w:name w:val="index 2"/>
    <w:basedOn w:val="1"/>
    <w:next w:val="1"/>
    <w:qFormat/>
    <w:uiPriority w:val="0"/>
    <w:pPr>
      <w:ind w:left="200" w:leftChars="200"/>
    </w:pPr>
  </w:style>
  <w:style w:type="paragraph" w:styleId="88">
    <w:name w:val="Title"/>
    <w:basedOn w:val="1"/>
    <w:link w:val="404"/>
    <w:qFormat/>
    <w:uiPriority w:val="0"/>
    <w:pPr>
      <w:spacing w:before="240" w:after="60"/>
      <w:jc w:val="center"/>
      <w:outlineLvl w:val="0"/>
    </w:pPr>
    <w:rPr>
      <w:rFonts w:ascii="Arial" w:hAnsi="Arial" w:cs="Arial"/>
      <w:b/>
      <w:bCs/>
      <w:sz w:val="32"/>
      <w:szCs w:val="32"/>
    </w:rPr>
  </w:style>
  <w:style w:type="paragraph" w:styleId="89">
    <w:name w:val="annotation subject"/>
    <w:basedOn w:val="34"/>
    <w:next w:val="34"/>
    <w:semiHidden/>
    <w:qFormat/>
    <w:uiPriority w:val="0"/>
    <w:pPr>
      <w:adjustRightInd/>
      <w:spacing w:line="240" w:lineRule="auto"/>
      <w:textAlignment w:val="auto"/>
    </w:pPr>
    <w:rPr>
      <w:b/>
      <w:bCs/>
      <w:kern w:val="2"/>
      <w:sz w:val="21"/>
      <w:szCs w:val="24"/>
    </w:rPr>
  </w:style>
  <w:style w:type="table" w:styleId="91">
    <w:name w:val="Table Grid"/>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2">
    <w:name w:val="Table Grid 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94">
    <w:name w:val="Strong"/>
    <w:qFormat/>
    <w:uiPriority w:val="0"/>
    <w:rPr>
      <w:b/>
      <w:bCs/>
    </w:rPr>
  </w:style>
  <w:style w:type="character" w:styleId="95">
    <w:name w:val="page number"/>
    <w:qFormat/>
    <w:uiPriority w:val="99"/>
    <w:rPr>
      <w:rFonts w:eastAsia="宋体" w:cs="宋体"/>
      <w:kern w:val="2"/>
      <w:sz w:val="18"/>
      <w:szCs w:val="28"/>
      <w:lang w:val="en-US" w:eastAsia="zh-CN" w:bidi="ar-SA"/>
    </w:rPr>
  </w:style>
  <w:style w:type="character" w:styleId="96">
    <w:name w:val="FollowedHyperlink"/>
    <w:unhideWhenUsed/>
    <w:qFormat/>
    <w:uiPriority w:val="99"/>
    <w:rPr>
      <w:color w:val="333333"/>
      <w:u w:val="none"/>
    </w:rPr>
  </w:style>
  <w:style w:type="character" w:styleId="97">
    <w:name w:val="HTML Typewriter"/>
    <w:qFormat/>
    <w:uiPriority w:val="0"/>
    <w:rPr>
      <w:rFonts w:ascii="Arial Unicode MS" w:hAnsi="Arial Unicode MS" w:eastAsia="Arial Unicode MS" w:cs="Arial Unicode MS"/>
      <w:sz w:val="24"/>
      <w:szCs w:val="24"/>
    </w:rPr>
  </w:style>
  <w:style w:type="character" w:styleId="98">
    <w:name w:val="Hyperlink"/>
    <w:basedOn w:val="93"/>
    <w:qFormat/>
    <w:uiPriority w:val="99"/>
    <w:rPr>
      <w:color w:val="0000FF"/>
      <w:u w:val="single"/>
    </w:rPr>
  </w:style>
  <w:style w:type="character" w:styleId="99">
    <w:name w:val="annotation reference"/>
    <w:qFormat/>
    <w:uiPriority w:val="0"/>
    <w:rPr>
      <w:sz w:val="21"/>
      <w:szCs w:val="21"/>
    </w:rPr>
  </w:style>
  <w:style w:type="character" w:styleId="100">
    <w:name w:val="footnote reference"/>
    <w:unhideWhenUsed/>
    <w:qFormat/>
    <w:uiPriority w:val="99"/>
    <w:rPr>
      <w:vertAlign w:val="superscript"/>
    </w:rPr>
  </w:style>
  <w:style w:type="paragraph" w:customStyle="1" w:styleId="101">
    <w:name w:val="样式 正文缩进正文缩进2正文缩进 Char Char正文缩进 Char Char Char Char正文缩进 Char ..."/>
    <w:basedOn w:val="22"/>
    <w:qFormat/>
    <w:uiPriority w:val="0"/>
    <w:pPr>
      <w:spacing w:line="360" w:lineRule="auto"/>
      <w:ind w:firstLine="200"/>
    </w:pPr>
    <w:rPr>
      <w:rFonts w:cs="宋体"/>
      <w:sz w:val="24"/>
    </w:rPr>
  </w:style>
  <w:style w:type="paragraph" w:customStyle="1" w:styleId="102">
    <w:name w:val="Body Text First Indent1"/>
    <w:basedOn w:val="26"/>
    <w:qFormat/>
    <w:uiPriority w:val="0"/>
    <w:pPr>
      <w:pBdr>
        <w:top w:val="none" w:color="auto" w:sz="0" w:space="1"/>
        <w:left w:val="none" w:color="auto" w:sz="0" w:space="4"/>
        <w:bottom w:val="none" w:color="auto" w:sz="0" w:space="1"/>
        <w:right w:val="none" w:color="auto" w:sz="0" w:space="4"/>
      </w:pBdr>
      <w:spacing w:before="0" w:beforeLines="0"/>
      <w:ind w:firstLine="0" w:firstLineChars="0"/>
      <w:jc w:val="both"/>
    </w:pPr>
    <w:rPr>
      <w:rFonts w:ascii="Times New Roman" w:hAnsi="Times New Roman"/>
      <w:sz w:val="21"/>
      <w:szCs w:val="24"/>
    </w:rPr>
  </w:style>
  <w:style w:type="character" w:customStyle="1" w:styleId="103">
    <w:name w:val="标题 1 Char"/>
    <w:link w:val="4"/>
    <w:qFormat/>
    <w:uiPriority w:val="0"/>
    <w:rPr>
      <w:rFonts w:eastAsia="宋体"/>
      <w:b/>
      <w:bCs/>
      <w:kern w:val="44"/>
      <w:sz w:val="36"/>
      <w:szCs w:val="36"/>
      <w:lang w:val="en-US" w:eastAsia="zh-CN" w:bidi="ar-SA"/>
    </w:rPr>
  </w:style>
  <w:style w:type="character" w:customStyle="1" w:styleId="104">
    <w:name w:val="标题 3 Char"/>
    <w:link w:val="6"/>
    <w:qFormat/>
    <w:uiPriority w:val="0"/>
    <w:rPr>
      <w:rFonts w:eastAsia="宋体"/>
      <w:b/>
      <w:bCs/>
      <w:kern w:val="2"/>
      <w:sz w:val="28"/>
      <w:szCs w:val="28"/>
      <w:lang w:val="en-US" w:eastAsia="zh-CN" w:bidi="ar-SA"/>
    </w:rPr>
  </w:style>
  <w:style w:type="character" w:customStyle="1" w:styleId="105">
    <w:name w:val="页脚 Char"/>
    <w:link w:val="58"/>
    <w:qFormat/>
    <w:uiPriority w:val="99"/>
    <w:rPr>
      <w:rFonts w:eastAsia="楷体_GB2312"/>
      <w:b/>
      <w:kern w:val="2"/>
      <w:sz w:val="21"/>
      <w:szCs w:val="18"/>
    </w:rPr>
  </w:style>
  <w:style w:type="paragraph" w:customStyle="1" w:styleId="106">
    <w:name w:val="样式 样式 小四 行距: 1.5 倍行距 + 首行缩进:  0 字符"/>
    <w:basedOn w:val="1"/>
    <w:qFormat/>
    <w:uiPriority w:val="0"/>
    <w:pPr>
      <w:keepNext/>
      <w:spacing w:line="360" w:lineRule="auto"/>
    </w:pPr>
    <w:rPr>
      <w:rFonts w:cs="宋体"/>
      <w:sz w:val="24"/>
      <w:szCs w:val="20"/>
    </w:rPr>
  </w:style>
  <w:style w:type="paragraph" w:customStyle="1" w:styleId="107">
    <w:name w:val="样式 样式 小四 行距: 1.5 倍行距 + 首行缩进:  2 字符"/>
    <w:basedOn w:val="1"/>
    <w:link w:val="108"/>
    <w:qFormat/>
    <w:uiPriority w:val="0"/>
    <w:pPr>
      <w:keepNext/>
      <w:spacing w:line="360" w:lineRule="auto"/>
      <w:ind w:firstLine="200" w:firstLineChars="200"/>
    </w:pPr>
    <w:rPr>
      <w:rFonts w:cs="宋体"/>
      <w:sz w:val="24"/>
      <w:szCs w:val="20"/>
    </w:rPr>
  </w:style>
  <w:style w:type="character" w:customStyle="1" w:styleId="108">
    <w:name w:val="样式 样式 小四 行距: 1.5 倍行距 + 首行缩进:  2 字符 Char"/>
    <w:link w:val="107"/>
    <w:qFormat/>
    <w:uiPriority w:val="0"/>
    <w:rPr>
      <w:rFonts w:eastAsia="宋体" w:cs="宋体"/>
      <w:kern w:val="2"/>
      <w:sz w:val="24"/>
      <w:lang w:val="en-US" w:eastAsia="zh-CN" w:bidi="ar-SA"/>
    </w:rPr>
  </w:style>
  <w:style w:type="paragraph" w:customStyle="1" w:styleId="109">
    <w:name w:val="正文(首行缩进)"/>
    <w:basedOn w:val="1"/>
    <w:link w:val="110"/>
    <w:qFormat/>
    <w:uiPriority w:val="0"/>
    <w:pPr>
      <w:spacing w:line="360" w:lineRule="auto"/>
      <w:ind w:firstLine="200" w:firstLineChars="200"/>
    </w:pPr>
    <w:rPr>
      <w:snapToGrid w:val="0"/>
      <w:kern w:val="0"/>
      <w:sz w:val="24"/>
    </w:rPr>
  </w:style>
  <w:style w:type="character" w:customStyle="1" w:styleId="110">
    <w:name w:val="正文(首行缩进) Char"/>
    <w:link w:val="109"/>
    <w:qFormat/>
    <w:uiPriority w:val="0"/>
    <w:rPr>
      <w:rFonts w:eastAsia="宋体"/>
      <w:snapToGrid w:val="0"/>
      <w:sz w:val="24"/>
      <w:szCs w:val="24"/>
      <w:lang w:val="en-US" w:eastAsia="zh-CN" w:bidi="ar-SA"/>
    </w:rPr>
  </w:style>
  <w:style w:type="paragraph" w:customStyle="1" w:styleId="111">
    <w:name w:val="表文字"/>
    <w:link w:val="112"/>
    <w:qFormat/>
    <w:uiPriority w:val="0"/>
    <w:pPr>
      <w:keepNext/>
      <w:widowControl w:val="0"/>
      <w:adjustRightInd w:val="0"/>
      <w:spacing w:line="240" w:lineRule="exact"/>
      <w:jc w:val="center"/>
      <w:textAlignment w:val="baseline"/>
    </w:pPr>
    <w:rPr>
      <w:rFonts w:ascii="Times New Roman" w:hAnsi="Times New Roman" w:eastAsia="宋体" w:cs="Times New Roman"/>
      <w:b/>
      <w:sz w:val="24"/>
      <w:szCs w:val="24"/>
      <w:lang w:val="en-US" w:eastAsia="zh-CN" w:bidi="ar-SA"/>
    </w:rPr>
  </w:style>
  <w:style w:type="character" w:customStyle="1" w:styleId="112">
    <w:name w:val="表文字 Char"/>
    <w:link w:val="111"/>
    <w:qFormat/>
    <w:uiPriority w:val="0"/>
    <w:rPr>
      <w:b/>
      <w:sz w:val="24"/>
      <w:szCs w:val="24"/>
      <w:lang w:val="en-US" w:eastAsia="zh-CN" w:bidi="ar-SA"/>
    </w:rPr>
  </w:style>
  <w:style w:type="paragraph" w:customStyle="1" w:styleId="113">
    <w:name w:val="表格正文"/>
    <w:qFormat/>
    <w:uiPriority w:val="0"/>
    <w:pPr>
      <w:widowControl w:val="0"/>
      <w:tabs>
        <w:tab w:val="center" w:pos="4153"/>
        <w:tab w:val="right" w:pos="8306"/>
      </w:tabs>
      <w:adjustRightInd w:val="0"/>
      <w:snapToGrid w:val="0"/>
    </w:pPr>
    <w:rPr>
      <w:rFonts w:ascii="Times New Roman" w:hAnsi="Times New Roman" w:eastAsia="宋体" w:cs="宋体"/>
      <w:color w:val="FF0000"/>
      <w:sz w:val="21"/>
      <w:szCs w:val="21"/>
      <w:lang w:val="en-US" w:eastAsia="zh-CN" w:bidi="ar-SA"/>
    </w:rPr>
  </w:style>
  <w:style w:type="paragraph" w:customStyle="1" w:styleId="114">
    <w:name w:val="样式 表文字 +1"/>
    <w:basedOn w:val="111"/>
    <w:qFormat/>
    <w:uiPriority w:val="0"/>
    <w:pPr>
      <w:spacing w:line="360" w:lineRule="auto"/>
    </w:pPr>
    <w:rPr>
      <w:bCs/>
    </w:rPr>
  </w:style>
  <w:style w:type="character" w:customStyle="1" w:styleId="115">
    <w:name w:val="文档结构图 Char"/>
    <w:link w:val="32"/>
    <w:qFormat/>
    <w:uiPriority w:val="0"/>
    <w:rPr>
      <w:kern w:val="2"/>
      <w:sz w:val="21"/>
      <w:szCs w:val="24"/>
      <w:shd w:val="clear" w:color="auto" w:fill="000080"/>
    </w:rPr>
  </w:style>
  <w:style w:type="paragraph" w:customStyle="1" w:styleId="116">
    <w:name w:val="文章正文"/>
    <w:next w:val="1"/>
    <w:link w:val="117"/>
    <w:qFormat/>
    <w:uiPriority w:val="0"/>
    <w:pPr>
      <w:spacing w:line="360" w:lineRule="auto"/>
      <w:ind w:firstLine="482"/>
      <w:jc w:val="both"/>
    </w:pPr>
    <w:rPr>
      <w:rFonts w:ascii="Times New Roman" w:hAnsi="Times New Roman" w:eastAsia="仿宋_GB2312" w:cs="Times New Roman"/>
      <w:kern w:val="2"/>
      <w:sz w:val="24"/>
      <w:szCs w:val="24"/>
      <w:lang w:val="en-US" w:eastAsia="zh-CN" w:bidi="ar-SA"/>
    </w:rPr>
  </w:style>
  <w:style w:type="character" w:customStyle="1" w:styleId="117">
    <w:name w:val="文章正文 Char"/>
    <w:link w:val="116"/>
    <w:qFormat/>
    <w:uiPriority w:val="0"/>
    <w:rPr>
      <w:rFonts w:eastAsia="仿宋_GB2312"/>
      <w:kern w:val="2"/>
      <w:sz w:val="24"/>
      <w:szCs w:val="24"/>
      <w:lang w:val="en-US" w:eastAsia="zh-CN" w:bidi="ar-SA"/>
    </w:rPr>
  </w:style>
  <w:style w:type="paragraph" w:customStyle="1" w:styleId="118">
    <w:name w:val="样式3"/>
    <w:basedOn w:val="1"/>
    <w:qFormat/>
    <w:uiPriority w:val="0"/>
  </w:style>
  <w:style w:type="paragraph" w:customStyle="1" w:styleId="119">
    <w:name w:val="样式6"/>
    <w:basedOn w:val="120"/>
    <w:link w:val="121"/>
    <w:qFormat/>
    <w:uiPriority w:val="0"/>
    <w:pPr>
      <w:numPr>
        <w:ilvl w:val="3"/>
        <w:numId w:val="1"/>
      </w:numPr>
      <w:tabs>
        <w:tab w:val="left" w:pos="987"/>
        <w:tab w:val="left" w:pos="1086"/>
        <w:tab w:val="left" w:pos="1230"/>
        <w:tab w:val="clear" w:pos="1944"/>
      </w:tabs>
      <w:adjustRightInd w:val="0"/>
      <w:snapToGrid w:val="0"/>
      <w:spacing w:before="50" w:beforeLines="50" w:after="50" w:afterLines="50" w:line="360" w:lineRule="auto"/>
      <w:ind w:left="1230" w:hanging="720"/>
      <w:jc w:val="left"/>
      <w:outlineLvl w:val="2"/>
    </w:pPr>
    <w:rPr>
      <w:sz w:val="24"/>
    </w:rPr>
  </w:style>
  <w:style w:type="paragraph" w:customStyle="1" w:styleId="120">
    <w:name w:val="样式4"/>
    <w:basedOn w:val="1"/>
    <w:link w:val="124"/>
    <w:qFormat/>
    <w:uiPriority w:val="0"/>
    <w:pPr>
      <w:tabs>
        <w:tab w:val="left" w:pos="987"/>
        <w:tab w:val="left" w:pos="1086"/>
      </w:tabs>
      <w:adjustRightInd w:val="0"/>
      <w:snapToGrid w:val="0"/>
      <w:spacing w:before="50" w:beforeLines="50" w:after="50" w:afterLines="50" w:line="360" w:lineRule="auto"/>
      <w:ind w:left="1086" w:hanging="576"/>
      <w:jc w:val="left"/>
      <w:outlineLvl w:val="1"/>
    </w:pPr>
    <w:rPr>
      <w:rFonts w:eastAsia="黑体"/>
      <w:b/>
      <w:sz w:val="24"/>
    </w:rPr>
  </w:style>
  <w:style w:type="character" w:customStyle="1" w:styleId="121">
    <w:name w:val="样式6 Char Char"/>
    <w:link w:val="119"/>
    <w:qFormat/>
    <w:uiPriority w:val="0"/>
    <w:rPr>
      <w:kern w:val="2"/>
      <w:sz w:val="24"/>
      <w:szCs w:val="24"/>
    </w:rPr>
  </w:style>
  <w:style w:type="paragraph" w:customStyle="1" w:styleId="122">
    <w:name w:val="样式7"/>
    <w:link w:val="123"/>
    <w:qFormat/>
    <w:uiPriority w:val="0"/>
    <w:pPr>
      <w:tabs>
        <w:tab w:val="left" w:pos="1944"/>
        <w:tab w:val="center" w:pos="4153"/>
        <w:tab w:val="right" w:pos="8306"/>
      </w:tabs>
      <w:ind w:left="1944" w:hanging="864"/>
      <w:outlineLvl w:val="3"/>
    </w:pPr>
    <w:rPr>
      <w:rFonts w:ascii="Times New Roman" w:hAnsi="Times New Roman" w:eastAsia="宋体" w:cs="Times New Roman"/>
    </w:rPr>
  </w:style>
  <w:style w:type="character" w:customStyle="1" w:styleId="123">
    <w:name w:val="样式7 Char"/>
    <w:link w:val="122"/>
    <w:qFormat/>
    <w:uiPriority w:val="0"/>
    <w:rPr>
      <w:rFonts w:eastAsia="宋体"/>
      <w:kern w:val="2"/>
      <w:sz w:val="24"/>
      <w:szCs w:val="24"/>
      <w:lang w:val="en-US" w:eastAsia="zh-CN" w:bidi="ar-SA"/>
    </w:rPr>
  </w:style>
  <w:style w:type="character" w:customStyle="1" w:styleId="124">
    <w:name w:val="样式4 Char"/>
    <w:link w:val="120"/>
    <w:qFormat/>
    <w:uiPriority w:val="0"/>
    <w:rPr>
      <w:rFonts w:eastAsia="黑体"/>
      <w:b/>
      <w:kern w:val="2"/>
      <w:sz w:val="24"/>
      <w:szCs w:val="24"/>
    </w:rPr>
  </w:style>
  <w:style w:type="table" w:customStyle="1" w:styleId="125">
    <w:name w:val="word表格"/>
    <w:basedOn w:val="90"/>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26">
    <w:name w:val="图题注"/>
    <w:next w:val="1"/>
    <w:link w:val="127"/>
    <w:qFormat/>
    <w:uiPriority w:val="0"/>
    <w:pPr>
      <w:spacing w:line="360" w:lineRule="auto"/>
      <w:jc w:val="center"/>
    </w:pPr>
    <w:rPr>
      <w:rFonts w:ascii="Times New Roman" w:hAnsi="Times New Roman" w:eastAsia="黑体" w:cs="宋体"/>
      <w:b/>
      <w:bCs/>
      <w:kern w:val="2"/>
      <w:sz w:val="24"/>
      <w:lang w:val="en-US" w:eastAsia="zh-CN" w:bidi="ar-SA"/>
    </w:rPr>
  </w:style>
  <w:style w:type="character" w:customStyle="1" w:styleId="127">
    <w:name w:val="图题注 Char"/>
    <w:link w:val="126"/>
    <w:qFormat/>
    <w:uiPriority w:val="0"/>
    <w:rPr>
      <w:rFonts w:eastAsia="黑体" w:cs="宋体"/>
      <w:b/>
      <w:bCs/>
      <w:kern w:val="2"/>
      <w:sz w:val="24"/>
      <w:lang w:val="en-US" w:eastAsia="zh-CN" w:bidi="ar-SA"/>
    </w:rPr>
  </w:style>
  <w:style w:type="character" w:customStyle="1" w:styleId="128">
    <w:name w:val="页眉 Char1"/>
    <w:link w:val="61"/>
    <w:qFormat/>
    <w:uiPriority w:val="0"/>
    <w:rPr>
      <w:rFonts w:ascii="黑体" w:hAnsi="黑体" w:eastAsia="黑体"/>
      <w:kern w:val="2"/>
      <w:sz w:val="21"/>
      <w:szCs w:val="21"/>
    </w:rPr>
  </w:style>
  <w:style w:type="paragraph" w:customStyle="1" w:styleId="129">
    <w:name w:val="xl27"/>
    <w:basedOn w:val="1"/>
    <w:qFormat/>
    <w:uiPriority w:val="0"/>
    <w:pPr>
      <w:widowControl/>
      <w:pBdr>
        <w:bottom w:val="single" w:color="auto" w:sz="4" w:space="0"/>
        <w:right w:val="single" w:color="auto" w:sz="4" w:space="0"/>
      </w:pBdr>
      <w:spacing w:before="100" w:beforeAutospacing="1" w:after="100" w:afterAutospacing="1"/>
      <w:jc w:val="center"/>
    </w:pPr>
    <w:rPr>
      <w:color w:val="000000"/>
      <w:kern w:val="0"/>
      <w:sz w:val="18"/>
      <w:szCs w:val="18"/>
    </w:rPr>
  </w:style>
  <w:style w:type="character" w:customStyle="1" w:styleId="130">
    <w:name w:val="正文文本缩进 3 Char"/>
    <w:link w:val="74"/>
    <w:qFormat/>
    <w:uiPriority w:val="0"/>
    <w:rPr>
      <w:kern w:val="2"/>
      <w:sz w:val="16"/>
      <w:szCs w:val="16"/>
    </w:rPr>
  </w:style>
  <w:style w:type="paragraph" w:customStyle="1" w:styleId="131">
    <w:name w:val="hb22"/>
    <w:basedOn w:val="5"/>
    <w:link w:val="132"/>
    <w:qFormat/>
    <w:uiPriority w:val="0"/>
    <w:pPr>
      <w:topLinePunct/>
      <w:spacing w:before="120" w:after="120"/>
      <w:textAlignment w:val="baseline"/>
    </w:pPr>
    <w:rPr>
      <w:rFonts w:cs="Arial"/>
      <w:kern w:val="0"/>
      <w:sz w:val="32"/>
      <w:szCs w:val="32"/>
    </w:rPr>
  </w:style>
  <w:style w:type="character" w:customStyle="1" w:styleId="132">
    <w:name w:val="hb22 Char"/>
    <w:link w:val="131"/>
    <w:qFormat/>
    <w:uiPriority w:val="0"/>
    <w:rPr>
      <w:rFonts w:eastAsia="宋体" w:cs="Arial"/>
      <w:b/>
      <w:bCs/>
      <w:sz w:val="32"/>
      <w:szCs w:val="32"/>
      <w:lang w:val="en-US" w:eastAsia="zh-CN" w:bidi="ar-SA"/>
    </w:rPr>
  </w:style>
  <w:style w:type="paragraph" w:customStyle="1" w:styleId="133">
    <w:name w:val="样式 标题 1标题 1 Char1 Char Char标题 1 Char1标题 1 Char章节标题b1篇head..."/>
    <w:basedOn w:val="4"/>
    <w:qFormat/>
    <w:uiPriority w:val="0"/>
    <w:pPr>
      <w:pageBreakBefore/>
      <w:spacing w:line="360" w:lineRule="auto"/>
      <w:jc w:val="both"/>
    </w:pPr>
    <w:rPr>
      <w:rFonts w:cs="宋体"/>
      <w:sz w:val="44"/>
      <w:szCs w:val="20"/>
    </w:rPr>
  </w:style>
  <w:style w:type="paragraph" w:customStyle="1" w:styleId="134">
    <w:name w:val="样式 标题 2标题 2 Char Char Char标题 2 Char Char Char Char Char标题 2 C..."/>
    <w:basedOn w:val="5"/>
    <w:qFormat/>
    <w:uiPriority w:val="0"/>
    <w:pPr>
      <w:keepLines/>
      <w:spacing w:line="360" w:lineRule="auto"/>
      <w:jc w:val="both"/>
    </w:pPr>
    <w:rPr>
      <w:rFonts w:cs="宋体"/>
      <w:sz w:val="32"/>
      <w:szCs w:val="20"/>
    </w:rPr>
  </w:style>
  <w:style w:type="paragraph" w:customStyle="1" w:styleId="135">
    <w:name w:val="模型公式-居中"/>
    <w:next w:val="1"/>
    <w:qFormat/>
    <w:uiPriority w:val="0"/>
    <w:pPr>
      <w:spacing w:line="360" w:lineRule="auto"/>
      <w:jc w:val="center"/>
    </w:pPr>
    <w:rPr>
      <w:rFonts w:ascii="Times New Roman" w:hAnsi="Times New Roman" w:eastAsia="仿宋_GB2312" w:cs="Times New Roman"/>
      <w:bCs/>
      <w:kern w:val="2"/>
      <w:sz w:val="24"/>
      <w:szCs w:val="24"/>
      <w:lang w:val="en-US" w:eastAsia="zh-CN" w:bidi="ar-SA"/>
    </w:rPr>
  </w:style>
  <w:style w:type="paragraph" w:customStyle="1" w:styleId="136">
    <w:name w:val="样式 四号 加粗 黑色 段前: 7.8 磅 段后: 7.8 磅"/>
    <w:basedOn w:val="1"/>
    <w:link w:val="137"/>
    <w:qFormat/>
    <w:uiPriority w:val="0"/>
    <w:pPr>
      <w:keepNext/>
      <w:keepLines/>
      <w:spacing w:before="120" w:after="120"/>
      <w:outlineLvl w:val="2"/>
    </w:pPr>
    <w:rPr>
      <w:rFonts w:cs="宋体"/>
      <w:b/>
      <w:bCs/>
      <w:color w:val="000000"/>
      <w:sz w:val="28"/>
      <w:szCs w:val="20"/>
    </w:rPr>
  </w:style>
  <w:style w:type="character" w:customStyle="1" w:styleId="137">
    <w:name w:val="样式 四号 加粗 黑色 段前: 7.8 磅 段后: 7.8 磅 Char"/>
    <w:link w:val="136"/>
    <w:qFormat/>
    <w:uiPriority w:val="0"/>
    <w:rPr>
      <w:rFonts w:eastAsia="宋体" w:cs="宋体"/>
      <w:b/>
      <w:bCs/>
      <w:color w:val="000000"/>
      <w:kern w:val="2"/>
      <w:sz w:val="28"/>
      <w:lang w:val="en-US" w:eastAsia="zh-CN" w:bidi="ar-SA"/>
    </w:rPr>
  </w:style>
  <w:style w:type="paragraph" w:customStyle="1" w:styleId="138">
    <w:name w:val="样式 样式5 + 首行缩进:  2 字符"/>
    <w:link w:val="139"/>
    <w:qFormat/>
    <w:uiPriority w:val="0"/>
    <w:pPr>
      <w:keepNext/>
      <w:tabs>
        <w:tab w:val="center" w:pos="4153"/>
        <w:tab w:val="right" w:pos="8306"/>
      </w:tabs>
      <w:snapToGrid/>
      <w:ind w:firstLine="200" w:firstLineChars="200"/>
    </w:pPr>
    <w:rPr>
      <w:rFonts w:ascii="Times New Roman" w:hAnsi="Times New Roman" w:eastAsia="宋体" w:cs="宋体"/>
      <w:snapToGrid w:val="0"/>
      <w:color w:val="000000"/>
      <w:kern w:val="0"/>
      <w:szCs w:val="20"/>
    </w:rPr>
  </w:style>
  <w:style w:type="character" w:customStyle="1" w:styleId="139">
    <w:name w:val="样式 样式5 + 首行缩进:  2 字符 Char"/>
    <w:link w:val="138"/>
    <w:qFormat/>
    <w:uiPriority w:val="0"/>
    <w:rPr>
      <w:rFonts w:eastAsia="宋体" w:cs="宋体"/>
      <w:snapToGrid w:val="0"/>
      <w:color w:val="000000"/>
      <w:sz w:val="24"/>
      <w:lang w:val="en-US" w:eastAsia="zh-CN" w:bidi="ar-SA"/>
    </w:rPr>
  </w:style>
  <w:style w:type="paragraph" w:customStyle="1" w:styleId="140">
    <w:name w:val="备注"/>
    <w:next w:val="1"/>
    <w:qFormat/>
    <w:uiPriority w:val="0"/>
    <w:pPr>
      <w:jc w:val="both"/>
    </w:pPr>
    <w:rPr>
      <w:rFonts w:ascii="Times New Roman" w:hAnsi="Times New Roman" w:eastAsia="宋体" w:cs="Times New Roman"/>
      <w:kern w:val="2"/>
      <w:sz w:val="18"/>
      <w:szCs w:val="24"/>
      <w:lang w:val="en-US" w:eastAsia="zh-CN" w:bidi="ar-SA"/>
    </w:rPr>
  </w:style>
  <w:style w:type="paragraph" w:customStyle="1" w:styleId="141">
    <w:name w:val="单位"/>
    <w:next w:val="1"/>
    <w:link w:val="142"/>
    <w:qFormat/>
    <w:uiPriority w:val="0"/>
    <w:pPr>
      <w:jc w:val="right"/>
    </w:pPr>
    <w:rPr>
      <w:rFonts w:ascii="Times New Roman" w:hAnsi="Times New Roman" w:eastAsia="黑体" w:cs="Times New Roman"/>
      <w:kern w:val="2"/>
      <w:sz w:val="21"/>
      <w:szCs w:val="24"/>
      <w:lang w:val="en-US" w:eastAsia="zh-CN" w:bidi="ar-SA"/>
    </w:rPr>
  </w:style>
  <w:style w:type="character" w:customStyle="1" w:styleId="142">
    <w:name w:val="单位 Char"/>
    <w:link w:val="141"/>
    <w:qFormat/>
    <w:uiPriority w:val="0"/>
    <w:rPr>
      <w:rFonts w:eastAsia="黑体"/>
      <w:kern w:val="2"/>
      <w:sz w:val="21"/>
      <w:szCs w:val="24"/>
      <w:lang w:val="en-US" w:eastAsia="zh-CN" w:bidi="ar-SA"/>
    </w:rPr>
  </w:style>
  <w:style w:type="paragraph" w:customStyle="1" w:styleId="143">
    <w:name w:val="样式 四号 加粗 黑色"/>
    <w:basedOn w:val="1"/>
    <w:link w:val="144"/>
    <w:qFormat/>
    <w:uiPriority w:val="0"/>
    <w:pPr>
      <w:keepNext/>
      <w:keepLines/>
      <w:spacing w:line="360" w:lineRule="auto"/>
      <w:jc w:val="left"/>
      <w:outlineLvl w:val="2"/>
    </w:pPr>
    <w:rPr>
      <w:b/>
      <w:color w:val="000000"/>
      <w:sz w:val="28"/>
      <w:szCs w:val="28"/>
    </w:rPr>
  </w:style>
  <w:style w:type="character" w:customStyle="1" w:styleId="144">
    <w:name w:val="样式 四号 加粗 黑色 Char"/>
    <w:link w:val="143"/>
    <w:qFormat/>
    <w:uiPriority w:val="0"/>
    <w:rPr>
      <w:rFonts w:eastAsia="宋体"/>
      <w:b/>
      <w:color w:val="000000"/>
      <w:kern w:val="2"/>
      <w:sz w:val="28"/>
      <w:szCs w:val="28"/>
      <w:lang w:val="en-US" w:eastAsia="zh-CN" w:bidi="ar-SA"/>
    </w:rPr>
  </w:style>
  <w:style w:type="character" w:customStyle="1" w:styleId="145">
    <w:name w:val="样式5 Char"/>
    <w:qFormat/>
    <w:uiPriority w:val="0"/>
    <w:rPr>
      <w:rFonts w:eastAsia="宋体"/>
      <w:bCs/>
      <w:snapToGrid w:val="0"/>
      <w:color w:val="000000"/>
      <w:kern w:val="24"/>
      <w:sz w:val="24"/>
      <w:szCs w:val="24"/>
      <w:lang w:val="en-US" w:eastAsia="zh-CN" w:bidi="ar-SA"/>
    </w:rPr>
  </w:style>
  <w:style w:type="character" w:customStyle="1" w:styleId="146">
    <w:name w:val="style11"/>
    <w:qFormat/>
    <w:uiPriority w:val="0"/>
    <w:rPr>
      <w:rFonts w:eastAsia="宋体" w:cs="宋体"/>
      <w:color w:val="000000"/>
      <w:kern w:val="2"/>
      <w:sz w:val="24"/>
      <w:szCs w:val="24"/>
      <w:lang w:val="en-US" w:eastAsia="zh-CN" w:bidi="ar-SA"/>
    </w:rPr>
  </w:style>
  <w:style w:type="paragraph" w:customStyle="1" w:styleId="147">
    <w:name w:val="样式 hb33 + 段后: 0.5 行"/>
    <w:basedOn w:val="1"/>
    <w:qFormat/>
    <w:uiPriority w:val="0"/>
    <w:pPr>
      <w:keepNext/>
      <w:spacing w:line="240" w:lineRule="atLeast"/>
      <w:jc w:val="left"/>
      <w:textAlignment w:val="baseline"/>
      <w:outlineLvl w:val="2"/>
    </w:pPr>
    <w:rPr>
      <w:rFonts w:cs="宋体"/>
      <w:b/>
      <w:bCs/>
      <w:kern w:val="0"/>
      <w:sz w:val="28"/>
      <w:szCs w:val="20"/>
    </w:rPr>
  </w:style>
  <w:style w:type="character" w:customStyle="1" w:styleId="148">
    <w:name w:val="注释标题 Char"/>
    <w:link w:val="17"/>
    <w:qFormat/>
    <w:uiPriority w:val="0"/>
    <w:rPr>
      <w:rFonts w:eastAsia="宋体"/>
      <w:b/>
      <w:kern w:val="2"/>
      <w:sz w:val="24"/>
      <w:szCs w:val="24"/>
      <w:lang w:val="en-US" w:eastAsia="zh-CN" w:bidi="ar-SA"/>
    </w:rPr>
  </w:style>
  <w:style w:type="paragraph" w:customStyle="1" w:styleId="149">
    <w:name w:val="表样式"/>
    <w:basedOn w:val="1"/>
    <w:link w:val="150"/>
    <w:qFormat/>
    <w:uiPriority w:val="0"/>
    <w:pPr>
      <w:keepNext/>
      <w:spacing w:line="240" w:lineRule="atLeast"/>
      <w:jc w:val="center"/>
    </w:pPr>
    <w:rPr>
      <w:szCs w:val="21"/>
    </w:rPr>
  </w:style>
  <w:style w:type="character" w:customStyle="1" w:styleId="150">
    <w:name w:val="表样式 Char"/>
    <w:link w:val="149"/>
    <w:qFormat/>
    <w:uiPriority w:val="0"/>
    <w:rPr>
      <w:rFonts w:eastAsia="宋体"/>
      <w:kern w:val="2"/>
      <w:sz w:val="21"/>
      <w:szCs w:val="21"/>
      <w:lang w:val="en-US" w:eastAsia="zh-CN" w:bidi="ar-SA"/>
    </w:rPr>
  </w:style>
  <w:style w:type="paragraph" w:customStyle="1" w:styleId="151">
    <w:name w:val="表体"/>
    <w:basedOn w:val="1"/>
    <w:qFormat/>
    <w:uiPriority w:val="0"/>
    <w:pPr>
      <w:keepNext/>
      <w:overflowPunct w:val="0"/>
      <w:adjustRightInd w:val="0"/>
      <w:spacing w:line="300" w:lineRule="atLeast"/>
      <w:jc w:val="center"/>
      <w:textAlignment w:val="baseline"/>
    </w:pPr>
    <w:rPr>
      <w:color w:val="000000"/>
      <w:kern w:val="24"/>
      <w:sz w:val="18"/>
      <w:szCs w:val="20"/>
    </w:rPr>
  </w:style>
  <w:style w:type="paragraph" w:customStyle="1" w:styleId="152">
    <w:name w:val="Char2"/>
    <w:basedOn w:val="1"/>
    <w:qFormat/>
    <w:uiPriority w:val="0"/>
    <w:pPr>
      <w:keepNext/>
      <w:spacing w:line="360" w:lineRule="auto"/>
      <w:jc w:val="left"/>
      <w:outlineLvl w:val="2"/>
    </w:pPr>
    <w:rPr>
      <w:rFonts w:cs="宋体"/>
      <w:b/>
      <w:sz w:val="28"/>
      <w:szCs w:val="28"/>
    </w:rPr>
  </w:style>
  <w:style w:type="paragraph" w:customStyle="1" w:styleId="153">
    <w:name w:val="正文样式11"/>
    <w:basedOn w:val="1"/>
    <w:qFormat/>
    <w:uiPriority w:val="0"/>
    <w:pPr>
      <w:keepNext/>
      <w:keepLines/>
      <w:jc w:val="center"/>
    </w:pPr>
    <w:rPr>
      <w:rFonts w:ascii="宋体" w:hAnsi="宋体" w:cs="Arial"/>
      <w:b/>
      <w:kern w:val="0"/>
      <w:sz w:val="24"/>
    </w:rPr>
  </w:style>
  <w:style w:type="paragraph" w:customStyle="1" w:styleId="154">
    <w:name w:val="样式 小四 行距: 1.5 倍行距"/>
    <w:basedOn w:val="1"/>
    <w:link w:val="155"/>
    <w:qFormat/>
    <w:uiPriority w:val="0"/>
    <w:pPr>
      <w:keepNext/>
      <w:spacing w:line="360" w:lineRule="auto"/>
      <w:ind w:firstLine="200" w:firstLineChars="200"/>
    </w:pPr>
    <w:rPr>
      <w:rFonts w:cs="宋体"/>
      <w:sz w:val="24"/>
      <w:szCs w:val="20"/>
    </w:rPr>
  </w:style>
  <w:style w:type="character" w:customStyle="1" w:styleId="155">
    <w:name w:val="样式 小四 行距: 1.5 倍行距 Char"/>
    <w:link w:val="154"/>
    <w:qFormat/>
    <w:uiPriority w:val="0"/>
    <w:rPr>
      <w:rFonts w:eastAsia="宋体" w:cs="宋体"/>
      <w:kern w:val="2"/>
      <w:sz w:val="24"/>
      <w:lang w:val="en-US" w:eastAsia="zh-CN" w:bidi="ar-SA"/>
    </w:rPr>
  </w:style>
  <w:style w:type="paragraph" w:customStyle="1" w:styleId="156">
    <w:name w:val="ALT+B"/>
    <w:basedOn w:val="1"/>
    <w:next w:val="1"/>
    <w:qFormat/>
    <w:uiPriority w:val="0"/>
    <w:pPr>
      <w:spacing w:line="360" w:lineRule="auto"/>
      <w:jc w:val="center"/>
    </w:pPr>
    <w:rPr>
      <w:rFonts w:cs="宋体"/>
      <w:b/>
      <w:sz w:val="24"/>
    </w:rPr>
  </w:style>
  <w:style w:type="paragraph" w:customStyle="1" w:styleId="157">
    <w:name w:val="样式 样式 宋体 小四 黑色 行距: 固定值 24 磅 + 首行缩进:  2 字符"/>
    <w:basedOn w:val="1"/>
    <w:qFormat/>
    <w:uiPriority w:val="0"/>
    <w:pPr>
      <w:keepNext/>
      <w:spacing w:line="480" w:lineRule="exact"/>
      <w:ind w:firstLine="480" w:firstLineChars="200"/>
    </w:pPr>
    <w:rPr>
      <w:rFonts w:cs="宋体"/>
      <w:color w:val="000000"/>
      <w:sz w:val="24"/>
      <w:szCs w:val="20"/>
    </w:rPr>
  </w:style>
  <w:style w:type="paragraph" w:customStyle="1" w:styleId="158">
    <w:name w:val="样式 小四 加粗 居中 段后: 7.8 磅"/>
    <w:basedOn w:val="1"/>
    <w:qFormat/>
    <w:uiPriority w:val="0"/>
    <w:pPr>
      <w:keepNext/>
      <w:spacing w:after="156"/>
      <w:jc w:val="center"/>
    </w:pPr>
    <w:rPr>
      <w:rFonts w:cs="宋体"/>
      <w:b/>
      <w:bCs/>
      <w:sz w:val="24"/>
      <w:szCs w:val="20"/>
    </w:rPr>
  </w:style>
  <w:style w:type="paragraph" w:customStyle="1" w:styleId="159">
    <w:name w:val="ALT+C"/>
    <w:basedOn w:val="1"/>
    <w:link w:val="160"/>
    <w:qFormat/>
    <w:uiPriority w:val="0"/>
    <w:pPr>
      <w:keepNext/>
      <w:spacing w:line="360" w:lineRule="auto"/>
      <w:ind w:firstLine="480" w:firstLineChars="200"/>
    </w:pPr>
    <w:rPr>
      <w:sz w:val="24"/>
    </w:rPr>
  </w:style>
  <w:style w:type="character" w:customStyle="1" w:styleId="160">
    <w:name w:val="ALT+C Char"/>
    <w:link w:val="159"/>
    <w:qFormat/>
    <w:uiPriority w:val="0"/>
    <w:rPr>
      <w:rFonts w:eastAsia="宋体"/>
      <w:kern w:val="2"/>
      <w:sz w:val="24"/>
      <w:szCs w:val="24"/>
      <w:lang w:val="en-US" w:eastAsia="zh-CN" w:bidi="ar-SA"/>
    </w:rPr>
  </w:style>
  <w:style w:type="paragraph" w:customStyle="1" w:styleId="161">
    <w:name w:val="xl30"/>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character" w:customStyle="1" w:styleId="162">
    <w:name w:val="h31"/>
    <w:qFormat/>
    <w:uiPriority w:val="0"/>
    <w:rPr>
      <w:sz w:val="21"/>
      <w:szCs w:val="21"/>
    </w:rPr>
  </w:style>
  <w:style w:type="character" w:customStyle="1" w:styleId="163">
    <w:name w:val="正文缩进 Char1"/>
    <w:qFormat/>
    <w:uiPriority w:val="0"/>
    <w:rPr>
      <w:rFonts w:ascii="宋体" w:eastAsia="宋体"/>
      <w:kern w:val="2"/>
      <w:sz w:val="24"/>
      <w:szCs w:val="24"/>
      <w:lang w:val="en-US" w:eastAsia="zh-CN" w:bidi="ar-SA"/>
    </w:rPr>
  </w:style>
  <w:style w:type="paragraph" w:customStyle="1" w:styleId="164">
    <w:name w:val="正文（首行缩进两字） Char Char Char Char1 Char11"/>
    <w:basedOn w:val="1"/>
    <w:next w:val="22"/>
    <w:semiHidden/>
    <w:qFormat/>
    <w:uiPriority w:val="0"/>
    <w:pPr>
      <w:spacing w:line="440" w:lineRule="exact"/>
      <w:ind w:firstLine="200" w:firstLineChars="200"/>
    </w:pPr>
    <w:rPr>
      <w:rFonts w:ascii="Arial" w:hAnsi="Arial"/>
      <w:sz w:val="24"/>
    </w:rPr>
  </w:style>
  <w:style w:type="character" w:customStyle="1" w:styleId="165">
    <w:name w:val="正文缩进2"/>
    <w:semiHidden/>
    <w:qFormat/>
    <w:uiPriority w:val="0"/>
  </w:style>
  <w:style w:type="character" w:customStyle="1" w:styleId="166">
    <w:name w:val="日期 Char"/>
    <w:link w:val="53"/>
    <w:qFormat/>
    <w:uiPriority w:val="0"/>
    <w:rPr>
      <w:sz w:val="24"/>
    </w:rPr>
  </w:style>
  <w:style w:type="paragraph" w:customStyle="1" w:styleId="167">
    <w:name w:val="样式1"/>
    <w:basedOn w:val="1"/>
    <w:qFormat/>
    <w:uiPriority w:val="0"/>
    <w:pPr>
      <w:tabs>
        <w:tab w:val="left" w:pos="942"/>
      </w:tabs>
      <w:adjustRightInd w:val="0"/>
      <w:snapToGrid w:val="0"/>
      <w:spacing w:after="100" w:afterAutospacing="1" w:line="360" w:lineRule="auto"/>
      <w:ind w:left="942" w:hanging="432"/>
      <w:jc w:val="left"/>
      <w:outlineLvl w:val="0"/>
    </w:pPr>
    <w:rPr>
      <w:rFonts w:ascii="黑体" w:eastAsia="黑体"/>
      <w:b/>
      <w:sz w:val="28"/>
    </w:rPr>
  </w:style>
  <w:style w:type="paragraph" w:customStyle="1" w:styleId="168">
    <w:name w:val="样式2"/>
    <w:basedOn w:val="1"/>
    <w:qFormat/>
    <w:uiPriority w:val="0"/>
    <w:pPr>
      <w:tabs>
        <w:tab w:val="left" w:pos="576"/>
      </w:tabs>
      <w:ind w:left="576" w:hanging="576"/>
    </w:pPr>
  </w:style>
  <w:style w:type="character" w:customStyle="1" w:styleId="169">
    <w:name w:val="已访问的超链接1"/>
    <w:qFormat/>
    <w:uiPriority w:val="0"/>
    <w:rPr>
      <w:color w:val="800080"/>
      <w:u w:val="single"/>
    </w:rPr>
  </w:style>
  <w:style w:type="character" w:customStyle="1" w:styleId="170">
    <w:name w:val="纯文本 Char"/>
    <w:link w:val="49"/>
    <w:qFormat/>
    <w:locked/>
    <w:uiPriority w:val="0"/>
    <w:rPr>
      <w:rFonts w:ascii="宋体" w:hAnsi="Courier New" w:eastAsia="宋体"/>
      <w:kern w:val="2"/>
      <w:sz w:val="21"/>
      <w:lang w:val="en-US" w:eastAsia="zh-CN" w:bidi="ar-SA"/>
    </w:rPr>
  </w:style>
  <w:style w:type="paragraph" w:customStyle="1" w:styleId="171">
    <w:name w:val="表格1"/>
    <w:basedOn w:val="1"/>
    <w:link w:val="172"/>
    <w:qFormat/>
    <w:uiPriority w:val="0"/>
    <w:pPr>
      <w:adjustRightInd w:val="0"/>
      <w:jc w:val="center"/>
      <w:textAlignment w:val="baseline"/>
    </w:pPr>
    <w:rPr>
      <w:kern w:val="28"/>
      <w:sz w:val="28"/>
      <w:szCs w:val="20"/>
    </w:rPr>
  </w:style>
  <w:style w:type="character" w:customStyle="1" w:styleId="172">
    <w:name w:val="表格 Char"/>
    <w:link w:val="171"/>
    <w:qFormat/>
    <w:uiPriority w:val="0"/>
    <w:rPr>
      <w:rFonts w:eastAsia="宋体"/>
      <w:kern w:val="28"/>
      <w:sz w:val="28"/>
      <w:lang w:val="en-US" w:eastAsia="zh-CN" w:bidi="ar-SA"/>
    </w:rPr>
  </w:style>
  <w:style w:type="paragraph" w:customStyle="1" w:styleId="173">
    <w:name w:val="正文表格"/>
    <w:basedOn w:val="1"/>
    <w:qFormat/>
    <w:uiPriority w:val="0"/>
    <w:pPr>
      <w:keepNext/>
      <w:keepLines/>
      <w:tabs>
        <w:tab w:val="center" w:pos="6804"/>
      </w:tabs>
      <w:overflowPunct w:val="0"/>
      <w:adjustRightInd w:val="0"/>
      <w:spacing w:before="80"/>
      <w:jc w:val="center"/>
      <w:textAlignment w:val="bottom"/>
    </w:pPr>
    <w:rPr>
      <w:kern w:val="0"/>
      <w:sz w:val="28"/>
      <w:szCs w:val="20"/>
    </w:rPr>
  </w:style>
  <w:style w:type="paragraph" w:customStyle="1" w:styleId="174">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75">
    <w:name w:val="样式9"/>
    <w:basedOn w:val="6"/>
    <w:link w:val="176"/>
    <w:qFormat/>
    <w:uiPriority w:val="0"/>
    <w:pPr>
      <w:tabs>
        <w:tab w:val="left" w:pos="720"/>
        <w:tab w:val="left" w:pos="1770"/>
      </w:tabs>
      <w:adjustRightInd w:val="0"/>
      <w:spacing w:before="260" w:after="260" w:line="416" w:lineRule="atLeast"/>
      <w:ind w:left="720" w:hanging="720"/>
      <w:textAlignment w:val="baseline"/>
    </w:pPr>
    <w:rPr>
      <w:b w:val="0"/>
      <w:bCs w:val="0"/>
      <w:kern w:val="0"/>
      <w:sz w:val="24"/>
      <w:szCs w:val="20"/>
    </w:rPr>
  </w:style>
  <w:style w:type="character" w:customStyle="1" w:styleId="176">
    <w:name w:val="样式9 Char"/>
    <w:link w:val="175"/>
    <w:qFormat/>
    <w:uiPriority w:val="0"/>
    <w:rPr>
      <w:sz w:val="24"/>
    </w:rPr>
  </w:style>
  <w:style w:type="paragraph" w:customStyle="1" w:styleId="177">
    <w:name w:val="正文王"/>
    <w:basedOn w:val="49"/>
    <w:qFormat/>
    <w:uiPriority w:val="0"/>
    <w:pPr>
      <w:spacing w:line="440" w:lineRule="exact"/>
    </w:pPr>
    <w:rPr>
      <w:rFonts w:ascii="Arial" w:hAnsi="Arial"/>
      <w:snapToGrid w:val="0"/>
      <w:kern w:val="0"/>
      <w:sz w:val="24"/>
    </w:rPr>
  </w:style>
  <w:style w:type="paragraph" w:customStyle="1" w:styleId="178">
    <w:name w:val="正文文本 21"/>
    <w:basedOn w:val="1"/>
    <w:qFormat/>
    <w:uiPriority w:val="0"/>
    <w:pPr>
      <w:adjustRightInd w:val="0"/>
      <w:spacing w:before="120" w:line="400" w:lineRule="exact"/>
      <w:ind w:firstLine="567"/>
      <w:textAlignment w:val="baseline"/>
    </w:pPr>
    <w:rPr>
      <w:rFonts w:ascii="宋体"/>
      <w:spacing w:val="5"/>
      <w:kern w:val="0"/>
      <w:sz w:val="28"/>
      <w:szCs w:val="20"/>
    </w:rPr>
  </w:style>
  <w:style w:type="character" w:customStyle="1" w:styleId="179">
    <w:name w:val="duanluo2"/>
    <w:qFormat/>
    <w:uiPriority w:val="0"/>
    <w:rPr>
      <w:rFonts w:hint="default" w:ascii="_GB2312" w:hAnsi="_GB2312"/>
      <w:color w:val="000000"/>
      <w:sz w:val="28"/>
      <w:szCs w:val="28"/>
    </w:rPr>
  </w:style>
  <w:style w:type="paragraph" w:customStyle="1" w:styleId="180">
    <w:name w:val="Char Char Char Char"/>
    <w:basedOn w:val="1"/>
    <w:qFormat/>
    <w:uiPriority w:val="0"/>
    <w:pPr>
      <w:spacing w:before="20" w:beforeLines="20" w:line="440" w:lineRule="atLeast"/>
      <w:ind w:firstLine="200" w:firstLineChars="200"/>
    </w:pPr>
    <w:rPr>
      <w:sz w:val="24"/>
    </w:rPr>
  </w:style>
  <w:style w:type="character" w:customStyle="1" w:styleId="181">
    <w:name w:val="样式7 Char Char"/>
    <w:qFormat/>
    <w:uiPriority w:val="0"/>
    <w:rPr>
      <w:rFonts w:eastAsia="宋体"/>
      <w:kern w:val="2"/>
      <w:sz w:val="24"/>
      <w:szCs w:val="24"/>
      <w:lang w:val="en-US" w:eastAsia="zh-CN" w:bidi="ar-SA"/>
    </w:rPr>
  </w:style>
  <w:style w:type="paragraph" w:customStyle="1" w:styleId="182">
    <w:name w:val="表"/>
    <w:basedOn w:val="1"/>
    <w:next w:val="1"/>
    <w:qFormat/>
    <w:uiPriority w:val="0"/>
    <w:pPr>
      <w:adjustRightInd w:val="0"/>
      <w:spacing w:before="120"/>
      <w:jc w:val="center"/>
      <w:textAlignment w:val="baseline"/>
    </w:pPr>
    <w:rPr>
      <w:kern w:val="0"/>
      <w:szCs w:val="20"/>
    </w:rPr>
  </w:style>
  <w:style w:type="paragraph" w:customStyle="1" w:styleId="183">
    <w:name w:val="自定义正文"/>
    <w:basedOn w:val="22"/>
    <w:link w:val="184"/>
    <w:qFormat/>
    <w:uiPriority w:val="0"/>
    <w:pPr>
      <w:adjustRightInd w:val="0"/>
      <w:ind w:firstLine="200" w:firstLineChars="200"/>
      <w:textAlignment w:val="baseline"/>
    </w:pPr>
    <w:rPr>
      <w:kern w:val="0"/>
      <w:sz w:val="28"/>
      <w:szCs w:val="21"/>
    </w:rPr>
  </w:style>
  <w:style w:type="character" w:customStyle="1" w:styleId="184">
    <w:name w:val="自定义正文 Char"/>
    <w:link w:val="183"/>
    <w:qFormat/>
    <w:uiPriority w:val="0"/>
    <w:rPr>
      <w:rFonts w:eastAsia="宋体"/>
      <w:sz w:val="28"/>
      <w:szCs w:val="21"/>
      <w:lang w:val="en-US" w:eastAsia="zh-CN" w:bidi="ar-SA"/>
    </w:rPr>
  </w:style>
  <w:style w:type="paragraph" w:customStyle="1" w:styleId="185">
    <w:name w:val="正文样式1"/>
    <w:basedOn w:val="49"/>
    <w:qFormat/>
    <w:uiPriority w:val="0"/>
    <w:pPr>
      <w:widowControl/>
      <w:spacing w:line="360" w:lineRule="auto"/>
      <w:ind w:firstLine="560" w:firstLineChars="200"/>
      <w:jc w:val="left"/>
    </w:pPr>
    <w:rPr>
      <w:rFonts w:cs="Courier New"/>
      <w:kern w:val="0"/>
      <w:sz w:val="24"/>
      <w:szCs w:val="21"/>
    </w:rPr>
  </w:style>
  <w:style w:type="paragraph" w:customStyle="1" w:styleId="186">
    <w:name w:val="正文样式"/>
    <w:basedOn w:val="1"/>
    <w:link w:val="187"/>
    <w:qFormat/>
    <w:uiPriority w:val="0"/>
    <w:pPr>
      <w:spacing w:line="360" w:lineRule="auto"/>
      <w:ind w:firstLine="480" w:firstLineChars="200"/>
    </w:pPr>
    <w:rPr>
      <w:rFonts w:ascii="宋体" w:hAnsi="宋体"/>
      <w:sz w:val="24"/>
    </w:rPr>
  </w:style>
  <w:style w:type="character" w:customStyle="1" w:styleId="187">
    <w:name w:val="正文样式 Char"/>
    <w:link w:val="186"/>
    <w:qFormat/>
    <w:uiPriority w:val="0"/>
    <w:rPr>
      <w:rFonts w:ascii="宋体" w:hAnsi="宋体"/>
      <w:kern w:val="2"/>
      <w:sz w:val="24"/>
      <w:szCs w:val="24"/>
    </w:rPr>
  </w:style>
  <w:style w:type="character" w:customStyle="1" w:styleId="188">
    <w:name w:val="二级标题 Char"/>
    <w:link w:val="189"/>
    <w:qFormat/>
    <w:uiPriority w:val="0"/>
    <w:rPr>
      <w:rFonts w:eastAsia="黑体"/>
      <w:b/>
      <w:kern w:val="2"/>
      <w:sz w:val="24"/>
      <w:szCs w:val="24"/>
      <w:lang w:val="en-US" w:eastAsia="zh-CN" w:bidi="ar-SA"/>
    </w:rPr>
  </w:style>
  <w:style w:type="paragraph" w:customStyle="1" w:styleId="189">
    <w:name w:val="二级标题"/>
    <w:basedOn w:val="1"/>
    <w:link w:val="188"/>
    <w:qFormat/>
    <w:uiPriority w:val="0"/>
    <w:pPr>
      <w:spacing w:line="360" w:lineRule="auto"/>
      <w:ind w:firstLine="200" w:firstLineChars="200"/>
    </w:pPr>
    <w:rPr>
      <w:rFonts w:eastAsia="黑体"/>
      <w:b/>
      <w:sz w:val="24"/>
    </w:rPr>
  </w:style>
  <w:style w:type="paragraph" w:customStyle="1" w:styleId="190">
    <w:name w:val="自定义表格"/>
    <w:basedOn w:val="183"/>
    <w:link w:val="191"/>
    <w:qFormat/>
    <w:uiPriority w:val="0"/>
    <w:pPr>
      <w:adjustRightInd/>
      <w:ind w:firstLine="0" w:firstLineChars="0"/>
      <w:textAlignment w:val="auto"/>
    </w:pPr>
    <w:rPr>
      <w:kern w:val="2"/>
      <w:sz w:val="21"/>
      <w:szCs w:val="24"/>
    </w:rPr>
  </w:style>
  <w:style w:type="character" w:customStyle="1" w:styleId="191">
    <w:name w:val="自定义表格 Char"/>
    <w:link w:val="190"/>
    <w:qFormat/>
    <w:uiPriority w:val="0"/>
    <w:rPr>
      <w:rFonts w:eastAsia="宋体"/>
      <w:kern w:val="2"/>
      <w:sz w:val="21"/>
      <w:szCs w:val="24"/>
      <w:lang w:val="en-US" w:eastAsia="zh-CN" w:bidi="ar-SA"/>
    </w:rPr>
  </w:style>
  <w:style w:type="paragraph" w:customStyle="1" w:styleId="192">
    <w:name w:val="表格文字2"/>
    <w:basedOn w:val="1"/>
    <w:qFormat/>
    <w:uiPriority w:val="0"/>
    <w:pPr>
      <w:adjustRightInd w:val="0"/>
      <w:snapToGrid w:val="0"/>
      <w:spacing w:before="72" w:beforeLines="30"/>
      <w:ind w:left="-105" w:leftChars="-50" w:right="-105" w:rightChars="-50"/>
      <w:jc w:val="center"/>
      <w:textAlignment w:val="baseline"/>
    </w:pPr>
    <w:rPr>
      <w:rFonts w:eastAsia="仿宋_GB2312"/>
      <w:snapToGrid w:val="0"/>
      <w:kern w:val="0"/>
      <w:szCs w:val="21"/>
    </w:rPr>
  </w:style>
  <w:style w:type="paragraph" w:customStyle="1" w:styleId="193">
    <w:name w:val="font7"/>
    <w:basedOn w:val="1"/>
    <w:qFormat/>
    <w:uiPriority w:val="0"/>
    <w:pPr>
      <w:widowControl/>
      <w:spacing w:before="100" w:beforeAutospacing="1" w:after="100" w:afterAutospacing="1"/>
      <w:jc w:val="left"/>
    </w:pPr>
    <w:rPr>
      <w:rFonts w:hint="eastAsia" w:ascii="仿宋_GB2312" w:hAnsi="Arial Unicode MS" w:eastAsia="仿宋_GB2312"/>
      <w:kern w:val="0"/>
      <w:sz w:val="24"/>
    </w:rPr>
  </w:style>
  <w:style w:type="paragraph" w:customStyle="1" w:styleId="194">
    <w:name w:val="myformat_content Char"/>
    <w:basedOn w:val="1"/>
    <w:qFormat/>
    <w:uiPriority w:val="0"/>
    <w:pPr>
      <w:spacing w:before="156" w:beforeLines="50" w:after="156" w:afterLines="50" w:line="360" w:lineRule="exact"/>
      <w:ind w:firstLine="480" w:firstLineChars="200"/>
    </w:pPr>
    <w:rPr>
      <w:sz w:val="24"/>
      <w:szCs w:val="20"/>
    </w:rPr>
  </w:style>
  <w:style w:type="paragraph" w:customStyle="1" w:styleId="195">
    <w:name w:val="正文文字 3"/>
    <w:qFormat/>
    <w:uiPriority w:val="0"/>
    <w:rPr>
      <w:rFonts w:ascii="Times New Roman" w:hAnsi="Times New Roman" w:eastAsia="宋体" w:cs="Times New Roman"/>
      <w:color w:val="auto"/>
    </w:rPr>
  </w:style>
  <w:style w:type="paragraph" w:customStyle="1" w:styleId="196">
    <w:name w:val="标题1样式"/>
    <w:basedOn w:val="4"/>
    <w:qFormat/>
    <w:uiPriority w:val="0"/>
    <w:pPr>
      <w:keepLines/>
      <w:widowControl/>
      <w:spacing w:line="500" w:lineRule="exact"/>
    </w:pPr>
    <w:rPr>
      <w:rFonts w:ascii="宋体" w:hAnsi="宋体" w:eastAsia="黑体"/>
      <w:kern w:val="2"/>
      <w:sz w:val="24"/>
      <w:szCs w:val="44"/>
    </w:rPr>
  </w:style>
  <w:style w:type="paragraph" w:customStyle="1" w:styleId="197">
    <w:name w:val="正文样式3"/>
    <w:basedOn w:val="1"/>
    <w:qFormat/>
    <w:uiPriority w:val="0"/>
    <w:pPr>
      <w:keepLines/>
      <w:adjustRightInd w:val="0"/>
      <w:spacing w:line="20" w:lineRule="atLeast"/>
      <w:jc w:val="center"/>
      <w:textAlignment w:val="baseline"/>
    </w:pPr>
    <w:rPr>
      <w:kern w:val="0"/>
      <w:sz w:val="24"/>
      <w:szCs w:val="20"/>
    </w:rPr>
  </w:style>
  <w:style w:type="paragraph" w:customStyle="1" w:styleId="198">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199">
    <w:name w:val="表格样式"/>
    <w:basedOn w:val="1"/>
    <w:qFormat/>
    <w:uiPriority w:val="0"/>
    <w:pPr>
      <w:widowControl/>
      <w:spacing w:line="360" w:lineRule="exact"/>
      <w:jc w:val="left"/>
    </w:pPr>
    <w:rPr>
      <w:rFonts w:ascii="宋体" w:hAnsi="宋体"/>
      <w:kern w:val="0"/>
      <w:szCs w:val="21"/>
    </w:rPr>
  </w:style>
  <w:style w:type="paragraph" w:customStyle="1" w:styleId="200">
    <w:name w:val="标题 4 + 四号"/>
    <w:basedOn w:val="6"/>
    <w:qFormat/>
    <w:uiPriority w:val="0"/>
    <w:pPr>
      <w:spacing w:before="260" w:after="260" w:line="300" w:lineRule="exact"/>
      <w:ind w:firstLine="562" w:firstLineChars="200"/>
      <w:jc w:val="both"/>
    </w:pPr>
  </w:style>
  <w:style w:type="paragraph" w:customStyle="1" w:styleId="201">
    <w:name w:val="标题2样式"/>
    <w:basedOn w:val="1"/>
    <w:qFormat/>
    <w:uiPriority w:val="0"/>
    <w:pPr>
      <w:keepNext/>
      <w:keepLines/>
      <w:widowControl/>
      <w:spacing w:line="360" w:lineRule="auto"/>
      <w:jc w:val="left"/>
      <w:outlineLvl w:val="1"/>
    </w:pPr>
    <w:rPr>
      <w:rFonts w:ascii="黑体" w:hAnsi="宋体" w:eastAsia="黑体"/>
      <w:b/>
      <w:bCs/>
      <w:kern w:val="0"/>
      <w:sz w:val="24"/>
      <w:szCs w:val="32"/>
    </w:rPr>
  </w:style>
  <w:style w:type="paragraph" w:customStyle="1" w:styleId="202">
    <w:name w:val="缩进"/>
    <w:basedOn w:val="1"/>
    <w:qFormat/>
    <w:uiPriority w:val="0"/>
    <w:pPr>
      <w:autoSpaceDE w:val="0"/>
      <w:autoSpaceDN w:val="0"/>
      <w:adjustRightInd w:val="0"/>
      <w:spacing w:line="400" w:lineRule="atLeast"/>
      <w:ind w:firstLine="200" w:firstLineChars="200"/>
      <w:textAlignment w:val="baseline"/>
    </w:pPr>
    <w:rPr>
      <w:kern w:val="0"/>
      <w:sz w:val="24"/>
      <w:szCs w:val="20"/>
    </w:rPr>
  </w:style>
  <w:style w:type="character" w:customStyle="1" w:styleId="203">
    <w:name w:val="标题1"/>
    <w:basedOn w:val="93"/>
    <w:qFormat/>
    <w:uiPriority w:val="0"/>
  </w:style>
  <w:style w:type="paragraph" w:customStyle="1" w:styleId="204">
    <w:name w:val="正文文本缩进 21"/>
    <w:basedOn w:val="1"/>
    <w:qFormat/>
    <w:uiPriority w:val="0"/>
    <w:pPr>
      <w:adjustRightInd w:val="0"/>
      <w:spacing w:line="360" w:lineRule="atLeast"/>
      <w:ind w:left="-120" w:firstLine="600"/>
      <w:jc w:val="left"/>
      <w:textAlignment w:val="baseline"/>
    </w:pPr>
    <w:rPr>
      <w:rFonts w:ascii="宋体"/>
      <w:kern w:val="0"/>
      <w:sz w:val="28"/>
      <w:szCs w:val="20"/>
    </w:rPr>
  </w:style>
  <w:style w:type="paragraph" w:customStyle="1" w:styleId="205">
    <w:name w:val="正文文本缩进 31"/>
    <w:basedOn w:val="1"/>
    <w:qFormat/>
    <w:uiPriority w:val="0"/>
    <w:pPr>
      <w:tabs>
        <w:tab w:val="left" w:pos="480"/>
      </w:tabs>
      <w:adjustRightInd w:val="0"/>
      <w:spacing w:line="360" w:lineRule="atLeast"/>
      <w:ind w:firstLine="567"/>
      <w:jc w:val="left"/>
      <w:textAlignment w:val="baseline"/>
    </w:pPr>
    <w:rPr>
      <w:rFonts w:ascii="宋体"/>
      <w:kern w:val="0"/>
      <w:sz w:val="28"/>
      <w:szCs w:val="20"/>
    </w:rPr>
  </w:style>
  <w:style w:type="paragraph" w:customStyle="1" w:styleId="206">
    <w:name w:val="s16qcsl240slmult0nowidct"/>
    <w:qFormat/>
    <w:uiPriority w:val="0"/>
    <w:pPr>
      <w:widowControl w:val="0"/>
      <w:adjustRightInd w:val="0"/>
      <w:jc w:val="both"/>
      <w:textAlignment w:val="baseline"/>
    </w:pPr>
    <w:rPr>
      <w:rFonts w:ascii="Times New Roman" w:hAnsi="Times New Roman" w:eastAsia="宋体" w:cs="Times New Roman"/>
      <w:sz w:val="21"/>
      <w:lang w:val="en-US" w:eastAsia="zh-CN" w:bidi="ar-SA"/>
    </w:rPr>
  </w:style>
  <w:style w:type="character" w:customStyle="1" w:styleId="207">
    <w:name w:val="class11"/>
    <w:qFormat/>
    <w:uiPriority w:val="0"/>
    <w:rPr>
      <w:color w:val="003366"/>
      <w:sz w:val="18"/>
      <w:szCs w:val="18"/>
    </w:rPr>
  </w:style>
  <w:style w:type="character" w:customStyle="1" w:styleId="208">
    <w:name w:val="样式6 Char"/>
    <w:qFormat/>
    <w:uiPriority w:val="0"/>
    <w:rPr>
      <w:rFonts w:eastAsia="宋体"/>
      <w:b/>
      <w:kern w:val="2"/>
      <w:sz w:val="24"/>
      <w:szCs w:val="24"/>
    </w:rPr>
  </w:style>
  <w:style w:type="paragraph" w:customStyle="1" w:styleId="209">
    <w:name w:val="xl29"/>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210">
    <w:name w:val="样式6 + 段前: 0.5 行 段后: 0.5 行"/>
    <w:basedOn w:val="119"/>
    <w:qFormat/>
    <w:uiPriority w:val="0"/>
    <w:pPr>
      <w:numPr>
        <w:ilvl w:val="0"/>
        <w:numId w:val="0"/>
      </w:numPr>
      <w:tabs>
        <w:tab w:val="left" w:pos="1260"/>
      </w:tabs>
      <w:spacing w:before="120" w:after="120"/>
      <w:ind w:left="1260" w:hanging="720"/>
    </w:pPr>
    <w:rPr>
      <w:rFonts w:cs="宋体"/>
      <w:szCs w:val="20"/>
    </w:rPr>
  </w:style>
  <w:style w:type="character" w:customStyle="1" w:styleId="211">
    <w:name w:val="样式7 Char1"/>
    <w:qFormat/>
    <w:uiPriority w:val="0"/>
    <w:rPr>
      <w:rFonts w:eastAsia="宋体"/>
      <w:kern w:val="2"/>
      <w:sz w:val="24"/>
      <w:szCs w:val="24"/>
      <w:lang w:val="en-US" w:eastAsia="zh-CN" w:bidi="ar-SA"/>
    </w:rPr>
  </w:style>
  <w:style w:type="character" w:customStyle="1" w:styleId="212">
    <w:name w:val="text11"/>
    <w:qFormat/>
    <w:uiPriority w:val="0"/>
    <w:rPr>
      <w:spacing w:val="343"/>
      <w:sz w:val="24"/>
      <w:szCs w:val="24"/>
    </w:rPr>
  </w:style>
  <w:style w:type="character" w:customStyle="1" w:styleId="213">
    <w:name w:val="自定义正文 Char1"/>
    <w:qFormat/>
    <w:uiPriority w:val="0"/>
    <w:rPr>
      <w:rFonts w:eastAsia="宋体"/>
      <w:sz w:val="28"/>
      <w:szCs w:val="21"/>
      <w:lang w:val="en-US" w:eastAsia="zh-CN" w:bidi="ar-SA"/>
    </w:rPr>
  </w:style>
  <w:style w:type="paragraph" w:customStyle="1" w:styleId="214">
    <w:name w:val="样式 样式 样式 样式 小四 行距: 1.5 倍行距 + 首行缩进:  2 字符 + 宋体 + 首行缩进:  2 字符"/>
    <w:basedOn w:val="1"/>
    <w:link w:val="215"/>
    <w:qFormat/>
    <w:uiPriority w:val="0"/>
    <w:pPr>
      <w:keepNext/>
      <w:spacing w:line="360" w:lineRule="auto"/>
      <w:ind w:firstLine="482" w:firstLineChars="200"/>
    </w:pPr>
    <w:rPr>
      <w:sz w:val="24"/>
      <w:szCs w:val="20"/>
    </w:rPr>
  </w:style>
  <w:style w:type="character" w:customStyle="1" w:styleId="215">
    <w:name w:val="样式 样式 样式 样式 小四 行距: 1.5 倍行距 + 首行缩进:  2 字符 + 宋体 + 首行缩进:  2 字符 Char"/>
    <w:link w:val="214"/>
    <w:qFormat/>
    <w:uiPriority w:val="0"/>
    <w:rPr>
      <w:rFonts w:eastAsia="宋体"/>
      <w:kern w:val="2"/>
      <w:sz w:val="24"/>
      <w:lang w:val="en-US" w:eastAsia="zh-CN" w:bidi="ar-SA"/>
    </w:rPr>
  </w:style>
  <w:style w:type="paragraph" w:customStyle="1" w:styleId="216">
    <w:name w:val="样式 表文字 + 字符缩放: 90%"/>
    <w:basedOn w:val="111"/>
    <w:qFormat/>
    <w:uiPriority w:val="0"/>
    <w:pPr>
      <w:ind w:left="-50" w:leftChars="-50" w:right="-50" w:rightChars="-50"/>
    </w:pPr>
    <w:rPr>
      <w:rFonts w:cs="宋体"/>
      <w:b w:val="0"/>
      <w:sz w:val="18"/>
      <w:szCs w:val="18"/>
    </w:rPr>
  </w:style>
  <w:style w:type="paragraph" w:customStyle="1" w:styleId="217">
    <w:name w:val="样式正文"/>
    <w:basedOn w:val="1"/>
    <w:next w:val="1"/>
    <w:semiHidden/>
    <w:qFormat/>
    <w:uiPriority w:val="0"/>
    <w:pPr>
      <w:keepNext/>
      <w:keepLines/>
      <w:widowControl/>
      <w:adjustRightInd w:val="0"/>
      <w:snapToGrid w:val="0"/>
      <w:spacing w:line="360" w:lineRule="auto"/>
      <w:ind w:firstLine="200" w:firstLineChars="200"/>
      <w:jc w:val="left"/>
      <w:textAlignment w:val="baseline"/>
      <w:outlineLvl w:val="1"/>
    </w:pPr>
    <w:rPr>
      <w:rFonts w:ascii="黑体"/>
      <w:b/>
      <w:color w:val="000000"/>
      <w:kern w:val="0"/>
      <w:sz w:val="28"/>
      <w:szCs w:val="32"/>
    </w:rPr>
  </w:style>
  <w:style w:type="paragraph" w:customStyle="1" w:styleId="218">
    <w:name w:val="hb33"/>
    <w:basedOn w:val="6"/>
    <w:link w:val="219"/>
    <w:qFormat/>
    <w:uiPriority w:val="0"/>
    <w:pPr>
      <w:keepLines w:val="0"/>
      <w:spacing w:before="120" w:after="120"/>
      <w:textAlignment w:val="baseline"/>
    </w:pPr>
    <w:rPr>
      <w:rFonts w:cs="宋体"/>
      <w:bCs w:val="0"/>
      <w:kern w:val="0"/>
    </w:rPr>
  </w:style>
  <w:style w:type="character" w:customStyle="1" w:styleId="219">
    <w:name w:val="hb33 Char1"/>
    <w:link w:val="218"/>
    <w:qFormat/>
    <w:uiPriority w:val="0"/>
    <w:rPr>
      <w:rFonts w:eastAsia="宋体" w:cs="宋体"/>
      <w:b/>
      <w:sz w:val="28"/>
      <w:szCs w:val="28"/>
      <w:lang w:val="en-US" w:eastAsia="zh-CN" w:bidi="ar-SA"/>
    </w:rPr>
  </w:style>
  <w:style w:type="paragraph" w:customStyle="1" w:styleId="220">
    <w:name w:val="报告正文"/>
    <w:basedOn w:val="1"/>
    <w:link w:val="221"/>
    <w:qFormat/>
    <w:uiPriority w:val="0"/>
    <w:pPr>
      <w:spacing w:line="360" w:lineRule="auto"/>
    </w:pPr>
    <w:rPr>
      <w:rFonts w:ascii="宋体" w:hAnsi="宋体" w:cs="宋体"/>
      <w:sz w:val="24"/>
    </w:rPr>
  </w:style>
  <w:style w:type="character" w:customStyle="1" w:styleId="221">
    <w:name w:val="报告正文 Char"/>
    <w:link w:val="220"/>
    <w:qFormat/>
    <w:uiPriority w:val="0"/>
    <w:rPr>
      <w:rFonts w:ascii="宋体" w:hAnsi="宋体" w:eastAsia="宋体" w:cs="宋体"/>
      <w:kern w:val="2"/>
      <w:sz w:val="24"/>
      <w:szCs w:val="24"/>
      <w:lang w:val="en-US" w:eastAsia="zh-CN" w:bidi="ar-SA"/>
    </w:rPr>
  </w:style>
  <w:style w:type="paragraph" w:customStyle="1" w:styleId="222">
    <w:name w:val="报告书正文"/>
    <w:basedOn w:val="1"/>
    <w:link w:val="223"/>
    <w:qFormat/>
    <w:uiPriority w:val="0"/>
    <w:pPr>
      <w:spacing w:line="360" w:lineRule="auto"/>
      <w:ind w:firstLine="480" w:firstLineChars="200"/>
    </w:pPr>
    <w:rPr>
      <w:sz w:val="24"/>
    </w:rPr>
  </w:style>
  <w:style w:type="character" w:customStyle="1" w:styleId="223">
    <w:name w:val="报告书正文 Char"/>
    <w:link w:val="222"/>
    <w:qFormat/>
    <w:uiPriority w:val="0"/>
    <w:rPr>
      <w:rFonts w:eastAsia="宋体"/>
      <w:kern w:val="2"/>
      <w:sz w:val="24"/>
      <w:szCs w:val="24"/>
      <w:lang w:val="en-US" w:eastAsia="zh-CN" w:bidi="ar-SA"/>
    </w:rPr>
  </w:style>
  <w:style w:type="character" w:customStyle="1" w:styleId="224">
    <w:name w:val="标题2 Char1"/>
    <w:qFormat/>
    <w:locked/>
    <w:uiPriority w:val="0"/>
    <w:rPr>
      <w:rFonts w:ascii="Courier New" w:hAnsi="Courier New" w:cs="Courier New"/>
      <w:kern w:val="2"/>
      <w:sz w:val="21"/>
      <w:szCs w:val="21"/>
    </w:rPr>
  </w:style>
  <w:style w:type="paragraph" w:customStyle="1" w:styleId="225">
    <w:name w:val="正文表标题"/>
    <w:next w:val="1"/>
    <w:semiHidden/>
    <w:qFormat/>
    <w:uiPriority w:val="0"/>
    <w:pPr>
      <w:tabs>
        <w:tab w:val="left" w:pos="780"/>
      </w:tabs>
      <w:ind w:left="780" w:leftChars="200" w:hanging="360" w:hangingChars="200"/>
      <w:jc w:val="center"/>
    </w:pPr>
    <w:rPr>
      <w:rFonts w:ascii="黑体" w:hAnsi="Times New Roman" w:eastAsia="黑体" w:cs="黑体"/>
      <w:sz w:val="21"/>
      <w:szCs w:val="21"/>
      <w:lang w:val="en-US" w:eastAsia="zh-CN" w:bidi="ar-SA"/>
    </w:rPr>
  </w:style>
  <w:style w:type="paragraph" w:customStyle="1" w:styleId="226">
    <w:name w:val="Char Char Char Char Char Char"/>
    <w:basedOn w:val="1"/>
    <w:qFormat/>
    <w:uiPriority w:val="0"/>
    <w:rPr>
      <w:sz w:val="24"/>
    </w:rPr>
  </w:style>
  <w:style w:type="paragraph" w:customStyle="1" w:styleId="227">
    <w:name w:val="7级"/>
    <w:basedOn w:val="1"/>
    <w:qFormat/>
    <w:uiPriority w:val="0"/>
    <w:pPr>
      <w:numPr>
        <w:ilvl w:val="0"/>
        <w:numId w:val="2"/>
      </w:numPr>
    </w:pPr>
    <w:rPr>
      <w:szCs w:val="20"/>
    </w:rPr>
  </w:style>
  <w:style w:type="paragraph" w:customStyle="1" w:styleId="228">
    <w:name w:val="Char Char Char Char Char Char1"/>
    <w:basedOn w:val="1"/>
    <w:qFormat/>
    <w:uiPriority w:val="0"/>
    <w:rPr>
      <w:sz w:val="24"/>
    </w:rPr>
  </w:style>
  <w:style w:type="paragraph" w:customStyle="1" w:styleId="229">
    <w:name w:val="图表文字"/>
    <w:basedOn w:val="1"/>
    <w:qFormat/>
    <w:uiPriority w:val="0"/>
    <w:pPr>
      <w:spacing w:line="300" w:lineRule="exact"/>
      <w:jc w:val="center"/>
    </w:pPr>
    <w:rPr>
      <w:bCs/>
      <w:szCs w:val="20"/>
    </w:rPr>
  </w:style>
  <w:style w:type="paragraph" w:customStyle="1" w:styleId="230">
    <w:name w:val="标题样式3"/>
    <w:basedOn w:val="6"/>
    <w:link w:val="231"/>
    <w:qFormat/>
    <w:uiPriority w:val="0"/>
    <w:pPr>
      <w:spacing w:line="360" w:lineRule="auto"/>
      <w:jc w:val="both"/>
      <w:textAlignment w:val="center"/>
      <w:outlineLvl w:val="0"/>
    </w:pPr>
    <w:rPr>
      <w:rFonts w:ascii="黑体" w:eastAsia="黑体"/>
      <w:bCs w:val="0"/>
      <w:sz w:val="24"/>
      <w:szCs w:val="24"/>
    </w:rPr>
  </w:style>
  <w:style w:type="character" w:customStyle="1" w:styleId="231">
    <w:name w:val="标题样式3 Char"/>
    <w:link w:val="230"/>
    <w:qFormat/>
    <w:uiPriority w:val="0"/>
    <w:rPr>
      <w:rFonts w:ascii="黑体" w:eastAsia="黑体"/>
      <w:b/>
      <w:kern w:val="2"/>
      <w:sz w:val="24"/>
      <w:szCs w:val="24"/>
    </w:rPr>
  </w:style>
  <w:style w:type="paragraph" w:customStyle="1" w:styleId="232">
    <w:name w:val="博泵1"/>
    <w:basedOn w:val="1"/>
    <w:link w:val="233"/>
    <w:qFormat/>
    <w:uiPriority w:val="0"/>
    <w:pPr>
      <w:adjustRightInd w:val="0"/>
      <w:spacing w:line="480" w:lineRule="exact"/>
      <w:ind w:firstLine="200" w:firstLineChars="200"/>
      <w:jc w:val="left"/>
      <w:textAlignment w:val="baseline"/>
    </w:pPr>
    <w:rPr>
      <w:rFonts w:hAnsi="宋体" w:cs="宋体"/>
      <w:color w:val="000000"/>
      <w:kern w:val="0"/>
      <w:sz w:val="24"/>
      <w:szCs w:val="20"/>
    </w:rPr>
  </w:style>
  <w:style w:type="character" w:customStyle="1" w:styleId="233">
    <w:name w:val="博泵1 Char"/>
    <w:link w:val="232"/>
    <w:qFormat/>
    <w:uiPriority w:val="0"/>
    <w:rPr>
      <w:rFonts w:hAnsi="宋体" w:cs="宋体"/>
      <w:color w:val="000000"/>
      <w:sz w:val="24"/>
    </w:rPr>
  </w:style>
  <w:style w:type="character" w:customStyle="1" w:styleId="234">
    <w:name w:val="样式 小四 加粗"/>
    <w:qFormat/>
    <w:uiPriority w:val="0"/>
    <w:rPr>
      <w:b/>
      <w:bCs/>
      <w:sz w:val="24"/>
    </w:rPr>
  </w:style>
  <w:style w:type="paragraph" w:customStyle="1" w:styleId="235">
    <w:name w:val="表格内容"/>
    <w:basedOn w:val="1"/>
    <w:link w:val="236"/>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236">
    <w:name w:val="表格内容 Char"/>
    <w:link w:val="235"/>
    <w:qFormat/>
    <w:uiPriority w:val="0"/>
    <w:rPr>
      <w:rFonts w:ascii="Arial" w:hAnsi="Arial" w:eastAsia="仿宋_GB2312"/>
      <w:sz w:val="24"/>
    </w:rPr>
  </w:style>
  <w:style w:type="paragraph" w:customStyle="1" w:styleId="237">
    <w:name w:val="表格标题博泵"/>
    <w:basedOn w:val="1"/>
    <w:link w:val="238"/>
    <w:qFormat/>
    <w:uiPriority w:val="0"/>
    <w:pPr>
      <w:adjustRightInd w:val="0"/>
      <w:snapToGrid w:val="0"/>
      <w:jc w:val="center"/>
      <w:textAlignment w:val="baseline"/>
    </w:pPr>
    <w:rPr>
      <w:rFonts w:cs="宋体"/>
      <w:b/>
      <w:color w:val="000000"/>
      <w:szCs w:val="20"/>
    </w:rPr>
  </w:style>
  <w:style w:type="character" w:customStyle="1" w:styleId="238">
    <w:name w:val="表格标题博泵 Char"/>
    <w:link w:val="237"/>
    <w:qFormat/>
    <w:uiPriority w:val="0"/>
    <w:rPr>
      <w:rFonts w:cs="宋体"/>
      <w:b/>
      <w:color w:val="000000"/>
      <w:kern w:val="2"/>
      <w:sz w:val="21"/>
    </w:rPr>
  </w:style>
  <w:style w:type="paragraph" w:customStyle="1" w:styleId="239">
    <w:name w:val="h"/>
    <w:basedOn w:val="1"/>
    <w:qFormat/>
    <w:uiPriority w:val="0"/>
    <w:pPr>
      <w:spacing w:before="60"/>
      <w:ind w:firstLine="482"/>
    </w:pPr>
    <w:rPr>
      <w:rFonts w:ascii="Arial" w:hAnsi="Arial" w:eastAsia="仿宋_GB2312"/>
      <w:kern w:val="0"/>
      <w:sz w:val="24"/>
      <w:szCs w:val="20"/>
    </w:rPr>
  </w:style>
  <w:style w:type="paragraph" w:styleId="240">
    <w:name w:val="List Paragraph"/>
    <w:basedOn w:val="1"/>
    <w:qFormat/>
    <w:uiPriority w:val="34"/>
    <w:pPr>
      <w:ind w:firstLine="420" w:firstLineChars="200"/>
    </w:pPr>
    <w:rPr>
      <w:rFonts w:ascii="Calibri" w:hAnsi="Calibri"/>
      <w:szCs w:val="22"/>
    </w:rPr>
  </w:style>
  <w:style w:type="paragraph" w:customStyle="1" w:styleId="241">
    <w:name w:val="xl24"/>
    <w:basedOn w:val="1"/>
    <w:qFormat/>
    <w:uiPriority w:val="0"/>
    <w:pPr>
      <w:widowControl/>
      <w:pBdr>
        <w:bottom w:val="single" w:color="auto" w:sz="4" w:space="0"/>
        <w:right w:val="single" w:color="auto" w:sz="12" w:space="0"/>
      </w:pBdr>
      <w:spacing w:before="100" w:beforeAutospacing="1" w:after="100" w:afterAutospacing="1"/>
      <w:jc w:val="center"/>
    </w:pPr>
    <w:rPr>
      <w:rFonts w:ascii="宋体" w:hAnsi="宋体"/>
      <w:kern w:val="0"/>
      <w:szCs w:val="21"/>
    </w:rPr>
  </w:style>
  <w:style w:type="paragraph" w:customStyle="1" w:styleId="242">
    <w:name w:val="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243">
    <w:name w:val="标题 8 Char1"/>
    <w:qFormat/>
    <w:uiPriority w:val="0"/>
    <w:rPr>
      <w:rFonts w:ascii="Cambria" w:hAnsi="Cambria" w:eastAsia="宋体"/>
      <w:sz w:val="24"/>
      <w:szCs w:val="24"/>
    </w:rPr>
  </w:style>
  <w:style w:type="paragraph" w:customStyle="1" w:styleId="244">
    <w:name w:val="样式17"/>
    <w:basedOn w:val="216"/>
    <w:qFormat/>
    <w:uiPriority w:val="0"/>
    <w:pPr>
      <w:ind w:left="0" w:leftChars="0" w:right="0" w:rightChars="0"/>
    </w:pPr>
    <w:rPr>
      <w:sz w:val="21"/>
      <w:szCs w:val="21"/>
    </w:rPr>
  </w:style>
  <w:style w:type="character" w:customStyle="1" w:styleId="245">
    <w:name w:val="表头 Char2"/>
    <w:qFormat/>
    <w:uiPriority w:val="0"/>
    <w:rPr>
      <w:rFonts w:ascii="Times New Roman" w:hAnsi="Times New Roman" w:eastAsia="宋体"/>
      <w:b/>
      <w:kern w:val="36"/>
      <w:sz w:val="28"/>
      <w:szCs w:val="24"/>
      <w:lang w:val="en-US" w:eastAsia="zh-CN" w:bidi="ar-SA"/>
    </w:rPr>
  </w:style>
  <w:style w:type="character" w:customStyle="1" w:styleId="246">
    <w:name w:val="表格标题 Char"/>
    <w:link w:val="247"/>
    <w:qFormat/>
    <w:uiPriority w:val="0"/>
    <w:rPr>
      <w:b/>
      <w:kern w:val="2"/>
      <w:sz w:val="24"/>
    </w:rPr>
  </w:style>
  <w:style w:type="paragraph" w:customStyle="1" w:styleId="247">
    <w:name w:val="表格标题"/>
    <w:basedOn w:val="1"/>
    <w:link w:val="246"/>
    <w:qFormat/>
    <w:uiPriority w:val="0"/>
    <w:pPr>
      <w:spacing w:line="360" w:lineRule="auto"/>
      <w:jc w:val="center"/>
    </w:pPr>
    <w:rPr>
      <w:b/>
      <w:sz w:val="24"/>
      <w:szCs w:val="20"/>
    </w:rPr>
  </w:style>
  <w:style w:type="paragraph" w:styleId="248">
    <w:name w:val="No Spacing"/>
    <w:basedOn w:val="1"/>
    <w:link w:val="249"/>
    <w:qFormat/>
    <w:uiPriority w:val="0"/>
    <w:rPr>
      <w:rFonts w:ascii="Calibri" w:hAnsi="Calibri" w:eastAsia="宋体" w:cs="Times New Roman"/>
      <w:sz w:val="22"/>
      <w:szCs w:val="22"/>
      <w:lang w:val="en-US" w:eastAsia="zh-CN" w:bidi="ar-SA"/>
    </w:rPr>
  </w:style>
  <w:style w:type="character" w:customStyle="1" w:styleId="249">
    <w:name w:val="无间隔 Char"/>
    <w:link w:val="248"/>
    <w:qFormat/>
    <w:uiPriority w:val="0"/>
    <w:rPr>
      <w:rFonts w:ascii="Calibri" w:hAnsi="Calibri"/>
      <w:sz w:val="22"/>
      <w:szCs w:val="22"/>
      <w:lang w:val="en-US" w:eastAsia="zh-CN" w:bidi="ar-SA"/>
    </w:rPr>
  </w:style>
  <w:style w:type="paragraph" w:customStyle="1" w:styleId="250">
    <w:name w:val="样式 (西文) 宋体 小四 行距: 1.5 倍行距 首行缩进:  2.25 字符"/>
    <w:basedOn w:val="1"/>
    <w:qFormat/>
    <w:uiPriority w:val="0"/>
    <w:pPr>
      <w:snapToGrid w:val="0"/>
      <w:spacing w:line="360" w:lineRule="auto"/>
      <w:ind w:firstLine="225" w:firstLineChars="225"/>
    </w:pPr>
    <w:rPr>
      <w:rFonts w:ascii="宋体" w:hAnsi="宋体" w:cs="宋体"/>
      <w:sz w:val="24"/>
      <w:szCs w:val="20"/>
    </w:rPr>
  </w:style>
  <w:style w:type="paragraph" w:customStyle="1" w:styleId="251">
    <w:name w:val="表12"/>
    <w:basedOn w:val="1"/>
    <w:next w:val="1"/>
    <w:qFormat/>
    <w:uiPriority w:val="0"/>
    <w:pPr>
      <w:adjustRightInd w:val="0"/>
      <w:spacing w:line="240" w:lineRule="exact"/>
      <w:jc w:val="center"/>
      <w:textAlignment w:val="baseline"/>
    </w:pPr>
    <w:rPr>
      <w:kern w:val="0"/>
      <w:szCs w:val="20"/>
    </w:rPr>
  </w:style>
  <w:style w:type="paragraph" w:customStyle="1" w:styleId="252">
    <w:name w:val="表格字体（科宏）"/>
    <w:basedOn w:val="1"/>
    <w:qFormat/>
    <w:uiPriority w:val="0"/>
    <w:pPr>
      <w:widowControl/>
      <w:jc w:val="center"/>
    </w:pPr>
    <w:rPr>
      <w:rFonts w:ascii="Arial" w:hAnsi="Arial" w:eastAsia="仿宋_GB2312"/>
      <w:kern w:val="0"/>
      <w:szCs w:val="20"/>
    </w:rPr>
  </w:style>
  <w:style w:type="paragraph" w:customStyle="1" w:styleId="253">
    <w:name w:val="新正文样式"/>
    <w:basedOn w:val="1"/>
    <w:qFormat/>
    <w:uiPriority w:val="0"/>
    <w:pPr>
      <w:tabs>
        <w:tab w:val="left" w:pos="567"/>
      </w:tabs>
      <w:spacing w:line="360" w:lineRule="auto"/>
      <w:ind w:firstLine="560" w:firstLineChars="200"/>
    </w:pPr>
    <w:rPr>
      <w:rFonts w:eastAsia="华文中宋"/>
      <w:spacing w:val="20"/>
      <w:sz w:val="24"/>
      <w:szCs w:val="20"/>
    </w:rPr>
  </w:style>
  <w:style w:type="paragraph" w:customStyle="1" w:styleId="254">
    <w:name w:val="节以下标题样式"/>
    <w:basedOn w:val="1"/>
    <w:qFormat/>
    <w:uiPriority w:val="0"/>
    <w:pPr>
      <w:tabs>
        <w:tab w:val="left" w:pos="567"/>
      </w:tabs>
    </w:pPr>
    <w:rPr>
      <w:rFonts w:eastAsia="华文中宋"/>
      <w:spacing w:val="20"/>
      <w:sz w:val="24"/>
      <w:szCs w:val="20"/>
    </w:rPr>
  </w:style>
  <w:style w:type="paragraph" w:customStyle="1" w:styleId="255">
    <w:name w:val="正文内容"/>
    <w:basedOn w:val="1"/>
    <w:link w:val="256"/>
    <w:qFormat/>
    <w:uiPriority w:val="0"/>
    <w:pPr>
      <w:snapToGrid w:val="0"/>
      <w:ind w:firstLine="200" w:firstLineChars="200"/>
    </w:pPr>
    <w:rPr>
      <w:rFonts w:ascii="宋体" w:hAnsi="宋体"/>
      <w:kern w:val="10"/>
      <w:sz w:val="24"/>
    </w:rPr>
  </w:style>
  <w:style w:type="character" w:customStyle="1" w:styleId="256">
    <w:name w:val="正文内容 Char"/>
    <w:link w:val="255"/>
    <w:qFormat/>
    <w:uiPriority w:val="0"/>
    <w:rPr>
      <w:rFonts w:ascii="宋体" w:hAnsi="宋体"/>
      <w:kern w:val="10"/>
      <w:sz w:val="24"/>
      <w:szCs w:val="24"/>
    </w:rPr>
  </w:style>
  <w:style w:type="paragraph" w:customStyle="1" w:styleId="257">
    <w:name w:val="4 Char"/>
    <w:basedOn w:val="1"/>
    <w:semiHidden/>
    <w:qFormat/>
    <w:uiPriority w:val="0"/>
  </w:style>
  <w:style w:type="paragraph" w:customStyle="1" w:styleId="258">
    <w:name w:val="格式正"/>
    <w:basedOn w:val="26"/>
    <w:link w:val="259"/>
    <w:qFormat/>
    <w:uiPriority w:val="0"/>
    <w:pPr>
      <w:spacing w:after="0" w:line="360" w:lineRule="auto"/>
      <w:ind w:firstLine="480" w:firstLineChars="200"/>
    </w:pPr>
    <w:rPr>
      <w:rFonts w:ascii="仿宋_GB2312" w:hAnsi="宋体" w:eastAsia="仿宋_GB2312"/>
      <w:sz w:val="24"/>
      <w:lang w:val="zh-CN"/>
    </w:rPr>
  </w:style>
  <w:style w:type="character" w:customStyle="1" w:styleId="259">
    <w:name w:val="格式正 Char"/>
    <w:link w:val="258"/>
    <w:qFormat/>
    <w:uiPriority w:val="0"/>
    <w:rPr>
      <w:rFonts w:ascii="仿宋_GB2312" w:hAnsi="宋体" w:eastAsia="仿宋_GB2312" w:cs="宋体"/>
      <w:kern w:val="2"/>
      <w:sz w:val="24"/>
      <w:szCs w:val="24"/>
    </w:rPr>
  </w:style>
  <w:style w:type="paragraph" w:customStyle="1" w:styleId="260">
    <w:name w:val="标准条文"/>
    <w:qFormat/>
    <w:uiPriority w:val="0"/>
    <w:pPr>
      <w:jc w:val="left"/>
    </w:pPr>
    <w:rPr>
      <w:rFonts w:ascii="Times New Roman" w:hAnsi="Times New Roman" w:eastAsia="宋体" w:cs="Times New Roman"/>
      <w:color w:val="auto"/>
    </w:rPr>
  </w:style>
  <w:style w:type="paragraph" w:customStyle="1" w:styleId="261">
    <w:name w:val="样式 小四"/>
    <w:basedOn w:val="1"/>
    <w:link w:val="262"/>
    <w:qFormat/>
    <w:uiPriority w:val="0"/>
    <w:pPr>
      <w:keepNext/>
      <w:spacing w:line="360" w:lineRule="auto"/>
      <w:ind w:firstLine="200" w:firstLineChars="200"/>
    </w:pPr>
    <w:rPr>
      <w:rFonts w:cs="宋体"/>
      <w:sz w:val="24"/>
      <w:szCs w:val="20"/>
    </w:rPr>
  </w:style>
  <w:style w:type="character" w:customStyle="1" w:styleId="262">
    <w:name w:val="样式 小四 Char"/>
    <w:link w:val="261"/>
    <w:qFormat/>
    <w:uiPriority w:val="0"/>
    <w:rPr>
      <w:rFonts w:cs="宋体"/>
      <w:kern w:val="2"/>
      <w:sz w:val="24"/>
    </w:rPr>
  </w:style>
  <w:style w:type="paragraph" w:customStyle="1" w:styleId="263">
    <w:name w:val="表格15"/>
    <w:basedOn w:val="1"/>
    <w:link w:val="264"/>
    <w:qFormat/>
    <w:uiPriority w:val="0"/>
    <w:pPr>
      <w:adjustRightInd w:val="0"/>
      <w:snapToGrid w:val="0"/>
      <w:spacing w:line="300" w:lineRule="exact"/>
      <w:jc w:val="center"/>
      <w:textAlignment w:val="baseline"/>
    </w:pPr>
    <w:rPr>
      <w:rFonts w:ascii="宋体"/>
      <w:kern w:val="0"/>
      <w:szCs w:val="28"/>
      <w:lang w:val="zh-CN"/>
    </w:rPr>
  </w:style>
  <w:style w:type="character" w:customStyle="1" w:styleId="264">
    <w:name w:val="表格15 Char"/>
    <w:link w:val="263"/>
    <w:qFormat/>
    <w:uiPriority w:val="0"/>
    <w:rPr>
      <w:rFonts w:ascii="宋体"/>
      <w:sz w:val="21"/>
      <w:szCs w:val="28"/>
    </w:rPr>
  </w:style>
  <w:style w:type="paragraph" w:customStyle="1" w:styleId="265">
    <w:name w:val="fu正文"/>
    <w:basedOn w:val="1"/>
    <w:link w:val="266"/>
    <w:qFormat/>
    <w:uiPriority w:val="0"/>
    <w:pPr>
      <w:spacing w:line="360" w:lineRule="auto"/>
      <w:ind w:firstLine="200" w:firstLineChars="200"/>
    </w:pPr>
    <w:rPr>
      <w:rFonts w:ascii="宋体" w:hAnsi="宋体"/>
      <w:color w:val="000000"/>
      <w:sz w:val="24"/>
      <w:lang w:val="zh-CN"/>
    </w:rPr>
  </w:style>
  <w:style w:type="character" w:customStyle="1" w:styleId="266">
    <w:name w:val="fu正文 Char"/>
    <w:link w:val="265"/>
    <w:qFormat/>
    <w:uiPriority w:val="0"/>
    <w:rPr>
      <w:rFonts w:ascii="宋体" w:hAnsi="宋体"/>
      <w:color w:val="000000"/>
      <w:kern w:val="2"/>
      <w:sz w:val="24"/>
      <w:szCs w:val="24"/>
      <w:lang w:val="zh-CN" w:eastAsia="zh-CN"/>
    </w:rPr>
  </w:style>
  <w:style w:type="paragraph" w:customStyle="1" w:styleId="267">
    <w:name w:val="付正文1"/>
    <w:basedOn w:val="1"/>
    <w:next w:val="1"/>
    <w:link w:val="268"/>
    <w:qFormat/>
    <w:uiPriority w:val="0"/>
    <w:pPr>
      <w:spacing w:line="360" w:lineRule="auto"/>
      <w:ind w:firstLine="200" w:firstLineChars="200"/>
    </w:pPr>
    <w:rPr>
      <w:rFonts w:ascii="宋体" w:hAnsi="宋体" w:cs="Arial"/>
      <w:color w:val="000000"/>
      <w:sz w:val="24"/>
    </w:rPr>
  </w:style>
  <w:style w:type="character" w:customStyle="1" w:styleId="268">
    <w:name w:val="付正文1 Char"/>
    <w:link w:val="267"/>
    <w:qFormat/>
    <w:uiPriority w:val="0"/>
    <w:rPr>
      <w:rFonts w:ascii="宋体" w:hAnsi="宋体" w:cs="Arial"/>
      <w:color w:val="000000"/>
      <w:kern w:val="2"/>
      <w:sz w:val="24"/>
      <w:szCs w:val="24"/>
    </w:rPr>
  </w:style>
  <w:style w:type="paragraph" w:customStyle="1" w:styleId="269">
    <w:name w:val="样式 宋体 五号 左侧:  1.56 厘米"/>
    <w:basedOn w:val="1"/>
    <w:qFormat/>
    <w:uiPriority w:val="0"/>
    <w:pPr>
      <w:keepNext/>
      <w:spacing w:line="200" w:lineRule="atLeast"/>
    </w:pPr>
    <w:rPr>
      <w:rFonts w:ascii="宋体" w:hAnsi="宋体" w:cs="宋体"/>
      <w:szCs w:val="21"/>
    </w:rPr>
  </w:style>
  <w:style w:type="paragraph" w:customStyle="1" w:styleId="270">
    <w:name w:val="样式3（代正文）"/>
    <w:link w:val="271"/>
    <w:qFormat/>
    <w:uiPriority w:val="0"/>
    <w:pPr>
      <w:keepNext/>
      <w:widowControl w:val="0"/>
      <w:adjustRightInd w:val="0"/>
      <w:snapToGrid w:val="0"/>
      <w:spacing w:line="360" w:lineRule="auto"/>
      <w:ind w:firstLine="482" w:firstLineChars="200"/>
      <w:jc w:val="both"/>
    </w:pPr>
    <w:rPr>
      <w:rFonts w:ascii="宋体" w:hAnsi="宋体" w:eastAsia="宋体" w:cs="宋体"/>
      <w:snapToGrid w:val="0"/>
      <w:sz w:val="24"/>
      <w:szCs w:val="24"/>
      <w:lang w:val="en-US" w:eastAsia="zh-CN" w:bidi="ar-SA"/>
    </w:rPr>
  </w:style>
  <w:style w:type="character" w:customStyle="1" w:styleId="271">
    <w:name w:val="样式3（代正文） Char"/>
    <w:link w:val="270"/>
    <w:qFormat/>
    <w:uiPriority w:val="0"/>
    <w:rPr>
      <w:rFonts w:ascii="宋体" w:hAnsi="宋体" w:cs="宋体"/>
      <w:snapToGrid w:val="0"/>
      <w:sz w:val="24"/>
      <w:szCs w:val="24"/>
      <w:lang w:val="en-US" w:eastAsia="zh-CN" w:bidi="ar-SA"/>
    </w:rPr>
  </w:style>
  <w:style w:type="paragraph" w:customStyle="1" w:styleId="272">
    <w:name w:val="样式 标题 3 + 首行缩进:  0.99 厘米"/>
    <w:basedOn w:val="6"/>
    <w:link w:val="273"/>
    <w:qFormat/>
    <w:uiPriority w:val="0"/>
    <w:pPr>
      <w:spacing w:before="120" w:after="120" w:line="360" w:lineRule="auto"/>
    </w:pPr>
    <w:rPr>
      <w:rFonts w:cs="宋体"/>
      <w:szCs w:val="20"/>
    </w:rPr>
  </w:style>
  <w:style w:type="character" w:customStyle="1" w:styleId="273">
    <w:name w:val="样式 标题 3 + 首行缩进:  0.99 厘米 Char"/>
    <w:link w:val="272"/>
    <w:qFormat/>
    <w:uiPriority w:val="0"/>
    <w:rPr>
      <w:rFonts w:cs="宋体"/>
      <w:b/>
      <w:bCs/>
      <w:kern w:val="2"/>
      <w:sz w:val="28"/>
    </w:rPr>
  </w:style>
  <w:style w:type="paragraph" w:customStyle="1" w:styleId="274">
    <w:name w:val="hb3"/>
    <w:basedOn w:val="6"/>
    <w:link w:val="275"/>
    <w:qFormat/>
    <w:uiPriority w:val="0"/>
    <w:pPr>
      <w:adjustRightInd w:val="0"/>
      <w:spacing w:before="360" w:after="180"/>
      <w:jc w:val="both"/>
      <w:textAlignment w:val="baseline"/>
    </w:pPr>
    <w:rPr>
      <w:rFonts w:ascii="宋体" w:hAnsi="宋体" w:cs="宋体"/>
      <w:bCs w:val="0"/>
      <w:kern w:val="0"/>
      <w:sz w:val="24"/>
      <w:szCs w:val="24"/>
    </w:rPr>
  </w:style>
  <w:style w:type="character" w:customStyle="1" w:styleId="275">
    <w:name w:val="hb3 Char1"/>
    <w:link w:val="274"/>
    <w:qFormat/>
    <w:uiPriority w:val="0"/>
    <w:rPr>
      <w:rFonts w:ascii="宋体" w:hAnsi="宋体" w:cs="宋体"/>
      <w:b/>
      <w:sz w:val="24"/>
      <w:szCs w:val="24"/>
    </w:rPr>
  </w:style>
  <w:style w:type="character" w:customStyle="1" w:styleId="276">
    <w:name w:val="表格标题 Char1"/>
    <w:qFormat/>
    <w:uiPriority w:val="0"/>
    <w:rPr>
      <w:rFonts w:eastAsia="仿宋_GB2312"/>
      <w:snapToGrid w:val="0"/>
      <w:color w:val="000000"/>
      <w:sz w:val="24"/>
      <w:szCs w:val="24"/>
      <w:lang w:val="en-US" w:eastAsia="zh-CN" w:bidi="ar-SA"/>
    </w:rPr>
  </w:style>
  <w:style w:type="paragraph" w:customStyle="1" w:styleId="277">
    <w:name w:val="biao"/>
    <w:basedOn w:val="1"/>
    <w:link w:val="278"/>
    <w:qFormat/>
    <w:uiPriority w:val="0"/>
    <w:pPr>
      <w:ind w:left="-50" w:leftChars="-50" w:right="-50" w:rightChars="-50"/>
      <w:jc w:val="center"/>
    </w:pPr>
  </w:style>
  <w:style w:type="character" w:customStyle="1" w:styleId="278">
    <w:name w:val="biao Char"/>
    <w:link w:val="277"/>
    <w:qFormat/>
    <w:uiPriority w:val="0"/>
    <w:rPr>
      <w:kern w:val="2"/>
      <w:sz w:val="21"/>
      <w:szCs w:val="24"/>
    </w:rPr>
  </w:style>
  <w:style w:type="paragraph" w:customStyle="1" w:styleId="279">
    <w:name w:val="付正文"/>
    <w:basedOn w:val="1"/>
    <w:link w:val="280"/>
    <w:semiHidden/>
    <w:qFormat/>
    <w:uiPriority w:val="0"/>
    <w:pPr>
      <w:spacing w:line="360" w:lineRule="auto"/>
      <w:ind w:firstLine="200" w:firstLineChars="200"/>
    </w:pPr>
    <w:rPr>
      <w:rFonts w:ascii="宋体"/>
      <w:color w:val="000000"/>
      <w:sz w:val="24"/>
      <w:szCs w:val="21"/>
      <w:lang w:val="zh-CN"/>
    </w:rPr>
  </w:style>
  <w:style w:type="character" w:customStyle="1" w:styleId="280">
    <w:name w:val="付正文 Char Char"/>
    <w:link w:val="279"/>
    <w:semiHidden/>
    <w:qFormat/>
    <w:uiPriority w:val="0"/>
    <w:rPr>
      <w:rFonts w:ascii="宋体"/>
      <w:color w:val="000000"/>
      <w:kern w:val="2"/>
      <w:sz w:val="24"/>
      <w:szCs w:val="21"/>
      <w:lang w:val="zh-CN" w:eastAsia="zh-CN"/>
    </w:rPr>
  </w:style>
  <w:style w:type="character" w:customStyle="1" w:styleId="281">
    <w:name w:val="style21"/>
    <w:qFormat/>
    <w:uiPriority w:val="0"/>
    <w:rPr>
      <w:sz w:val="18"/>
      <w:szCs w:val="18"/>
    </w:rPr>
  </w:style>
  <w:style w:type="character" w:customStyle="1" w:styleId="282">
    <w:name w:val="000 说明书文本 + 首行缩进:  2 字符 Char"/>
    <w:link w:val="283"/>
    <w:qFormat/>
    <w:uiPriority w:val="0"/>
    <w:rPr>
      <w:rFonts w:cs="宋体"/>
      <w:sz w:val="24"/>
    </w:rPr>
  </w:style>
  <w:style w:type="paragraph" w:customStyle="1" w:styleId="283">
    <w:name w:val="000 说明书文本 + 首行缩进:  2 字符"/>
    <w:basedOn w:val="1"/>
    <w:link w:val="282"/>
    <w:qFormat/>
    <w:uiPriority w:val="0"/>
    <w:pPr>
      <w:widowControl/>
      <w:spacing w:line="360" w:lineRule="auto"/>
      <w:ind w:firstLine="480" w:firstLineChars="200"/>
    </w:pPr>
    <w:rPr>
      <w:rFonts w:cs="宋体"/>
      <w:kern w:val="0"/>
      <w:sz w:val="24"/>
      <w:szCs w:val="20"/>
    </w:rPr>
  </w:style>
  <w:style w:type="paragraph" w:customStyle="1" w:styleId="284">
    <w:name w:val="TOC 标题1"/>
    <w:basedOn w:val="4"/>
    <w:next w:val="1"/>
    <w:unhideWhenUsed/>
    <w:qFormat/>
    <w:uiPriority w:val="39"/>
    <w:pPr>
      <w:keepLines/>
      <w:widowControl/>
      <w:spacing w:before="480" w:line="276" w:lineRule="auto"/>
      <w:outlineLvl w:val="9"/>
    </w:pPr>
    <w:rPr>
      <w:rFonts w:ascii="Cambria" w:hAnsi="Cambria"/>
      <w:color w:val="365F91"/>
      <w:kern w:val="0"/>
      <w:sz w:val="28"/>
      <w:szCs w:val="28"/>
    </w:rPr>
  </w:style>
  <w:style w:type="paragraph" w:customStyle="1" w:styleId="285">
    <w:name w:val="样式 首行缩进:  2 字符"/>
    <w:basedOn w:val="1"/>
    <w:link w:val="286"/>
    <w:qFormat/>
    <w:uiPriority w:val="0"/>
    <w:pPr>
      <w:keepNext/>
      <w:spacing w:line="360" w:lineRule="auto"/>
      <w:ind w:firstLine="200" w:firstLineChars="200"/>
    </w:pPr>
    <w:rPr>
      <w:rFonts w:cs="宋体"/>
      <w:sz w:val="24"/>
      <w:szCs w:val="20"/>
    </w:rPr>
  </w:style>
  <w:style w:type="character" w:customStyle="1" w:styleId="286">
    <w:name w:val="样式 首行缩进:  2 字符 Char"/>
    <w:link w:val="285"/>
    <w:qFormat/>
    <w:uiPriority w:val="0"/>
    <w:rPr>
      <w:rFonts w:cs="宋体"/>
      <w:kern w:val="2"/>
      <w:sz w:val="24"/>
    </w:rPr>
  </w:style>
  <w:style w:type="table" w:customStyle="1" w:styleId="287">
    <w:name w:val="网格型1"/>
    <w:basedOn w:val="90"/>
    <w:qFormat/>
    <w:uiPriority w:val="0"/>
    <w:rPr>
      <w:rFonts w:ascii="Cambria" w:hAnsi="Cambri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88">
    <w:name w:val="页眉1 Char1"/>
    <w:qFormat/>
    <w:uiPriority w:val="0"/>
    <w:rPr>
      <w:rFonts w:eastAsia="宋体"/>
      <w:kern w:val="2"/>
      <w:sz w:val="18"/>
      <w:lang w:val="en-US" w:eastAsia="zh-CN"/>
    </w:rPr>
  </w:style>
  <w:style w:type="character" w:customStyle="1" w:styleId="289">
    <w:name w:val="font11"/>
    <w:qFormat/>
    <w:uiPriority w:val="0"/>
    <w:rPr>
      <w:rFonts w:hint="eastAsia" w:ascii="宋体" w:hAnsi="宋体" w:eastAsia="宋体" w:cs="宋体"/>
      <w:color w:val="000000"/>
      <w:sz w:val="21"/>
      <w:szCs w:val="21"/>
      <w:u w:val="none"/>
    </w:rPr>
  </w:style>
  <w:style w:type="character" w:customStyle="1" w:styleId="290">
    <w:name w:val="font01"/>
    <w:qFormat/>
    <w:uiPriority w:val="0"/>
    <w:rPr>
      <w:rFonts w:ascii="Calibri" w:hAnsi="Calibri" w:cs="Calibri"/>
      <w:color w:val="000000"/>
      <w:sz w:val="21"/>
      <w:szCs w:val="21"/>
      <w:u w:val="none"/>
    </w:rPr>
  </w:style>
  <w:style w:type="character" w:customStyle="1" w:styleId="291">
    <w:name w:val="正文文本 (6) + 间距 2 pt"/>
    <w:qFormat/>
    <w:uiPriority w:val="0"/>
    <w:rPr>
      <w:rFonts w:ascii="黑体" w:eastAsia="黑体" w:cs="黑体"/>
      <w:spacing w:val="40"/>
      <w:sz w:val="22"/>
      <w:szCs w:val="22"/>
      <w:shd w:val="clear" w:color="auto" w:fill="FFFFFF"/>
    </w:rPr>
  </w:style>
  <w:style w:type="character" w:customStyle="1" w:styleId="292">
    <w:name w:val="正文文本 Char"/>
    <w:link w:val="26"/>
    <w:qFormat/>
    <w:uiPriority w:val="0"/>
    <w:rPr>
      <w:kern w:val="2"/>
      <w:sz w:val="21"/>
      <w:szCs w:val="24"/>
    </w:rPr>
  </w:style>
  <w:style w:type="character" w:customStyle="1" w:styleId="293">
    <w:name w:val="dec_font_style1"/>
    <w:qFormat/>
    <w:uiPriority w:val="0"/>
    <w:rPr>
      <w:sz w:val="21"/>
      <w:szCs w:val="21"/>
    </w:rPr>
  </w:style>
  <w:style w:type="character" w:customStyle="1" w:styleId="294">
    <w:name w:val="Char Char81"/>
    <w:qFormat/>
    <w:uiPriority w:val="0"/>
    <w:rPr>
      <w:rFonts w:eastAsia="宋体"/>
      <w:kern w:val="2"/>
      <w:sz w:val="18"/>
      <w:lang w:val="en-US" w:eastAsia="zh-CN"/>
    </w:rPr>
  </w:style>
  <w:style w:type="character" w:customStyle="1" w:styleId="295">
    <w:name w:val="Char Char8"/>
    <w:qFormat/>
    <w:uiPriority w:val="0"/>
    <w:rPr>
      <w:rFonts w:eastAsia="宋体"/>
      <w:kern w:val="2"/>
      <w:sz w:val="18"/>
      <w:lang w:val="en-US" w:eastAsia="zh-CN"/>
    </w:rPr>
  </w:style>
  <w:style w:type="character" w:customStyle="1" w:styleId="296">
    <w:name w:val="正文文本缩进 Char"/>
    <w:link w:val="297"/>
    <w:qFormat/>
    <w:uiPriority w:val="0"/>
    <w:rPr>
      <w:sz w:val="24"/>
      <w:szCs w:val="24"/>
    </w:rPr>
  </w:style>
  <w:style w:type="paragraph" w:customStyle="1" w:styleId="297">
    <w:name w:val="正文文本缩进1"/>
    <w:basedOn w:val="1"/>
    <w:link w:val="296"/>
    <w:qFormat/>
    <w:uiPriority w:val="0"/>
    <w:pPr>
      <w:spacing w:line="560" w:lineRule="exact"/>
      <w:ind w:firstLine="538" w:firstLineChars="192"/>
    </w:pPr>
    <w:rPr>
      <w:kern w:val="0"/>
      <w:sz w:val="24"/>
    </w:rPr>
  </w:style>
  <w:style w:type="character" w:customStyle="1" w:styleId="298">
    <w:name w:val="正文文本缩进 Char1"/>
    <w:qFormat/>
    <w:uiPriority w:val="0"/>
    <w:rPr>
      <w:rFonts w:ascii="Times New Roman" w:hAnsi="Times New Roman" w:eastAsia="宋体" w:cs="Times New Roman"/>
      <w:sz w:val="24"/>
      <w:szCs w:val="24"/>
    </w:rPr>
  </w:style>
  <w:style w:type="character" w:customStyle="1" w:styleId="299">
    <w:name w:val="font31"/>
    <w:qFormat/>
    <w:uiPriority w:val="0"/>
    <w:rPr>
      <w:rFonts w:hint="default" w:ascii="Times New Roman" w:hAnsi="Times New Roman" w:cs="Times New Roman"/>
      <w:color w:val="000000"/>
      <w:sz w:val="22"/>
      <w:szCs w:val="22"/>
      <w:u w:val="none"/>
    </w:rPr>
  </w:style>
  <w:style w:type="character" w:customStyle="1" w:styleId="300">
    <w:name w:val="正文首行缩进 2 Char"/>
    <w:link w:val="23"/>
    <w:qFormat/>
    <w:uiPriority w:val="99"/>
    <w:rPr>
      <w:sz w:val="24"/>
    </w:rPr>
  </w:style>
  <w:style w:type="character" w:customStyle="1" w:styleId="301">
    <w:name w:val="font21"/>
    <w:qFormat/>
    <w:uiPriority w:val="0"/>
    <w:rPr>
      <w:rFonts w:hint="default" w:ascii="Times New Roman" w:hAnsi="Times New Roman" w:cs="Times New Roman"/>
      <w:color w:val="000000"/>
      <w:sz w:val="24"/>
      <w:szCs w:val="24"/>
      <w:u w:val="none"/>
      <w:vertAlign w:val="superscript"/>
    </w:rPr>
  </w:style>
  <w:style w:type="character" w:customStyle="1" w:styleId="302">
    <w:name w:val="apple-converted-space"/>
    <w:qFormat/>
    <w:uiPriority w:val="0"/>
    <w:rPr>
      <w:rFonts w:cs="Times New Roman"/>
    </w:rPr>
  </w:style>
  <w:style w:type="character" w:customStyle="1" w:styleId="303">
    <w:name w:val="表格内容 Char Char"/>
    <w:qFormat/>
    <w:uiPriority w:val="0"/>
    <w:rPr>
      <w:rFonts w:ascii="Arial" w:hAnsi="Arial" w:eastAsia="仿宋_GB2312" w:cs="Arial"/>
      <w:sz w:val="24"/>
      <w:szCs w:val="24"/>
    </w:rPr>
  </w:style>
  <w:style w:type="character" w:customStyle="1" w:styleId="304">
    <w:name w:val="正文文本 (6) + Batang"/>
    <w:qFormat/>
    <w:uiPriority w:val="0"/>
    <w:rPr>
      <w:rFonts w:ascii="Batang" w:hAnsi="黑体" w:eastAsia="Batang" w:cs="Batang"/>
      <w:b/>
      <w:bCs/>
      <w:spacing w:val="20"/>
      <w:sz w:val="20"/>
      <w:szCs w:val="20"/>
      <w:shd w:val="clear" w:color="auto" w:fill="FFFFFF"/>
      <w:lang w:val="en-US" w:eastAsia="en-US"/>
    </w:rPr>
  </w:style>
  <w:style w:type="character" w:customStyle="1" w:styleId="305">
    <w:name w:val="标题 4 Char"/>
    <w:link w:val="7"/>
    <w:qFormat/>
    <w:uiPriority w:val="0"/>
    <w:rPr>
      <w:rFonts w:ascii="Arial" w:hAnsi="Arial" w:eastAsia="黑体"/>
      <w:b/>
      <w:bCs/>
      <w:kern w:val="2"/>
      <w:sz w:val="28"/>
      <w:szCs w:val="28"/>
    </w:rPr>
  </w:style>
  <w:style w:type="character" w:customStyle="1" w:styleId="306">
    <w:name w:val="font41"/>
    <w:qFormat/>
    <w:uiPriority w:val="0"/>
    <w:rPr>
      <w:rFonts w:hint="default" w:ascii="Times New Roman" w:hAnsi="Times New Roman" w:cs="Times New Roman"/>
      <w:color w:val="000000"/>
      <w:sz w:val="24"/>
      <w:szCs w:val="24"/>
      <w:u w:val="none"/>
    </w:rPr>
  </w:style>
  <w:style w:type="character" w:customStyle="1" w:styleId="307">
    <w:name w:val="正文1 Char Char"/>
    <w:qFormat/>
    <w:uiPriority w:val="0"/>
    <w:rPr>
      <w:rFonts w:ascii="宋体" w:eastAsia="宋体" w:cs="宋体"/>
      <w:snapToGrid w:val="0"/>
      <w:kern w:val="21"/>
      <w:position w:val="2"/>
      <w:sz w:val="24"/>
      <w:szCs w:val="24"/>
      <w:lang w:val="en-US" w:eastAsia="zh-CN"/>
    </w:rPr>
  </w:style>
  <w:style w:type="character" w:customStyle="1" w:styleId="308">
    <w:name w:val="批注框文本 Char"/>
    <w:link w:val="57"/>
    <w:qFormat/>
    <w:uiPriority w:val="0"/>
    <w:rPr>
      <w:kern w:val="2"/>
      <w:sz w:val="18"/>
      <w:szCs w:val="18"/>
    </w:rPr>
  </w:style>
  <w:style w:type="character" w:customStyle="1" w:styleId="309">
    <w:name w:val="font81"/>
    <w:qFormat/>
    <w:uiPriority w:val="0"/>
    <w:rPr>
      <w:rFonts w:ascii="Calibri" w:hAnsi="Calibri" w:cs="Calibri"/>
      <w:color w:val="000000"/>
      <w:sz w:val="21"/>
      <w:szCs w:val="21"/>
      <w:u w:val="none"/>
    </w:rPr>
  </w:style>
  <w:style w:type="character" w:customStyle="1" w:styleId="310">
    <w:name w:val="日期 Char1"/>
    <w:qFormat/>
    <w:uiPriority w:val="0"/>
    <w:rPr>
      <w:kern w:val="2"/>
      <w:sz w:val="21"/>
      <w:szCs w:val="24"/>
    </w:rPr>
  </w:style>
  <w:style w:type="character" w:customStyle="1" w:styleId="311">
    <w:name w:val="正文文本 (6)_"/>
    <w:link w:val="312"/>
    <w:qFormat/>
    <w:uiPriority w:val="0"/>
    <w:rPr>
      <w:rFonts w:ascii="黑体" w:eastAsia="黑体" w:cs="黑体"/>
      <w:sz w:val="22"/>
      <w:szCs w:val="22"/>
      <w:shd w:val="clear" w:color="auto" w:fill="FFFFFF"/>
    </w:rPr>
  </w:style>
  <w:style w:type="paragraph" w:customStyle="1" w:styleId="312">
    <w:name w:val="正文文本 (6)"/>
    <w:basedOn w:val="1"/>
    <w:link w:val="311"/>
    <w:qFormat/>
    <w:uiPriority w:val="0"/>
    <w:pPr>
      <w:shd w:val="clear" w:color="auto" w:fill="FFFFFF"/>
      <w:spacing w:line="320" w:lineRule="exact"/>
      <w:ind w:firstLine="440"/>
      <w:jc w:val="distribute"/>
    </w:pPr>
    <w:rPr>
      <w:rFonts w:ascii="黑体" w:eastAsia="黑体" w:cs="黑体"/>
      <w:kern w:val="0"/>
      <w:sz w:val="22"/>
      <w:szCs w:val="22"/>
      <w:shd w:val="clear" w:color="auto" w:fill="FFFFFF"/>
    </w:rPr>
  </w:style>
  <w:style w:type="character" w:customStyle="1" w:styleId="313">
    <w:name w:val="文档结构图 Char1"/>
    <w:semiHidden/>
    <w:qFormat/>
    <w:uiPriority w:val="99"/>
    <w:rPr>
      <w:rFonts w:ascii="宋体"/>
      <w:kern w:val="2"/>
      <w:sz w:val="18"/>
      <w:szCs w:val="18"/>
    </w:rPr>
  </w:style>
  <w:style w:type="character" w:customStyle="1" w:styleId="314">
    <w:name w:val="可研正文 Char Char"/>
    <w:link w:val="315"/>
    <w:qFormat/>
    <w:uiPriority w:val="0"/>
    <w:rPr>
      <w:sz w:val="24"/>
      <w:szCs w:val="24"/>
    </w:rPr>
  </w:style>
  <w:style w:type="paragraph" w:customStyle="1" w:styleId="315">
    <w:name w:val="可研正文"/>
    <w:basedOn w:val="1"/>
    <w:link w:val="314"/>
    <w:qFormat/>
    <w:uiPriority w:val="0"/>
    <w:pPr>
      <w:spacing w:line="500" w:lineRule="exact"/>
      <w:ind w:firstLine="200" w:firstLineChars="200"/>
    </w:pPr>
    <w:rPr>
      <w:kern w:val="0"/>
      <w:sz w:val="24"/>
    </w:rPr>
  </w:style>
  <w:style w:type="character" w:customStyle="1" w:styleId="316">
    <w:name w:val="font71"/>
    <w:qFormat/>
    <w:uiPriority w:val="0"/>
    <w:rPr>
      <w:rFonts w:hint="eastAsia" w:ascii="宋体" w:hAnsi="宋体" w:eastAsia="宋体" w:cs="宋体"/>
      <w:color w:val="000000"/>
      <w:sz w:val="24"/>
      <w:szCs w:val="24"/>
      <w:u w:val="none"/>
    </w:rPr>
  </w:style>
  <w:style w:type="character" w:customStyle="1" w:styleId="317">
    <w:name w:val="font51"/>
    <w:qFormat/>
    <w:uiPriority w:val="0"/>
    <w:rPr>
      <w:rFonts w:hint="default" w:ascii="Times New Roman" w:hAnsi="Times New Roman" w:cs="Times New Roman"/>
      <w:color w:val="000000"/>
      <w:sz w:val="21"/>
      <w:szCs w:val="21"/>
      <w:u w:val="none"/>
    </w:rPr>
  </w:style>
  <w:style w:type="character" w:customStyle="1" w:styleId="318">
    <w:name w:val="正文文本缩进 Char2"/>
    <w:link w:val="24"/>
    <w:qFormat/>
    <w:uiPriority w:val="0"/>
    <w:rPr>
      <w:kern w:val="2"/>
      <w:sz w:val="21"/>
      <w:szCs w:val="24"/>
    </w:rPr>
  </w:style>
  <w:style w:type="character" w:customStyle="1" w:styleId="319">
    <w:name w:val="页码1"/>
    <w:qFormat/>
    <w:uiPriority w:val="0"/>
    <w:rPr>
      <w:rFonts w:cs="Times New Roman"/>
    </w:rPr>
  </w:style>
  <w:style w:type="character" w:customStyle="1" w:styleId="320">
    <w:name w:val="font61"/>
    <w:qFormat/>
    <w:uiPriority w:val="0"/>
    <w:rPr>
      <w:rFonts w:hint="eastAsia" w:ascii="宋体" w:hAnsi="宋体" w:eastAsia="宋体" w:cs="宋体"/>
      <w:color w:val="000000"/>
      <w:sz w:val="24"/>
      <w:szCs w:val="24"/>
      <w:u w:val="none"/>
    </w:rPr>
  </w:style>
  <w:style w:type="character" w:customStyle="1" w:styleId="321">
    <w:name w:val="编号（1） Char Char"/>
    <w:link w:val="322"/>
    <w:qFormat/>
    <w:uiPriority w:val="0"/>
    <w:rPr>
      <w:kern w:val="2"/>
      <w:sz w:val="28"/>
    </w:rPr>
  </w:style>
  <w:style w:type="paragraph" w:customStyle="1" w:styleId="322">
    <w:name w:val="编号（1）"/>
    <w:basedOn w:val="1"/>
    <w:link w:val="321"/>
    <w:qFormat/>
    <w:uiPriority w:val="0"/>
    <w:pPr>
      <w:tabs>
        <w:tab w:val="left" w:pos="140"/>
      </w:tabs>
      <w:spacing w:line="360" w:lineRule="auto"/>
    </w:pPr>
    <w:rPr>
      <w:sz w:val="28"/>
      <w:szCs w:val="20"/>
    </w:rPr>
  </w:style>
  <w:style w:type="character" w:customStyle="1" w:styleId="323">
    <w:name w:val="样式 (符号) 宋体 四号 Char Char"/>
    <w:link w:val="324"/>
    <w:qFormat/>
    <w:uiPriority w:val="0"/>
    <w:rPr>
      <w:rFonts w:ascii="宋体" w:hAnsi="宋体" w:cs="宋体"/>
      <w:sz w:val="28"/>
      <w:szCs w:val="28"/>
    </w:rPr>
  </w:style>
  <w:style w:type="paragraph" w:customStyle="1" w:styleId="324">
    <w:name w:val="样式 (符号) 宋体 四号"/>
    <w:basedOn w:val="1"/>
    <w:link w:val="323"/>
    <w:qFormat/>
    <w:uiPriority w:val="0"/>
    <w:pPr>
      <w:spacing w:line="500" w:lineRule="exact"/>
      <w:ind w:firstLine="200" w:firstLineChars="200"/>
    </w:pPr>
    <w:rPr>
      <w:rFonts w:ascii="宋体" w:hAnsi="宋体" w:cs="宋体"/>
      <w:kern w:val="0"/>
      <w:sz w:val="28"/>
      <w:szCs w:val="28"/>
    </w:rPr>
  </w:style>
  <w:style w:type="character" w:customStyle="1" w:styleId="325">
    <w:name w:val="正文文本 + Batang"/>
    <w:qFormat/>
    <w:uiPriority w:val="0"/>
    <w:rPr>
      <w:rFonts w:ascii="Batang" w:hAnsi="黑体" w:eastAsia="Batang" w:cs="Batang"/>
      <w:spacing w:val="10"/>
      <w:kern w:val="2"/>
      <w:sz w:val="19"/>
      <w:szCs w:val="19"/>
      <w:u w:val="none"/>
      <w:lang w:val="en-US" w:eastAsia="en-US"/>
    </w:rPr>
  </w:style>
  <w:style w:type="paragraph" w:customStyle="1" w:styleId="32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27">
    <w:name w:val="普通(网站)1"/>
    <w:basedOn w:val="1"/>
    <w:qFormat/>
    <w:uiPriority w:val="0"/>
    <w:pPr>
      <w:widowControl/>
      <w:spacing w:before="100" w:beforeAutospacing="1" w:after="100" w:afterAutospacing="1"/>
      <w:jc w:val="left"/>
    </w:pPr>
    <w:rPr>
      <w:rFonts w:ascii="宋体" w:hAnsi="宋体" w:cs="宋体"/>
      <w:kern w:val="0"/>
      <w:sz w:val="24"/>
      <w:szCs w:val="21"/>
    </w:rPr>
  </w:style>
  <w:style w:type="paragraph" w:customStyle="1" w:styleId="328">
    <w:name w:val="纯文本1"/>
    <w:basedOn w:val="1"/>
    <w:qFormat/>
    <w:uiPriority w:val="0"/>
    <w:rPr>
      <w:rFonts w:ascii="宋体" w:hAnsi="Courier New"/>
      <w:kern w:val="0"/>
      <w:sz w:val="20"/>
      <w:szCs w:val="20"/>
      <w:lang w:bidi="mn-Mong-CN"/>
    </w:rPr>
  </w:style>
  <w:style w:type="character" w:customStyle="1" w:styleId="329">
    <w:name w:val="脚注文本 Char"/>
    <w:link w:val="71"/>
    <w:qFormat/>
    <w:uiPriority w:val="99"/>
    <w:rPr>
      <w:kern w:val="2"/>
      <w:sz w:val="18"/>
      <w:szCs w:val="18"/>
    </w:rPr>
  </w:style>
  <w:style w:type="paragraph" w:customStyle="1" w:styleId="330">
    <w:name w:val="无间隔1"/>
    <w:qFormat/>
    <w:uiPriority w:val="0"/>
    <w:pPr>
      <w:widowControl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331">
    <w:name w:val="标题5"/>
    <w:basedOn w:val="1"/>
    <w:qFormat/>
    <w:uiPriority w:val="0"/>
    <w:pPr>
      <w:spacing w:line="400" w:lineRule="exact"/>
      <w:ind w:firstLine="720" w:firstLineChars="200"/>
      <w:jc w:val="left"/>
    </w:pPr>
    <w:rPr>
      <w:rFonts w:eastAsia="楷体_GB2312"/>
      <w:sz w:val="24"/>
      <w:szCs w:val="21"/>
    </w:rPr>
  </w:style>
  <w:style w:type="paragraph" w:customStyle="1" w:styleId="33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33">
    <w:name w:val="样式 段前: 7.8 磅 段后: 7.8 磅"/>
    <w:basedOn w:val="1"/>
    <w:qFormat/>
    <w:uiPriority w:val="0"/>
    <w:pPr>
      <w:spacing w:before="10" w:after="10" w:line="440" w:lineRule="exact"/>
      <w:ind w:firstLine="200" w:firstLineChars="200"/>
      <w:jc w:val="left"/>
    </w:pPr>
    <w:rPr>
      <w:sz w:val="24"/>
    </w:rPr>
  </w:style>
  <w:style w:type="paragraph" w:customStyle="1" w:styleId="334">
    <w:name w:val="0"/>
    <w:basedOn w:val="1"/>
    <w:qFormat/>
    <w:uiPriority w:val="0"/>
    <w:pPr>
      <w:widowControl/>
      <w:snapToGrid w:val="0"/>
    </w:pPr>
    <w:rPr>
      <w:kern w:val="0"/>
      <w:szCs w:val="21"/>
    </w:rPr>
  </w:style>
  <w:style w:type="paragraph" w:customStyle="1" w:styleId="335">
    <w:name w:val="tgt2"/>
    <w:basedOn w:val="1"/>
    <w:qFormat/>
    <w:uiPriority w:val="0"/>
    <w:pPr>
      <w:widowControl/>
      <w:spacing w:after="150" w:line="360" w:lineRule="auto"/>
      <w:jc w:val="left"/>
    </w:pPr>
    <w:rPr>
      <w:rFonts w:ascii="宋体" w:hAnsi="宋体" w:cs="宋体"/>
      <w:b/>
      <w:bCs/>
      <w:sz w:val="36"/>
      <w:szCs w:val="36"/>
    </w:rPr>
  </w:style>
  <w:style w:type="paragraph" w:customStyle="1" w:styleId="336">
    <w:name w:val="正文缩进1"/>
    <w:basedOn w:val="1"/>
    <w:qFormat/>
    <w:uiPriority w:val="0"/>
    <w:pPr>
      <w:spacing w:line="560" w:lineRule="exact"/>
      <w:ind w:firstLine="420" w:firstLineChars="200"/>
    </w:pPr>
    <w:rPr>
      <w:rFonts w:hint="eastAsia"/>
      <w:szCs w:val="21"/>
    </w:rPr>
  </w:style>
  <w:style w:type="paragraph" w:customStyle="1" w:styleId="337">
    <w:name w:val="文档结构图1"/>
    <w:basedOn w:val="1"/>
    <w:qFormat/>
    <w:uiPriority w:val="0"/>
    <w:pPr>
      <w:shd w:val="clear" w:color="auto" w:fill="000080"/>
    </w:pPr>
    <w:rPr>
      <w:kern w:val="0"/>
      <w:sz w:val="24"/>
      <w:shd w:val="clear" w:color="auto" w:fill="000080"/>
      <w:lang w:bidi="mn-Mong-CN"/>
    </w:rPr>
  </w:style>
  <w:style w:type="paragraph" w:customStyle="1" w:styleId="338">
    <w:name w:val="Char Char32 Char Char1"/>
    <w:basedOn w:val="1"/>
    <w:qFormat/>
    <w:uiPriority w:val="0"/>
    <w:pPr>
      <w:spacing w:line="360" w:lineRule="auto"/>
      <w:ind w:firstLine="200" w:firstLineChars="200"/>
    </w:pPr>
    <w:rPr>
      <w:rFonts w:ascii="宋体" w:hAnsi="宋体" w:cs="宋体"/>
      <w:sz w:val="24"/>
    </w:rPr>
  </w:style>
  <w:style w:type="paragraph" w:customStyle="1" w:styleId="339">
    <w:name w:val="日期1"/>
    <w:basedOn w:val="1"/>
    <w:next w:val="1"/>
    <w:qFormat/>
    <w:uiPriority w:val="0"/>
    <w:pPr>
      <w:ind w:left="100" w:leftChars="2500"/>
    </w:pPr>
    <w:rPr>
      <w:kern w:val="0"/>
      <w:sz w:val="24"/>
      <w:lang w:bidi="mn-Mong-CN"/>
    </w:rPr>
  </w:style>
  <w:style w:type="paragraph" w:customStyle="1" w:styleId="340">
    <w:name w:val="Char"/>
    <w:basedOn w:val="1"/>
    <w:qFormat/>
    <w:uiPriority w:val="0"/>
    <w:pPr>
      <w:jc w:val="left"/>
    </w:pPr>
  </w:style>
  <w:style w:type="paragraph" w:customStyle="1" w:styleId="341">
    <w:name w:val="正文标准"/>
    <w:basedOn w:val="1"/>
    <w:qFormat/>
    <w:uiPriority w:val="0"/>
    <w:pPr>
      <w:adjustRightInd w:val="0"/>
      <w:spacing w:line="400" w:lineRule="exact"/>
      <w:ind w:firstLine="480" w:firstLineChars="200"/>
      <w:jc w:val="left"/>
    </w:pPr>
    <w:rPr>
      <w:rFonts w:ascii="宋体" w:hAnsi="宋体" w:cs="宋体"/>
      <w:sz w:val="24"/>
      <w:szCs w:val="21"/>
    </w:rPr>
  </w:style>
  <w:style w:type="paragraph" w:customStyle="1" w:styleId="342">
    <w:name w:val="p0"/>
    <w:qFormat/>
    <w:uiPriority w:val="0"/>
    <w:rPr>
      <w:rFonts w:hint="eastAsia" w:ascii="宋体" w:hAnsi="宋体" w:eastAsia="宋体" w:cs="Times New Roman"/>
      <w:sz w:val="21"/>
      <w:szCs w:val="22"/>
      <w:lang w:val="en-US" w:eastAsia="zh-CN" w:bidi="ar-SA"/>
    </w:rPr>
  </w:style>
  <w:style w:type="paragraph" w:customStyle="1" w:styleId="343">
    <w:name w:val="索引 31"/>
    <w:basedOn w:val="1"/>
    <w:next w:val="1"/>
    <w:qFormat/>
    <w:uiPriority w:val="0"/>
    <w:pPr>
      <w:ind w:left="400" w:leftChars="400"/>
    </w:pPr>
    <w:rPr>
      <w:szCs w:val="21"/>
    </w:rPr>
  </w:style>
  <w:style w:type="paragraph" w:customStyle="1" w:styleId="344">
    <w:name w:val="列出段落1"/>
    <w:basedOn w:val="1"/>
    <w:qFormat/>
    <w:uiPriority w:val="34"/>
    <w:pPr>
      <w:ind w:firstLine="420" w:firstLineChars="200"/>
    </w:pPr>
    <w:rPr>
      <w:szCs w:val="21"/>
    </w:rPr>
  </w:style>
  <w:style w:type="paragraph" w:customStyle="1" w:styleId="345">
    <w:name w:val="Char Char32 Char Char"/>
    <w:basedOn w:val="1"/>
    <w:qFormat/>
    <w:uiPriority w:val="0"/>
    <w:pPr>
      <w:spacing w:line="360" w:lineRule="auto"/>
      <w:ind w:firstLine="200" w:firstLineChars="200"/>
    </w:pPr>
    <w:rPr>
      <w:rFonts w:ascii="宋体" w:hAnsi="宋体" w:cs="宋体"/>
      <w:sz w:val="24"/>
    </w:rPr>
  </w:style>
  <w:style w:type="table" w:customStyle="1" w:styleId="346">
    <w:name w:val="网格型2"/>
    <w:basedOn w:val="9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47">
    <w:name w:val="表格式"/>
    <w:basedOn w:val="70"/>
    <w:link w:val="348"/>
    <w:qFormat/>
    <w:uiPriority w:val="0"/>
    <w:pPr>
      <w:snapToGrid w:val="0"/>
      <w:spacing w:before="156" w:beforeLines="50" w:after="156" w:afterLines="50" w:line="240" w:lineRule="exact"/>
      <w:ind w:left="0" w:firstLine="0" w:firstLineChars="0"/>
      <w:jc w:val="center"/>
    </w:pPr>
    <w:rPr>
      <w:rFonts w:ascii="宋体"/>
      <w:szCs w:val="20"/>
    </w:rPr>
  </w:style>
  <w:style w:type="character" w:customStyle="1" w:styleId="348">
    <w:name w:val="表格式 Char1"/>
    <w:link w:val="347"/>
    <w:qFormat/>
    <w:uiPriority w:val="0"/>
    <w:rPr>
      <w:rFonts w:ascii="宋体"/>
      <w:kern w:val="2"/>
      <w:sz w:val="21"/>
    </w:rPr>
  </w:style>
  <w:style w:type="paragraph" w:customStyle="1" w:styleId="349">
    <w:name w:val="表头2"/>
    <w:basedOn w:val="1"/>
    <w:qFormat/>
    <w:uiPriority w:val="0"/>
    <w:pPr>
      <w:tabs>
        <w:tab w:val="left" w:pos="2520"/>
      </w:tabs>
      <w:spacing w:before="312" w:beforeLines="100" w:after="156" w:afterLines="50" w:line="480" w:lineRule="exact"/>
      <w:jc w:val="center"/>
      <w:outlineLvl w:val="0"/>
    </w:pPr>
    <w:rPr>
      <w:rFonts w:ascii="黑体" w:hAnsi="黑体" w:eastAsia="黑体"/>
      <w:color w:val="000000"/>
      <w:position w:val="10"/>
      <w:szCs w:val="21"/>
    </w:rPr>
  </w:style>
  <w:style w:type="paragraph" w:customStyle="1" w:styleId="350">
    <w:name w:val="河石管道 表头7"/>
    <w:semiHidden/>
    <w:qFormat/>
    <w:uiPriority w:val="0"/>
    <w:pPr>
      <w:spacing w:before="156" w:after="156" w:line="240" w:lineRule="exact"/>
      <w:jc w:val="center"/>
    </w:pPr>
    <w:rPr>
      <w:rFonts w:ascii="Times New Roman" w:hAnsi="Times New Roman" w:eastAsia="宋体" w:cs="Times New Roman"/>
      <w:bCs/>
      <w:color w:val="000000"/>
      <w:sz w:val="18"/>
      <w:lang w:val="en-US" w:eastAsia="zh-CN" w:bidi="ar-SA"/>
    </w:rPr>
  </w:style>
  <w:style w:type="paragraph" w:customStyle="1" w:styleId="351">
    <w:name w:val="Char Char Char Char Char Char Char1"/>
    <w:basedOn w:val="1"/>
    <w:qFormat/>
    <w:uiPriority w:val="0"/>
    <w:pPr>
      <w:adjustRightInd w:val="0"/>
      <w:snapToGrid w:val="0"/>
      <w:jc w:val="center"/>
    </w:pPr>
    <w:rPr>
      <w:sz w:val="24"/>
    </w:rPr>
  </w:style>
  <w:style w:type="paragraph" w:customStyle="1" w:styleId="352">
    <w:name w:val="表中正文五号"/>
    <w:basedOn w:val="1"/>
    <w:qFormat/>
    <w:uiPriority w:val="0"/>
    <w:pPr>
      <w:spacing w:line="480" w:lineRule="exact"/>
      <w:jc w:val="center"/>
    </w:pPr>
    <w:rPr>
      <w:rFonts w:ascii="宋体" w:hAnsi="宋体"/>
      <w:color w:val="FF0000"/>
      <w:szCs w:val="20"/>
    </w:rPr>
  </w:style>
  <w:style w:type="paragraph" w:customStyle="1" w:styleId="353">
    <w:name w:val="填表内容"/>
    <w:basedOn w:val="1"/>
    <w:semiHidden/>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354">
    <w:name w:val="表中正文居中"/>
    <w:semiHidden/>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355">
    <w:name w:val="xl60"/>
    <w:basedOn w:val="1"/>
    <w:qFormat/>
    <w:uiPriority w:val="0"/>
    <w:pPr>
      <w:widowControl/>
      <w:spacing w:before="100" w:beforeAutospacing="1" w:after="100" w:afterAutospacing="1"/>
      <w:jc w:val="left"/>
    </w:pPr>
    <w:rPr>
      <w:rFonts w:ascii="宋体" w:hAnsi="宋体"/>
      <w:kern w:val="0"/>
      <w:sz w:val="24"/>
    </w:rPr>
  </w:style>
  <w:style w:type="paragraph" w:customStyle="1" w:styleId="356">
    <w:name w:val="正文(首行缩进)宋旭峰"/>
    <w:basedOn w:val="22"/>
    <w:link w:val="357"/>
    <w:qFormat/>
    <w:uiPriority w:val="0"/>
    <w:pPr>
      <w:adjustRightInd w:val="0"/>
      <w:snapToGrid w:val="0"/>
      <w:ind w:firstLine="540" w:firstLineChars="225"/>
      <w:contextualSpacing/>
    </w:pPr>
    <w:rPr>
      <w:rFonts w:cs="Arial"/>
      <w:snapToGrid w:val="0"/>
      <w:kern w:val="0"/>
      <w:szCs w:val="24"/>
    </w:rPr>
  </w:style>
  <w:style w:type="character" w:customStyle="1" w:styleId="357">
    <w:name w:val="正文(首行缩进)宋旭峰 Char Char"/>
    <w:link w:val="356"/>
    <w:qFormat/>
    <w:uiPriority w:val="0"/>
    <w:rPr>
      <w:rFonts w:cs="Arial"/>
      <w:snapToGrid w:val="0"/>
      <w:sz w:val="24"/>
      <w:szCs w:val="24"/>
    </w:rPr>
  </w:style>
  <w:style w:type="paragraph" w:customStyle="1" w:styleId="358">
    <w:name w:val="正文（用）"/>
    <w:basedOn w:val="1"/>
    <w:qFormat/>
    <w:uiPriority w:val="0"/>
    <w:pPr>
      <w:spacing w:line="360" w:lineRule="auto"/>
      <w:ind w:firstLine="480" w:firstLineChars="200"/>
      <w:jc w:val="left"/>
    </w:pPr>
    <w:rPr>
      <w:rFonts w:ascii="宋体" w:hAnsi="宋体" w:cs="宋体"/>
      <w:sz w:val="24"/>
      <w:szCs w:val="20"/>
    </w:rPr>
  </w:style>
  <w:style w:type="paragraph" w:customStyle="1" w:styleId="359">
    <w:name w:val="图"/>
    <w:basedOn w:val="22"/>
    <w:next w:val="1"/>
    <w:qFormat/>
    <w:uiPriority w:val="0"/>
    <w:pPr>
      <w:spacing w:line="236" w:lineRule="exact"/>
    </w:pPr>
    <w:rPr>
      <w:rFonts w:ascii="宋体"/>
      <w:sz w:val="18"/>
      <w:szCs w:val="18"/>
    </w:rPr>
  </w:style>
  <w:style w:type="paragraph" w:customStyle="1" w:styleId="360">
    <w:name w:val="-"/>
    <w:basedOn w:val="1"/>
    <w:qFormat/>
    <w:uiPriority w:val="0"/>
    <w:pPr>
      <w:widowControl/>
      <w:spacing w:before="100" w:beforeAutospacing="1" w:after="100" w:afterAutospacing="1" w:line="360" w:lineRule="auto"/>
      <w:ind w:firstLine="420" w:firstLineChars="200"/>
    </w:pPr>
    <w:rPr>
      <w:rFonts w:ascii="宋体" w:hAnsi="宋体"/>
      <w:kern w:val="0"/>
      <w:sz w:val="24"/>
    </w:rPr>
  </w:style>
  <w:style w:type="paragraph" w:customStyle="1" w:styleId="361">
    <w:name w:val="xl63"/>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FF0000"/>
      <w:kern w:val="0"/>
      <w:szCs w:val="21"/>
    </w:rPr>
  </w:style>
  <w:style w:type="paragraph" w:customStyle="1" w:styleId="362">
    <w:name w:val="xl6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363">
    <w:name w:val="xl6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364">
    <w:name w:val="xl66"/>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365">
    <w:name w:val="xl67"/>
    <w:basedOn w:val="1"/>
    <w:qFormat/>
    <w:uiPriority w:val="0"/>
    <w:pPr>
      <w:widowControl/>
      <w:pBdr>
        <w:bottom w:val="single" w:color="auto" w:sz="8" w:space="0"/>
        <w:right w:val="single" w:color="auto" w:sz="8" w:space="0"/>
      </w:pBdr>
      <w:spacing w:before="100" w:beforeAutospacing="1" w:after="100" w:afterAutospacing="1"/>
      <w:textAlignment w:val="center"/>
    </w:pPr>
    <w:rPr>
      <w:rFonts w:ascii="宋体" w:hAnsi="宋体" w:cs="宋体"/>
      <w:kern w:val="0"/>
      <w:szCs w:val="21"/>
    </w:rPr>
  </w:style>
  <w:style w:type="paragraph" w:customStyle="1" w:styleId="366">
    <w:name w:val="xl68"/>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367">
    <w:name w:val="xl69"/>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FF0000"/>
      <w:kern w:val="0"/>
      <w:sz w:val="24"/>
    </w:rPr>
  </w:style>
  <w:style w:type="paragraph" w:customStyle="1" w:styleId="368">
    <w:name w:val="xl70"/>
    <w:basedOn w:val="1"/>
    <w:qFormat/>
    <w:uiPriority w:val="0"/>
    <w:pPr>
      <w:widowControl/>
      <w:spacing w:before="100" w:beforeAutospacing="1" w:after="100" w:afterAutospacing="1"/>
      <w:jc w:val="center"/>
      <w:textAlignment w:val="center"/>
    </w:pPr>
    <w:rPr>
      <w:rFonts w:ascii="宋体" w:hAnsi="宋体" w:cs="宋体"/>
      <w:kern w:val="0"/>
      <w:szCs w:val="21"/>
    </w:rPr>
  </w:style>
  <w:style w:type="paragraph" w:customStyle="1" w:styleId="369">
    <w:name w:val="xl71"/>
    <w:basedOn w:val="1"/>
    <w:qFormat/>
    <w:uiPriority w:val="0"/>
    <w:pPr>
      <w:widowControl/>
      <w:pBdr>
        <w:bottom w:val="single" w:color="auto" w:sz="8" w:space="0"/>
        <w:right w:val="single" w:color="auto" w:sz="8" w:space="0"/>
      </w:pBdr>
      <w:spacing w:before="100" w:beforeAutospacing="1" w:after="100" w:afterAutospacing="1"/>
      <w:textAlignment w:val="center"/>
    </w:pPr>
    <w:rPr>
      <w:rFonts w:ascii="宋体" w:hAnsi="宋体" w:cs="宋体"/>
      <w:kern w:val="0"/>
      <w:szCs w:val="21"/>
    </w:rPr>
  </w:style>
  <w:style w:type="paragraph" w:customStyle="1" w:styleId="370">
    <w:name w:val="xl72"/>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371">
    <w:name w:val="xl73"/>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FF0000"/>
      <w:kern w:val="0"/>
      <w:sz w:val="24"/>
    </w:rPr>
  </w:style>
  <w:style w:type="paragraph" w:customStyle="1" w:styleId="372">
    <w:name w:val="xl74"/>
    <w:basedOn w:val="1"/>
    <w:qFormat/>
    <w:uiPriority w:val="0"/>
    <w:pPr>
      <w:widowControl/>
      <w:spacing w:before="100" w:beforeAutospacing="1" w:after="100" w:afterAutospacing="1"/>
      <w:jc w:val="center"/>
      <w:textAlignment w:val="center"/>
    </w:pPr>
    <w:rPr>
      <w:rFonts w:ascii="宋体" w:hAnsi="宋体" w:cs="宋体"/>
      <w:kern w:val="0"/>
      <w:szCs w:val="21"/>
    </w:rPr>
  </w:style>
  <w:style w:type="paragraph" w:customStyle="1" w:styleId="373">
    <w:name w:val="xl7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color w:val="FF0000"/>
      <w:kern w:val="0"/>
      <w:sz w:val="24"/>
    </w:rPr>
  </w:style>
  <w:style w:type="paragraph" w:customStyle="1" w:styleId="374">
    <w:name w:val="xl76"/>
    <w:basedOn w:val="1"/>
    <w:qFormat/>
    <w:uiPriority w:val="0"/>
    <w:pPr>
      <w:widowControl/>
      <w:pBdr>
        <w:bottom w:val="single" w:color="auto" w:sz="8" w:space="0"/>
        <w:right w:val="single" w:color="auto" w:sz="8" w:space="0"/>
      </w:pBdr>
      <w:spacing w:before="100" w:beforeAutospacing="1" w:after="100" w:afterAutospacing="1"/>
      <w:jc w:val="left"/>
      <w:textAlignment w:val="center"/>
    </w:pPr>
    <w:rPr>
      <w:color w:val="FF0000"/>
      <w:kern w:val="0"/>
      <w:szCs w:val="21"/>
    </w:rPr>
  </w:style>
  <w:style w:type="paragraph" w:customStyle="1" w:styleId="375">
    <w:name w:val="xl77"/>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FF0000"/>
      <w:kern w:val="0"/>
      <w:szCs w:val="21"/>
    </w:rPr>
  </w:style>
  <w:style w:type="paragraph" w:customStyle="1" w:styleId="376">
    <w:name w:val="xl78"/>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FF0000"/>
      <w:kern w:val="0"/>
      <w:szCs w:val="21"/>
    </w:rPr>
  </w:style>
  <w:style w:type="table" w:customStyle="1" w:styleId="377">
    <w:name w:val="网格型3"/>
    <w:basedOn w:val="9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78">
    <w:name w:val="样式 首行缩进:  2 字符1"/>
    <w:basedOn w:val="1"/>
    <w:qFormat/>
    <w:uiPriority w:val="99"/>
    <w:pPr>
      <w:adjustRightInd w:val="0"/>
      <w:snapToGrid w:val="0"/>
      <w:spacing w:line="360" w:lineRule="auto"/>
      <w:ind w:firstLine="200" w:firstLineChars="200"/>
    </w:pPr>
    <w:rPr>
      <w:rFonts w:ascii="宋体" w:hAnsi="Calibri" w:cs="宋体"/>
      <w:sz w:val="24"/>
      <w:szCs w:val="22"/>
    </w:rPr>
  </w:style>
  <w:style w:type="character" w:customStyle="1" w:styleId="379">
    <w:name w:val="宏文本 Char"/>
    <w:link w:val="3"/>
    <w:qFormat/>
    <w:uiPriority w:val="0"/>
    <w:rPr>
      <w:rFonts w:ascii="Courier New" w:hAnsi="Courier New" w:cs="Courier New"/>
      <w:kern w:val="2"/>
      <w:sz w:val="24"/>
      <w:szCs w:val="24"/>
    </w:rPr>
  </w:style>
  <w:style w:type="paragraph" w:styleId="380">
    <w:name w:val="Intense Quote"/>
    <w:basedOn w:val="1"/>
    <w:next w:val="1"/>
    <w:link w:val="381"/>
    <w:qFormat/>
    <w:uiPriority w:val="30"/>
    <w:pPr>
      <w:pBdr>
        <w:bottom w:val="single" w:color="4F81BD" w:sz="4" w:space="4"/>
      </w:pBdr>
      <w:spacing w:before="200" w:after="280"/>
      <w:ind w:left="936" w:right="936"/>
    </w:pPr>
    <w:rPr>
      <w:b/>
      <w:bCs/>
      <w:i/>
      <w:iCs/>
      <w:color w:val="4F81BD"/>
    </w:rPr>
  </w:style>
  <w:style w:type="character" w:customStyle="1" w:styleId="381">
    <w:name w:val="明显引用 Char"/>
    <w:link w:val="380"/>
    <w:qFormat/>
    <w:uiPriority w:val="30"/>
    <w:rPr>
      <w:b/>
      <w:bCs/>
      <w:i/>
      <w:iCs/>
      <w:color w:val="4F81BD"/>
      <w:kern w:val="2"/>
      <w:sz w:val="21"/>
      <w:szCs w:val="24"/>
    </w:rPr>
  </w:style>
  <w:style w:type="paragraph" w:customStyle="1" w:styleId="382">
    <w:name w:val="书目1"/>
    <w:basedOn w:val="1"/>
    <w:next w:val="1"/>
    <w:semiHidden/>
    <w:unhideWhenUsed/>
    <w:qFormat/>
    <w:uiPriority w:val="37"/>
  </w:style>
  <w:style w:type="character" w:customStyle="1" w:styleId="383">
    <w:name w:val="尾注文本 Char"/>
    <w:link w:val="55"/>
    <w:qFormat/>
    <w:uiPriority w:val="0"/>
    <w:rPr>
      <w:kern w:val="2"/>
      <w:sz w:val="21"/>
      <w:szCs w:val="24"/>
    </w:rPr>
  </w:style>
  <w:style w:type="paragraph" w:styleId="384">
    <w:name w:val="Quote"/>
    <w:basedOn w:val="1"/>
    <w:next w:val="1"/>
    <w:link w:val="385"/>
    <w:qFormat/>
    <w:uiPriority w:val="29"/>
    <w:rPr>
      <w:i/>
      <w:iCs/>
      <w:color w:val="000000"/>
    </w:rPr>
  </w:style>
  <w:style w:type="character" w:customStyle="1" w:styleId="385">
    <w:name w:val="引用 Char"/>
    <w:link w:val="384"/>
    <w:qFormat/>
    <w:uiPriority w:val="29"/>
    <w:rPr>
      <w:i/>
      <w:iCs/>
      <w:color w:val="000000"/>
      <w:kern w:val="2"/>
      <w:sz w:val="21"/>
      <w:szCs w:val="24"/>
    </w:rPr>
  </w:style>
  <w:style w:type="character" w:customStyle="1" w:styleId="386">
    <w:name w:val="ddzw1 Char"/>
    <w:link w:val="387"/>
    <w:semiHidden/>
    <w:qFormat/>
    <w:uiPriority w:val="0"/>
    <w:rPr>
      <w:kern w:val="2"/>
      <w:sz w:val="24"/>
    </w:rPr>
  </w:style>
  <w:style w:type="paragraph" w:customStyle="1" w:styleId="387">
    <w:name w:val="ddzw1"/>
    <w:basedOn w:val="1"/>
    <w:link w:val="386"/>
    <w:semiHidden/>
    <w:qFormat/>
    <w:uiPriority w:val="0"/>
    <w:pPr>
      <w:spacing w:line="360" w:lineRule="auto"/>
      <w:ind w:firstLine="200" w:firstLineChars="200"/>
      <w:jc w:val="left"/>
    </w:pPr>
    <w:rPr>
      <w:sz w:val="24"/>
      <w:szCs w:val="20"/>
    </w:rPr>
  </w:style>
  <w:style w:type="character" w:customStyle="1" w:styleId="388">
    <w:name w:val="纯文本 Char1"/>
    <w:qFormat/>
    <w:uiPriority w:val="0"/>
    <w:rPr>
      <w:rFonts w:ascii="宋体" w:hAnsi="Courier New" w:eastAsia="宋体"/>
      <w:spacing w:val="5"/>
      <w:kern w:val="2"/>
      <w:sz w:val="25"/>
      <w:szCs w:val="25"/>
      <w:lang w:val="en-US" w:eastAsia="zh-CN" w:bidi="ar-SA"/>
    </w:rPr>
  </w:style>
  <w:style w:type="paragraph" w:customStyle="1" w:styleId="389">
    <w:name w:val="正文宋体四号字"/>
    <w:basedOn w:val="1"/>
    <w:qFormat/>
    <w:uiPriority w:val="0"/>
    <w:pPr>
      <w:adjustRightInd w:val="0"/>
      <w:spacing w:line="560" w:lineRule="exact"/>
      <w:ind w:firstLine="567" w:firstLineChars="200"/>
      <w:textAlignment w:val="baseline"/>
    </w:pPr>
    <w:rPr>
      <w:rFonts w:ascii="Arial" w:hAnsi="Arial"/>
      <w:spacing w:val="2"/>
      <w:kern w:val="0"/>
      <w:sz w:val="28"/>
      <w:szCs w:val="25"/>
    </w:rPr>
  </w:style>
  <w:style w:type="character" w:customStyle="1" w:styleId="390">
    <w:name w:val="表格文字 Char Char"/>
    <w:qFormat/>
    <w:uiPriority w:val="0"/>
    <w:rPr>
      <w:rFonts w:ascii="new times roma" w:hAnsi="new times roma" w:eastAsia="宋体" w:cs="Times New Roman"/>
      <w:szCs w:val="24"/>
      <w:lang w:val="en-US" w:eastAsia="zh-CN"/>
    </w:rPr>
  </w:style>
  <w:style w:type="paragraph" w:customStyle="1" w:styleId="391">
    <w:name w:val="Char Char Char Char1"/>
    <w:basedOn w:val="1"/>
    <w:semiHidden/>
    <w:qFormat/>
    <w:uiPriority w:val="0"/>
    <w:pPr>
      <w:adjustRightInd w:val="0"/>
      <w:snapToGrid w:val="0"/>
      <w:spacing w:line="360" w:lineRule="auto"/>
      <w:ind w:firstLine="200" w:firstLineChars="200"/>
    </w:pPr>
    <w:rPr>
      <w:rFonts w:eastAsia="楷体_GB2312"/>
      <w:sz w:val="24"/>
      <w:szCs w:val="20"/>
    </w:rPr>
  </w:style>
  <w:style w:type="paragraph" w:customStyle="1" w:styleId="392">
    <w:name w:val="Char Char Char Char2"/>
    <w:basedOn w:val="1"/>
    <w:semiHidden/>
    <w:qFormat/>
    <w:uiPriority w:val="0"/>
    <w:pPr>
      <w:adjustRightInd w:val="0"/>
      <w:snapToGrid w:val="0"/>
      <w:spacing w:line="360" w:lineRule="auto"/>
      <w:ind w:firstLine="200" w:firstLineChars="200"/>
    </w:pPr>
    <w:rPr>
      <w:rFonts w:eastAsia="楷体_GB2312"/>
      <w:sz w:val="24"/>
      <w:szCs w:val="20"/>
    </w:rPr>
  </w:style>
  <w:style w:type="paragraph" w:customStyle="1" w:styleId="393">
    <w:name w:val="Char Char Char Char3"/>
    <w:basedOn w:val="1"/>
    <w:semiHidden/>
    <w:qFormat/>
    <w:uiPriority w:val="0"/>
    <w:pPr>
      <w:adjustRightInd w:val="0"/>
      <w:snapToGrid w:val="0"/>
      <w:spacing w:line="360" w:lineRule="auto"/>
      <w:ind w:firstLine="200" w:firstLineChars="200"/>
    </w:pPr>
    <w:rPr>
      <w:rFonts w:eastAsia="楷体_GB2312"/>
      <w:sz w:val="24"/>
      <w:szCs w:val="20"/>
    </w:rPr>
  </w:style>
  <w:style w:type="character" w:customStyle="1" w:styleId="394">
    <w:name w:val="页眉 Char"/>
    <w:qFormat/>
    <w:locked/>
    <w:uiPriority w:val="0"/>
    <w:rPr>
      <w:rFonts w:eastAsia="宋体"/>
      <w:kern w:val="2"/>
      <w:sz w:val="18"/>
      <w:szCs w:val="25"/>
      <w:lang w:val="en-US" w:eastAsia="zh-CN" w:bidi="ar-SA"/>
    </w:rPr>
  </w:style>
  <w:style w:type="paragraph" w:customStyle="1" w:styleId="395">
    <w:name w:val="表中"/>
    <w:qFormat/>
    <w:uiPriority w:val="0"/>
    <w:pPr>
      <w:spacing w:line="360" w:lineRule="auto"/>
      <w:ind w:firstLine="200" w:firstLineChars="200"/>
      <w:jc w:val="both"/>
    </w:pPr>
    <w:rPr>
      <w:rFonts w:ascii="Times New Roman" w:hAnsi="Times New Roman" w:eastAsia="宋体" w:cs="Times New Roman"/>
      <w:color w:val="000000"/>
      <w:sz w:val="24"/>
      <w:szCs w:val="24"/>
      <w:lang w:val="en-US" w:eastAsia="zh-CN" w:bidi="ar-SA"/>
    </w:rPr>
  </w:style>
  <w:style w:type="character" w:customStyle="1" w:styleId="396">
    <w:name w:val="正文 首行缩进:  2 字符 Char"/>
    <w:link w:val="397"/>
    <w:qFormat/>
    <w:uiPriority w:val="0"/>
    <w:rPr>
      <w:rFonts w:ascii="宋体" w:hAnsi="宋体" w:cs="宋体"/>
      <w:b/>
      <w:bCs/>
      <w:kern w:val="2"/>
      <w:sz w:val="28"/>
      <w:szCs w:val="28"/>
    </w:rPr>
  </w:style>
  <w:style w:type="paragraph" w:customStyle="1" w:styleId="397">
    <w:name w:val="正文 首行缩进:  2 字符"/>
    <w:basedOn w:val="1"/>
    <w:link w:val="396"/>
    <w:qFormat/>
    <w:uiPriority w:val="0"/>
    <w:pPr>
      <w:snapToGrid w:val="0"/>
      <w:spacing w:line="500" w:lineRule="exact"/>
      <w:ind w:firstLine="480" w:firstLineChars="200"/>
      <w:jc w:val="left"/>
    </w:pPr>
    <w:rPr>
      <w:rFonts w:ascii="宋体" w:hAnsi="宋体" w:cs="宋体"/>
      <w:b/>
      <w:bCs/>
      <w:sz w:val="28"/>
      <w:szCs w:val="28"/>
    </w:rPr>
  </w:style>
  <w:style w:type="paragraph" w:customStyle="1" w:styleId="398">
    <w:name w:val="表内容"/>
    <w:basedOn w:val="1"/>
    <w:next w:val="1"/>
    <w:qFormat/>
    <w:uiPriority w:val="0"/>
    <w:pPr>
      <w:snapToGrid w:val="0"/>
      <w:spacing w:line="320" w:lineRule="exact"/>
      <w:ind w:firstLine="562" w:firstLineChars="200"/>
      <w:jc w:val="center"/>
    </w:pPr>
    <w:rPr>
      <w:rFonts w:hint="eastAsia"/>
      <w:kern w:val="0"/>
      <w:sz w:val="24"/>
      <w:szCs w:val="20"/>
    </w:rPr>
  </w:style>
  <w:style w:type="paragraph" w:customStyle="1" w:styleId="399">
    <w:name w:val="【正文】"/>
    <w:basedOn w:val="1"/>
    <w:qFormat/>
    <w:uiPriority w:val="0"/>
    <w:pPr>
      <w:snapToGrid w:val="0"/>
      <w:spacing w:line="440" w:lineRule="exact"/>
      <w:ind w:firstLine="544" w:firstLineChars="200"/>
    </w:pPr>
    <w:rPr>
      <w:rFonts w:hint="eastAsia"/>
      <w:kern w:val="0"/>
      <w:sz w:val="24"/>
      <w:szCs w:val="20"/>
    </w:rPr>
  </w:style>
  <w:style w:type="table" w:customStyle="1" w:styleId="400">
    <w:name w:val="网格型4"/>
    <w:basedOn w:val="90"/>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1">
    <w:name w:val="网格型5"/>
    <w:basedOn w:val="90"/>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
    <w:name w:val="网格型6"/>
    <w:basedOn w:val="90"/>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
    <w:name w:val="网格型22"/>
    <w:basedOn w:val="9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04">
    <w:name w:val="标题 Char"/>
    <w:link w:val="88"/>
    <w:qFormat/>
    <w:uiPriority w:val="0"/>
    <w:rPr>
      <w:rFonts w:ascii="Arial" w:hAnsi="Arial" w:cs="Arial"/>
      <w:b/>
      <w:bCs/>
      <w:kern w:val="2"/>
      <w:sz w:val="32"/>
      <w:szCs w:val="32"/>
    </w:rPr>
  </w:style>
  <w:style w:type="table" w:customStyle="1" w:styleId="405">
    <w:name w:val="网格型7"/>
    <w:basedOn w:val="9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6">
    <w:name w:val="正本文字"/>
    <w:basedOn w:val="1"/>
    <w:qFormat/>
    <w:uiPriority w:val="0"/>
    <w:pPr>
      <w:widowControl/>
      <w:adjustRightInd w:val="0"/>
      <w:snapToGrid w:val="0"/>
      <w:spacing w:line="360" w:lineRule="auto"/>
      <w:ind w:firstLine="480" w:firstLineChars="200"/>
      <w:jc w:val="left"/>
    </w:pPr>
    <w:rPr>
      <w:rFonts w:ascii="宋体" w:hAnsi="宋体" w:cs="宋体"/>
      <w:kern w:val="18"/>
      <w:sz w:val="24"/>
      <w:szCs w:val="20"/>
    </w:rPr>
  </w:style>
  <w:style w:type="character" w:customStyle="1" w:styleId="407">
    <w:name w:val="题注 Char"/>
    <w:link w:val="28"/>
    <w:qFormat/>
    <w:locked/>
    <w:uiPriority w:val="0"/>
    <w:rPr>
      <w:rFonts w:ascii="Arial" w:hAnsi="Arial" w:eastAsia="黑体" w:cs="Arial"/>
      <w:kern w:val="2"/>
    </w:rPr>
  </w:style>
  <w:style w:type="paragraph" w:customStyle="1" w:styleId="408">
    <w:name w:val="●表内"/>
    <w:basedOn w:val="1"/>
    <w:qFormat/>
    <w:uiPriority w:val="0"/>
    <w:pPr>
      <w:spacing w:line="300" w:lineRule="auto"/>
      <w:jc w:val="center"/>
    </w:pPr>
    <w:rPr>
      <w:rFonts w:ascii="Calibri" w:hAnsi="Calibri"/>
      <w:szCs w:val="21"/>
    </w:rPr>
  </w:style>
  <w:style w:type="paragraph" w:customStyle="1" w:styleId="409">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410">
    <w:name w:val="仿宋_GB2312 下划线"/>
    <w:qFormat/>
    <w:uiPriority w:val="0"/>
    <w:rPr>
      <w:rFonts w:ascii="仿宋_GB2312" w:hAnsi="仿宋_GB2312" w:eastAsia="仿宋_GB2312"/>
      <w:sz w:val="28"/>
      <w:u w:val="single"/>
    </w:rPr>
  </w:style>
  <w:style w:type="paragraph" w:customStyle="1" w:styleId="411">
    <w:name w:val="小标题"/>
    <w:basedOn w:val="1"/>
    <w:qFormat/>
    <w:uiPriority w:val="0"/>
    <w:pPr>
      <w:spacing w:line="360" w:lineRule="auto"/>
      <w:ind w:firstLine="480" w:firstLineChars="200"/>
    </w:pPr>
    <w:rPr>
      <w:rFonts w:ascii="宋体" w:hAnsi="宋体" w:cs="宋体"/>
      <w:sz w:val="24"/>
      <w:szCs w:val="20"/>
      <w:lang w:val="zh-CN"/>
    </w:rPr>
  </w:style>
  <w:style w:type="paragraph" w:customStyle="1" w:styleId="412">
    <w:name w:val="表、图名12"/>
    <w:basedOn w:val="1"/>
    <w:qFormat/>
    <w:uiPriority w:val="0"/>
    <w:pPr>
      <w:jc w:val="center"/>
    </w:pPr>
    <w:rPr>
      <w:rFonts w:eastAsia="黑体" w:cs="宋体"/>
      <w:sz w:val="24"/>
      <w:szCs w:val="20"/>
    </w:rPr>
  </w:style>
  <w:style w:type="paragraph" w:customStyle="1" w:styleId="413">
    <w:name w:val="表文"/>
    <w:basedOn w:val="1"/>
    <w:next w:val="1"/>
    <w:qFormat/>
    <w:uiPriority w:val="0"/>
    <w:pPr>
      <w:spacing w:line="360" w:lineRule="exact"/>
      <w:ind w:firstLine="0" w:firstLineChars="0"/>
      <w:jc w:val="center"/>
    </w:pPr>
    <w:rPr>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35.png"/><Relationship Id="rId63" Type="http://schemas.openxmlformats.org/officeDocument/2006/relationships/image" Target="media/image34.wmf"/><Relationship Id="rId62" Type="http://schemas.openxmlformats.org/officeDocument/2006/relationships/oleObject" Target="embeddings/oleObject17.bin"/><Relationship Id="rId61" Type="http://schemas.openxmlformats.org/officeDocument/2006/relationships/image" Target="media/image33.wmf"/><Relationship Id="rId60" Type="http://schemas.openxmlformats.org/officeDocument/2006/relationships/oleObject" Target="embeddings/oleObject16.bin"/><Relationship Id="rId6" Type="http://schemas.openxmlformats.org/officeDocument/2006/relationships/footer" Target="footer2.xml"/><Relationship Id="rId59" Type="http://schemas.openxmlformats.org/officeDocument/2006/relationships/image" Target="media/image32.wmf"/><Relationship Id="rId58" Type="http://schemas.openxmlformats.org/officeDocument/2006/relationships/oleObject" Target="embeddings/oleObject15.bin"/><Relationship Id="rId57" Type="http://schemas.openxmlformats.org/officeDocument/2006/relationships/image" Target="media/image31.wmf"/><Relationship Id="rId56" Type="http://schemas.openxmlformats.org/officeDocument/2006/relationships/oleObject" Target="embeddings/oleObject14.bin"/><Relationship Id="rId55" Type="http://schemas.openxmlformats.org/officeDocument/2006/relationships/image" Target="media/image30.wmf"/><Relationship Id="rId54" Type="http://schemas.openxmlformats.org/officeDocument/2006/relationships/oleObject" Target="embeddings/oleObject13.bin"/><Relationship Id="rId53" Type="http://schemas.openxmlformats.org/officeDocument/2006/relationships/image" Target="media/image29.wmf"/><Relationship Id="rId52" Type="http://schemas.openxmlformats.org/officeDocument/2006/relationships/oleObject" Target="embeddings/oleObject12.bin"/><Relationship Id="rId51" Type="http://schemas.openxmlformats.org/officeDocument/2006/relationships/image" Target="media/image28.emf"/><Relationship Id="rId50" Type="http://schemas.openxmlformats.org/officeDocument/2006/relationships/oleObject" Target="embeddings/oleObject11.bin"/><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wmf"/><Relationship Id="rId43" Type="http://schemas.openxmlformats.org/officeDocument/2006/relationships/oleObject" Target="embeddings/oleObject10.bin"/><Relationship Id="rId42" Type="http://schemas.openxmlformats.org/officeDocument/2006/relationships/image" Target="media/image21.wmf"/><Relationship Id="rId41" Type="http://schemas.openxmlformats.org/officeDocument/2006/relationships/oleObject" Target="embeddings/oleObject9.bin"/><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8.bin"/><Relationship Id="rId38" Type="http://schemas.openxmlformats.org/officeDocument/2006/relationships/image" Target="media/image19.wmf"/><Relationship Id="rId37" Type="http://schemas.openxmlformats.org/officeDocument/2006/relationships/oleObject" Target="embeddings/oleObject7.bin"/><Relationship Id="rId36" Type="http://schemas.openxmlformats.org/officeDocument/2006/relationships/image" Target="media/image18.wmf"/><Relationship Id="rId35" Type="http://schemas.openxmlformats.org/officeDocument/2006/relationships/oleObject" Target="embeddings/oleObject6.bin"/><Relationship Id="rId34" Type="http://schemas.openxmlformats.org/officeDocument/2006/relationships/image" Target="media/image17.wmf"/><Relationship Id="rId33" Type="http://schemas.openxmlformats.org/officeDocument/2006/relationships/oleObject" Target="embeddings/oleObject5.bin"/><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image" Target="media/image12.emf"/><Relationship Id="rId27" Type="http://schemas.openxmlformats.org/officeDocument/2006/relationships/oleObject" Target="embeddings/oleObject4.bin"/><Relationship Id="rId26" Type="http://schemas.openxmlformats.org/officeDocument/2006/relationships/image" Target="media/image11.emf"/><Relationship Id="rId25" Type="http://schemas.openxmlformats.org/officeDocument/2006/relationships/oleObject" Target="embeddings/oleObject3.bin"/><Relationship Id="rId24" Type="http://schemas.openxmlformats.org/officeDocument/2006/relationships/image" Target="media/image10.emf"/><Relationship Id="rId23" Type="http://schemas.openxmlformats.org/officeDocument/2006/relationships/oleObject" Target="embeddings/oleObject2.bin"/><Relationship Id="rId22" Type="http://schemas.openxmlformats.org/officeDocument/2006/relationships/image" Target="media/image9.emf"/><Relationship Id="rId21" Type="http://schemas.openxmlformats.org/officeDocument/2006/relationships/oleObject" Target="embeddings/oleObject1.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36828;&#21513;&#39034;&#28404;&#28748;&#24102;&#20869;&#23457;&#31295;6.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DDB5AA-B7C8-4BF2-9859-D633D91C3EB6}">
  <ds:schemaRefs/>
</ds:datastoreItem>
</file>

<file path=docProps/app.xml><?xml version="1.0" encoding="utf-8"?>
<Properties xmlns="http://schemas.openxmlformats.org/officeDocument/2006/extended-properties" xmlns:vt="http://schemas.openxmlformats.org/officeDocument/2006/docPropsVTypes">
  <Template>远吉顺滴灌带内审稿6.8.dotx</Template>
  <Company>信念技术论坛</Company>
  <Pages>191</Pages>
  <Words>103179</Words>
  <Characters>124682</Characters>
  <Lines>633</Lines>
  <Paragraphs>178</Paragraphs>
  <TotalTime>0</TotalTime>
  <ScaleCrop>false</ScaleCrop>
  <LinksUpToDate>false</LinksUpToDate>
  <CharactersWithSpaces>126062</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2019-12-30T08:49:00Z</dcterms:created>
  <dc:creator>Administrator</dc:creator>
  <cp:lastModifiedBy>WPS</cp:lastModifiedBy>
  <cp:lastPrinted>2021-09-25T09:11:00Z</cp:lastPrinted>
  <dcterms:modified xsi:type="dcterms:W3CDTF">2022-08-09T02:52:20Z</dcterms:modified>
  <dc:title>前    言</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1EF553768608462AB676C66BCDFADB62</vt:lpwstr>
  </property>
</Properties>
</file>