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建设项目环境影响报告表</w:t>
      </w:r>
    </w:p>
    <w:p>
      <w:pPr>
        <w:keepNext w:val="0"/>
        <w:keepLines w:val="0"/>
        <w:pageBreakBefore w:val="0"/>
        <w:widowControl w:val="0"/>
        <w:kinsoku/>
        <w:wordWrap/>
        <w:overflowPunct/>
        <w:topLinePunct w:val="0"/>
        <w:autoSpaceDE/>
        <w:autoSpaceDN/>
        <w:bidi w:val="0"/>
        <w:adjustRightInd w:val="0"/>
        <w:snapToGrid w:val="0"/>
        <w:spacing w:before="192" w:beforeLines="80"/>
        <w:ind w:firstLine="0" w:firstLineChars="0"/>
        <w:jc w:val="center"/>
        <w:textAlignment w:val="auto"/>
        <w:rPr>
          <w:rFonts w:hint="eastAsia" w:ascii="楷体_GB2312" w:eastAsia="楷体_GB2312"/>
          <w:bCs/>
          <w:color w:val="auto"/>
          <w:sz w:val="48"/>
          <w:szCs w:val="48"/>
        </w:rPr>
      </w:pPr>
      <w:r>
        <w:rPr>
          <w:rFonts w:hint="default" w:ascii="Times New Roman" w:hAnsi="Times New Roman" w:eastAsia="宋体" w:cs="Times New Roman"/>
          <w:bCs/>
          <w:color w:val="auto"/>
          <w:sz w:val="48"/>
          <w:szCs w:val="48"/>
        </w:rPr>
        <w:t>（污染影响类）</w:t>
      </w: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52"/>
          <w:szCs w:val="52"/>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ind w:firstLine="0" w:firstLineChars="0"/>
        <w:jc w:val="center"/>
        <w:textAlignment w:val="auto"/>
        <w:rPr>
          <w:rFonts w:eastAsia="仿宋"/>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left"/>
        <w:textAlignment w:val="auto"/>
        <w:rPr>
          <w:rFonts w:hint="default" w:ascii="Times New Roman" w:hAnsi="Times New Roman" w:eastAsia="宋体" w:cs="Times New Roman"/>
          <w:b/>
          <w:bCs/>
          <w:color w:val="auto"/>
          <w:sz w:val="30"/>
          <w:szCs w:val="30"/>
        </w:rPr>
      </w:pPr>
      <w:r>
        <w:rPr>
          <w:rFonts w:hint="default" w:ascii="Times New Roman" w:hAnsi="Times New Roman" w:eastAsia="宋体" w:cs="Times New Roman"/>
          <w:b/>
          <w:bCs/>
          <w:color w:val="auto"/>
          <w:sz w:val="30"/>
          <w:szCs w:val="30"/>
        </w:rPr>
        <w:t>项目名称：</w:t>
      </w:r>
      <w:r>
        <w:rPr>
          <w:rFonts w:hint="eastAsia" w:ascii="Times New Roman" w:hAnsi="Times New Roman" w:eastAsia="宋体" w:cs="Times New Roman"/>
          <w:b/>
          <w:bCs/>
          <w:color w:val="auto"/>
          <w:sz w:val="30"/>
          <w:szCs w:val="30"/>
          <w:u w:val="single"/>
          <w:lang w:val="en-US" w:eastAsia="zh-CN"/>
        </w:rPr>
        <w:t>内蒙古美华科技发展有限公司</w:t>
      </w:r>
      <w:r>
        <w:rPr>
          <w:rFonts w:hint="eastAsia" w:cs="Times New Roman"/>
          <w:b/>
          <w:bCs/>
          <w:color w:val="auto"/>
          <w:sz w:val="30"/>
          <w:szCs w:val="30"/>
          <w:u w:val="single"/>
          <w:lang w:val="en-US" w:eastAsia="zh-CN"/>
        </w:rPr>
        <w:t>年产2万吨胶粉项目</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hint="default" w:ascii="Times New Roman" w:hAnsi="Times New Roman" w:eastAsia="宋体" w:cs="Times New Roman"/>
          <w:b/>
          <w:bCs/>
          <w:color w:val="auto"/>
          <w:sz w:val="30"/>
          <w:szCs w:val="30"/>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left"/>
        <w:textAlignment w:val="auto"/>
        <w:rPr>
          <w:rFonts w:hint="default" w:ascii="Times New Roman" w:hAnsi="Times New Roman" w:eastAsia="宋体" w:cs="Times New Roman"/>
          <w:b/>
          <w:bCs/>
          <w:color w:val="auto"/>
          <w:sz w:val="30"/>
          <w:szCs w:val="30"/>
          <w:u w:val="none"/>
          <w:lang w:val="en-US" w:eastAsia="zh-CN"/>
        </w:rPr>
      </w:pPr>
      <w:r>
        <w:rPr>
          <w:rFonts w:hint="default" w:ascii="Times New Roman" w:hAnsi="Times New Roman" w:eastAsia="宋体" w:cs="Times New Roman"/>
          <w:b/>
          <w:bCs/>
          <w:color w:val="auto"/>
          <w:sz w:val="30"/>
          <w:szCs w:val="30"/>
        </w:rPr>
        <w:t>建设单位（盖章）：</w:t>
      </w:r>
      <w:r>
        <w:rPr>
          <w:rFonts w:hint="eastAsia" w:ascii="Times New Roman" w:hAnsi="Times New Roman" w:eastAsia="宋体" w:cs="Times New Roman"/>
          <w:b/>
          <w:bCs/>
          <w:color w:val="auto"/>
          <w:sz w:val="30"/>
          <w:szCs w:val="30"/>
          <w:u w:val="single"/>
          <w:lang w:val="en-US" w:eastAsia="zh-CN"/>
        </w:rPr>
        <w:t xml:space="preserve">     内蒙古美华科技发展有限公司 </w:t>
      </w:r>
      <w:r>
        <w:rPr>
          <w:rFonts w:hint="eastAsia" w:cs="Times New Roman"/>
          <w:b/>
          <w:bCs/>
          <w:color w:val="auto"/>
          <w:sz w:val="30"/>
          <w:szCs w:val="30"/>
          <w:u w:val="single"/>
          <w:lang w:val="en-US" w:eastAsia="zh-CN"/>
        </w:rPr>
        <w:t xml:space="preserve">   </w:t>
      </w:r>
      <w:r>
        <w:rPr>
          <w:rFonts w:hint="eastAsia" w:ascii="Times New Roman" w:hAnsi="Times New Roman" w:eastAsia="宋体" w:cs="Times New Roman"/>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hint="default" w:ascii="Times New Roman" w:hAnsi="Times New Roman" w:eastAsia="宋体" w:cs="Times New Roman"/>
          <w:b w:val="0"/>
          <w:bCs w:val="0"/>
          <w:color w:val="auto"/>
          <w:sz w:val="30"/>
          <w:szCs w:val="30"/>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left"/>
        <w:textAlignment w:val="auto"/>
        <w:rPr>
          <w:rFonts w:hint="default" w:ascii="仿宋_GB2312" w:eastAsia="仿宋_GB2312"/>
          <w:b/>
          <w:bCs/>
          <w:color w:val="auto"/>
          <w:sz w:val="36"/>
          <w:szCs w:val="36"/>
          <w:u w:val="single"/>
          <w:lang w:val="en-US"/>
        </w:rPr>
      </w:pPr>
      <w:r>
        <w:rPr>
          <w:rFonts w:hint="default" w:ascii="Times New Roman" w:hAnsi="Times New Roman" w:eastAsia="宋体" w:cs="Times New Roman"/>
          <w:b/>
          <w:bCs/>
          <w:color w:val="auto"/>
          <w:sz w:val="30"/>
          <w:szCs w:val="30"/>
        </w:rPr>
        <w:t>编制日期：</w:t>
      </w:r>
      <w:r>
        <w:rPr>
          <w:rFonts w:hint="default" w:ascii="Times New Roman" w:hAnsi="Times New Roman" w:eastAsia="宋体" w:cs="Times New Roman"/>
          <w:b/>
          <w:bCs/>
          <w:color w:val="auto"/>
          <w:sz w:val="30"/>
          <w:szCs w:val="30"/>
          <w:u w:val="single"/>
        </w:rPr>
        <w:t xml:space="preserve">    </w:t>
      </w:r>
      <w:r>
        <w:rPr>
          <w:rFonts w:hint="eastAsia" w:ascii="Times New Roman" w:hAnsi="Times New Roman" w:eastAsia="宋体" w:cs="Times New Roman"/>
          <w:b/>
          <w:bCs/>
          <w:color w:val="auto"/>
          <w:sz w:val="30"/>
          <w:szCs w:val="30"/>
          <w:u w:val="single"/>
          <w:lang w:val="en-US" w:eastAsia="zh-CN"/>
        </w:rPr>
        <w:t xml:space="preserve">          </w:t>
      </w:r>
      <w:r>
        <w:rPr>
          <w:rFonts w:hint="eastAsia" w:cs="Times New Roman"/>
          <w:b/>
          <w:bCs/>
          <w:color w:val="auto"/>
          <w:sz w:val="30"/>
          <w:szCs w:val="30"/>
          <w:u w:val="single"/>
          <w:lang w:val="en-US" w:eastAsia="zh-CN"/>
        </w:rPr>
        <w:t xml:space="preserve">  </w:t>
      </w:r>
      <w:r>
        <w:rPr>
          <w:rFonts w:hint="eastAsia" w:ascii="Times New Roman" w:hAnsi="Times New Roman" w:eastAsia="宋体" w:cs="Times New Roman"/>
          <w:b/>
          <w:bCs/>
          <w:color w:val="auto"/>
          <w:sz w:val="30"/>
          <w:szCs w:val="30"/>
          <w:u w:val="single"/>
          <w:lang w:val="en-US" w:eastAsia="zh-CN"/>
        </w:rPr>
        <w:t xml:space="preserve"> </w:t>
      </w:r>
      <w:r>
        <w:rPr>
          <w:rFonts w:hint="default" w:ascii="Times New Roman" w:hAnsi="Times New Roman" w:eastAsia="宋体" w:cs="Times New Roman"/>
          <w:b/>
          <w:bCs/>
          <w:color w:val="auto"/>
          <w:sz w:val="30"/>
          <w:szCs w:val="30"/>
          <w:u w:val="single"/>
          <w:lang w:val="en-US" w:eastAsia="zh-CN"/>
        </w:rPr>
        <w:t>202</w:t>
      </w:r>
      <w:r>
        <w:rPr>
          <w:rFonts w:hint="eastAsia" w:ascii="Times New Roman" w:hAnsi="Times New Roman" w:eastAsia="宋体" w:cs="Times New Roman"/>
          <w:b/>
          <w:bCs/>
          <w:color w:val="auto"/>
          <w:sz w:val="30"/>
          <w:szCs w:val="30"/>
          <w:u w:val="single"/>
          <w:lang w:val="en-US" w:eastAsia="zh-CN"/>
        </w:rPr>
        <w:t>2</w:t>
      </w:r>
      <w:r>
        <w:rPr>
          <w:rFonts w:hint="default" w:ascii="Times New Roman" w:hAnsi="Times New Roman" w:eastAsia="宋体" w:cs="Times New Roman"/>
          <w:b/>
          <w:bCs/>
          <w:color w:val="auto"/>
          <w:sz w:val="30"/>
          <w:szCs w:val="30"/>
          <w:u w:val="single"/>
          <w:lang w:val="en-US" w:eastAsia="zh-CN"/>
        </w:rPr>
        <w:t>年</w:t>
      </w:r>
      <w:r>
        <w:rPr>
          <w:rFonts w:hint="eastAsia" w:cs="Times New Roman"/>
          <w:b/>
          <w:bCs/>
          <w:color w:val="auto"/>
          <w:sz w:val="30"/>
          <w:szCs w:val="30"/>
          <w:u w:val="single"/>
          <w:lang w:val="en-US" w:eastAsia="zh-CN"/>
        </w:rPr>
        <w:t>9</w:t>
      </w:r>
      <w:r>
        <w:rPr>
          <w:rFonts w:hint="eastAsia" w:ascii="Times New Roman" w:hAnsi="Times New Roman" w:eastAsia="宋体" w:cs="Times New Roman"/>
          <w:b/>
          <w:bCs/>
          <w:color w:val="auto"/>
          <w:sz w:val="30"/>
          <w:szCs w:val="30"/>
          <w:u w:val="single"/>
          <w:lang w:val="en-US" w:eastAsia="zh-CN"/>
        </w:rPr>
        <w:t xml:space="preserve">月     </w:t>
      </w:r>
      <w:r>
        <w:rPr>
          <w:rFonts w:hint="eastAsia" w:cs="Times New Roman"/>
          <w:b/>
          <w:bCs/>
          <w:color w:val="auto"/>
          <w:sz w:val="30"/>
          <w:szCs w:val="30"/>
          <w:u w:val="single"/>
          <w:lang w:val="en-US" w:eastAsia="zh-CN"/>
        </w:rPr>
        <w:t xml:space="preserve"> </w:t>
      </w:r>
      <w:r>
        <w:rPr>
          <w:rFonts w:hint="eastAsia" w:ascii="Times New Roman" w:hAnsi="Times New Roman" w:eastAsia="宋体" w:cs="Times New Roman"/>
          <w:b/>
          <w:bCs/>
          <w:color w:val="auto"/>
          <w:sz w:val="30"/>
          <w:szCs w:val="30"/>
          <w:u w:val="single"/>
          <w:lang w:val="en-US" w:eastAsia="zh-CN"/>
        </w:rPr>
        <w:t xml:space="preserve">    </w:t>
      </w:r>
      <w:r>
        <w:rPr>
          <w:rFonts w:hint="eastAsia" w:cs="Times New Roman"/>
          <w:b/>
          <w:bCs/>
          <w:color w:val="auto"/>
          <w:sz w:val="30"/>
          <w:szCs w:val="30"/>
          <w:u w:val="single"/>
          <w:lang w:val="en-US" w:eastAsia="zh-CN"/>
        </w:rPr>
        <w:t xml:space="preserve"> </w:t>
      </w:r>
      <w:r>
        <w:rPr>
          <w:rFonts w:hint="eastAsia" w:ascii="Times New Roman" w:hAnsi="Times New Roman" w:eastAsia="宋体" w:cs="Times New Roman"/>
          <w:b/>
          <w:bCs/>
          <w:color w:val="auto"/>
          <w:sz w:val="30"/>
          <w:szCs w:val="30"/>
          <w:u w:val="single"/>
          <w:lang w:val="en-US" w:eastAsia="zh-CN"/>
        </w:rPr>
        <w:t xml:space="preserve">     </w:t>
      </w:r>
      <w:r>
        <w:rPr>
          <w:rFonts w:hint="eastAsia" w:ascii="Times New Roman" w:hAnsi="Times New Roman" w:cs="Times New Roman"/>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仿宋_GB2312" w:eastAsia="仿宋_GB2312"/>
          <w:b/>
          <w:bCs/>
          <w:color w:val="auto"/>
          <w:sz w:val="36"/>
          <w:szCs w:val="36"/>
          <w:u w:val="single"/>
        </w:rPr>
      </w:pPr>
      <w:bookmarkStart w:id="0" w:name="_Hlk57884087"/>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仿宋_GB2312" w:eastAsia="仿宋_GB2312"/>
          <w:color w:val="auto"/>
          <w:sz w:val="36"/>
          <w:szCs w:val="36"/>
        </w:rPr>
      </w:pPr>
    </w:p>
    <w:bookmarkEnd w:id="0"/>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ascii="仿宋_GB2312" w:eastAsia="仿宋_GB2312"/>
          <w:color w:val="auto"/>
          <w:sz w:val="36"/>
          <w:szCs w:val="36"/>
        </w:rPr>
        <w:sectPr>
          <w:footerReference r:id="rId5" w:type="default"/>
          <w:footerReference r:id="rId6" w:type="even"/>
          <w:pgSz w:w="11906" w:h="16838"/>
          <w:pgMar w:top="1134" w:right="1860" w:bottom="1134" w:left="1803" w:header="851" w:footer="1077" w:gutter="0"/>
          <w:pgBorders>
            <w:top w:val="none" w:sz="0" w:space="0"/>
            <w:left w:val="none" w:sz="0" w:space="0"/>
            <w:bottom w:val="none" w:sz="0" w:space="0"/>
            <w:right w:val="none" w:sz="0" w:space="0"/>
          </w:pgBorders>
          <w:pgNumType w:fmt="numberInDash" w:start="3"/>
          <w:cols w:space="720" w:num="1"/>
          <w:docGrid w:linePitch="312" w:charSpace="0"/>
        </w:sectPr>
      </w:pPr>
    </w:p>
    <w:p>
      <w:pPr>
        <w:pStyle w:val="4"/>
        <w:rPr>
          <w:rFonts w:hint="default" w:ascii="Times New Roman" w:hAnsi="Times New Roman" w:eastAsia="宋体" w:cs="Times New Roman"/>
          <w:color w:val="auto"/>
        </w:rPr>
      </w:pPr>
      <w:r>
        <w:rPr>
          <w:rFonts w:hint="default" w:ascii="Times New Roman" w:hAnsi="Times New Roman" w:eastAsia="宋体" w:cs="Times New Roman"/>
          <w:color w:val="auto"/>
        </w:rPr>
        <w:t>一、建设项目基本情况</w:t>
      </w:r>
    </w:p>
    <w:tbl>
      <w:tblPr>
        <w:tblStyle w:val="17"/>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42"/>
        <w:gridCol w:w="2195"/>
        <w:gridCol w:w="1129"/>
        <w:gridCol w:w="1305"/>
        <w:gridCol w:w="30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建设项目名称</w:t>
            </w:r>
          </w:p>
        </w:tc>
        <w:tc>
          <w:tcPr>
            <w:tcW w:w="7635" w:type="dxa"/>
            <w:gridSpan w:val="4"/>
            <w:vAlign w:val="center"/>
          </w:tcPr>
          <w:p>
            <w:pPr>
              <w:spacing w:line="360" w:lineRule="auto"/>
              <w:ind w:firstLine="0" w:firstLineChars="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eastAsia="zh-CN"/>
              </w:rPr>
              <w:t>内蒙古美华科技发展有限公司年产2万吨胶粉项目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项目代码</w:t>
            </w:r>
          </w:p>
        </w:tc>
        <w:tc>
          <w:tcPr>
            <w:tcW w:w="7635" w:type="dxa"/>
            <w:gridSpan w:val="4"/>
            <w:vAlign w:val="center"/>
          </w:tcPr>
          <w:p>
            <w:pPr>
              <w:widowControl/>
              <w:spacing w:line="360" w:lineRule="auto"/>
              <w:ind w:firstLine="0" w:firstLineChars="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2018-150823-03-029981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建设单位联系人</w:t>
            </w:r>
          </w:p>
        </w:tc>
        <w:tc>
          <w:tcPr>
            <w:tcW w:w="2195" w:type="dxa"/>
            <w:vAlign w:val="center"/>
          </w:tcPr>
          <w:p>
            <w:pPr>
              <w:spacing w:line="36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4"/>
                <w:szCs w:val="24"/>
                <w:lang w:eastAsia="zh-CN"/>
              </w:rPr>
              <w:t>秦瑞军</w:t>
            </w:r>
          </w:p>
        </w:tc>
        <w:tc>
          <w:tcPr>
            <w:tcW w:w="2434" w:type="dxa"/>
            <w:gridSpan w:val="2"/>
            <w:vAlign w:val="center"/>
          </w:tcPr>
          <w:p>
            <w:pPr>
              <w:spacing w:line="36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联系电话</w:t>
            </w:r>
          </w:p>
        </w:tc>
        <w:tc>
          <w:tcPr>
            <w:tcW w:w="3006" w:type="dxa"/>
            <w:vAlign w:val="center"/>
          </w:tcPr>
          <w:p>
            <w:pPr>
              <w:spacing w:line="36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4"/>
                <w:szCs w:val="24"/>
              </w:rPr>
              <w:t>13947278618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建设地点</w:t>
            </w:r>
          </w:p>
        </w:tc>
        <w:tc>
          <w:tcPr>
            <w:tcW w:w="7635" w:type="dxa"/>
            <w:gridSpan w:val="4"/>
            <w:vAlign w:val="center"/>
          </w:tcPr>
          <w:p>
            <w:pPr>
              <w:widowControl/>
              <w:spacing w:line="360" w:lineRule="auto"/>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highlight w:val="none"/>
                <w:vertAlign w:val="baseline"/>
                <w:lang w:val="en-US" w:eastAsia="zh-CN"/>
              </w:rPr>
              <w:t>内蒙古自治区巴彦淖尔市乌拉特前旗工业园区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地理坐标</w:t>
            </w:r>
          </w:p>
        </w:tc>
        <w:tc>
          <w:tcPr>
            <w:tcW w:w="7635" w:type="dxa"/>
            <w:gridSpan w:val="4"/>
            <w:vAlign w:val="center"/>
          </w:tcPr>
          <w:p>
            <w:pPr>
              <w:keepNext w:val="0"/>
              <w:keepLines w:val="0"/>
              <w:widowControl/>
              <w:suppressLineNumbers w:val="0"/>
              <w:spacing w:line="360" w:lineRule="auto"/>
              <w:ind w:left="0" w:lef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东经109°22'3.24"，北纬40°34'33.35"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国民经济</w:t>
            </w:r>
          </w:p>
          <w:p>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行业类别</w:t>
            </w:r>
          </w:p>
        </w:tc>
        <w:tc>
          <w:tcPr>
            <w:tcW w:w="2195" w:type="dxa"/>
            <w:vAlign w:val="center"/>
          </w:tcPr>
          <w:p>
            <w:pPr>
              <w:widowControl/>
              <w:spacing w:line="36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4"/>
                <w:szCs w:val="24"/>
              </w:rPr>
              <w:t>C</w:t>
            </w:r>
            <w:r>
              <w:rPr>
                <w:rFonts w:hint="default" w:ascii="Times New Roman" w:hAnsi="Times New Roman" w:eastAsia="宋体" w:cs="Times New Roman"/>
                <w:color w:val="auto"/>
                <w:sz w:val="24"/>
                <w:szCs w:val="24"/>
                <w:lang w:val="en-US" w:eastAsia="zh-CN"/>
              </w:rPr>
              <w:t>4420</w:t>
            </w:r>
            <w:r>
              <w:rPr>
                <w:rFonts w:hint="default" w:ascii="Times New Roman" w:hAnsi="Times New Roman" w:eastAsia="宋体" w:cs="Times New Roman"/>
                <w:color w:val="auto"/>
                <w:sz w:val="24"/>
                <w:szCs w:val="24"/>
              </w:rPr>
              <w:t xml:space="preserve">非金属废料和碎屑加工处理 </w:t>
            </w:r>
          </w:p>
        </w:tc>
        <w:tc>
          <w:tcPr>
            <w:tcW w:w="1129" w:type="dxa"/>
            <w:vAlign w:val="center"/>
          </w:tcPr>
          <w:p>
            <w:pPr>
              <w:spacing w:line="360" w:lineRule="auto"/>
              <w:ind w:firstLine="0" w:firstLineChars="0"/>
              <w:jc w:val="center"/>
              <w:rPr>
                <w:rFonts w:hint="default" w:ascii="Times New Roman" w:hAnsi="Times New Roman" w:eastAsia="宋体" w:cs="Times New Roman"/>
                <w:b/>
                <w:bCs/>
                <w:color w:val="auto"/>
                <w:sz w:val="21"/>
                <w:szCs w:val="21"/>
              </w:rPr>
            </w:pPr>
            <w:bookmarkStart w:id="1" w:name="_Hlk49843745"/>
            <w:r>
              <w:rPr>
                <w:rFonts w:hint="default" w:ascii="Times New Roman" w:hAnsi="Times New Roman" w:eastAsia="宋体" w:cs="Times New Roman"/>
                <w:b/>
                <w:bCs/>
                <w:color w:val="auto"/>
                <w:sz w:val="21"/>
                <w:szCs w:val="21"/>
              </w:rPr>
              <w:t>建设项目</w:t>
            </w:r>
          </w:p>
          <w:p>
            <w:pPr>
              <w:spacing w:line="36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行业类别</w:t>
            </w:r>
            <w:bookmarkEnd w:id="1"/>
          </w:p>
        </w:tc>
        <w:tc>
          <w:tcPr>
            <w:tcW w:w="4311" w:type="dxa"/>
            <w:gridSpan w:val="2"/>
            <w:vAlign w:val="center"/>
          </w:tcPr>
          <w:p>
            <w:pPr>
              <w:widowControl/>
              <w:spacing w:line="36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4"/>
                <w:szCs w:val="24"/>
                <w:lang w:bidi="ar"/>
              </w:rPr>
              <w:t>三十</w:t>
            </w:r>
            <w:r>
              <w:rPr>
                <w:rFonts w:hint="default" w:ascii="Times New Roman" w:hAnsi="Times New Roman" w:eastAsia="宋体" w:cs="Times New Roman"/>
                <w:color w:val="auto"/>
                <w:kern w:val="0"/>
                <w:sz w:val="24"/>
                <w:szCs w:val="24"/>
                <w:lang w:eastAsia="zh-CN" w:bidi="ar"/>
              </w:rPr>
              <w:t>九</w:t>
            </w:r>
            <w:r>
              <w:rPr>
                <w:rFonts w:hint="default" w:ascii="Times New Roman" w:hAnsi="Times New Roman" w:eastAsia="宋体" w:cs="Times New Roman"/>
                <w:color w:val="auto"/>
                <w:kern w:val="0"/>
                <w:sz w:val="24"/>
                <w:szCs w:val="24"/>
                <w:lang w:bidi="ar"/>
              </w:rPr>
              <w:t>、</w:t>
            </w:r>
            <w:r>
              <w:rPr>
                <w:rFonts w:hint="default" w:ascii="Times New Roman" w:hAnsi="Times New Roman" w:eastAsia="宋体" w:cs="Times New Roman"/>
                <w:color w:val="auto"/>
                <w:kern w:val="0"/>
                <w:sz w:val="24"/>
                <w:szCs w:val="24"/>
                <w:lang w:eastAsia="zh-CN" w:bidi="ar"/>
              </w:rPr>
              <w:t>废弃资源综合利用业</w:t>
            </w:r>
            <w:r>
              <w:rPr>
                <w:rFonts w:hint="default" w:ascii="Times New Roman" w:hAnsi="Times New Roman" w:eastAsia="宋体" w:cs="Times New Roman"/>
                <w:color w:val="auto"/>
                <w:kern w:val="0"/>
                <w:sz w:val="24"/>
                <w:szCs w:val="24"/>
                <w:lang w:bidi="ar"/>
              </w:rPr>
              <w:t xml:space="preserve"> </w:t>
            </w:r>
            <w:r>
              <w:rPr>
                <w:rFonts w:hint="default" w:ascii="Times New Roman" w:hAnsi="Times New Roman" w:eastAsia="宋体" w:cs="Times New Roman"/>
                <w:color w:val="auto"/>
                <w:kern w:val="0"/>
                <w:sz w:val="24"/>
                <w:szCs w:val="24"/>
                <w:lang w:eastAsia="zh-CN" w:bidi="ar"/>
              </w:rPr>
              <w:t>非金属废料和碎屑加工处理</w:t>
            </w:r>
            <w:r>
              <w:rPr>
                <w:rFonts w:hint="default" w:ascii="Times New Roman" w:hAnsi="Times New Roman" w:eastAsia="宋体" w:cs="Times New Roman"/>
                <w:color w:val="auto"/>
                <w:kern w:val="0"/>
                <w:sz w:val="24"/>
                <w:szCs w:val="24"/>
                <w:lang w:val="en-US" w:eastAsia="zh-CN" w:bidi="ar"/>
              </w:rPr>
              <w:t>422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建设性质</w:t>
            </w:r>
          </w:p>
        </w:tc>
        <w:tc>
          <w:tcPr>
            <w:tcW w:w="2195" w:type="dxa"/>
            <w:vAlign w:val="center"/>
          </w:tcPr>
          <w:p>
            <w:pPr>
              <w:adjustRightInd w:val="0"/>
              <w:snapToGrid w:val="0"/>
              <w:spacing w:line="360" w:lineRule="auto"/>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新建（迁建）</w:t>
            </w:r>
          </w:p>
          <w:p>
            <w:pPr>
              <w:adjustRightInd w:val="0"/>
              <w:snapToGrid w:val="0"/>
              <w:spacing w:line="360" w:lineRule="auto"/>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改建</w:t>
            </w:r>
          </w:p>
          <w:p>
            <w:pPr>
              <w:adjustRightInd w:val="0"/>
              <w:snapToGrid w:val="0"/>
              <w:spacing w:line="360" w:lineRule="auto"/>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52"/>
            </w:r>
            <w:r>
              <w:rPr>
                <w:rFonts w:hint="default" w:ascii="Times New Roman" w:hAnsi="Times New Roman" w:eastAsia="宋体" w:cs="Times New Roman"/>
                <w:color w:val="auto"/>
                <w:sz w:val="24"/>
                <w:szCs w:val="24"/>
              </w:rPr>
              <w:t>扩建</w:t>
            </w:r>
          </w:p>
          <w:p>
            <w:pPr>
              <w:adjustRightInd w:val="0"/>
              <w:snapToGrid w:val="0"/>
              <w:spacing w:line="36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技术改造</w:t>
            </w:r>
          </w:p>
        </w:tc>
        <w:tc>
          <w:tcPr>
            <w:tcW w:w="1129" w:type="dxa"/>
            <w:vAlign w:val="center"/>
          </w:tcPr>
          <w:p>
            <w:pPr>
              <w:adjustRightInd w:val="0"/>
              <w:snapToGrid w:val="0"/>
              <w:spacing w:line="360" w:lineRule="auto"/>
              <w:ind w:firstLine="0" w:firstLineChars="0"/>
              <w:jc w:val="left"/>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建设项目</w:t>
            </w:r>
          </w:p>
          <w:p>
            <w:pPr>
              <w:adjustRightInd w:val="0"/>
              <w:snapToGrid w:val="0"/>
              <w:spacing w:line="360" w:lineRule="auto"/>
              <w:ind w:firstLine="0" w:firstLineChars="0"/>
              <w:jc w:val="left"/>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申报情形</w:t>
            </w:r>
          </w:p>
        </w:tc>
        <w:tc>
          <w:tcPr>
            <w:tcW w:w="4311" w:type="dxa"/>
            <w:gridSpan w:val="2"/>
            <w:vAlign w:val="center"/>
          </w:tcPr>
          <w:p>
            <w:pPr>
              <w:adjustRightInd w:val="0"/>
              <w:snapToGrid w:val="0"/>
              <w:spacing w:line="360" w:lineRule="auto"/>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52"/>
            </w:r>
            <w:r>
              <w:rPr>
                <w:rFonts w:hint="default" w:ascii="Times New Roman" w:hAnsi="Times New Roman" w:eastAsia="宋体" w:cs="Times New Roman"/>
                <w:color w:val="auto"/>
                <w:sz w:val="24"/>
                <w:szCs w:val="24"/>
              </w:rPr>
              <w:t>首次申报项目</w:t>
            </w:r>
          </w:p>
          <w:p>
            <w:pPr>
              <w:adjustRightInd w:val="0"/>
              <w:snapToGrid w:val="0"/>
              <w:spacing w:line="360" w:lineRule="auto"/>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不予批准后再次申报项目</w:t>
            </w:r>
          </w:p>
          <w:p>
            <w:pPr>
              <w:adjustRightInd w:val="0"/>
              <w:snapToGrid w:val="0"/>
              <w:spacing w:line="360" w:lineRule="auto"/>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超五年重新审核项目</w:t>
            </w:r>
          </w:p>
          <w:p>
            <w:pPr>
              <w:adjustRightInd w:val="0"/>
              <w:snapToGrid w:val="0"/>
              <w:spacing w:line="36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项目审批（核准/备案）部门（选填）</w:t>
            </w:r>
          </w:p>
        </w:tc>
        <w:tc>
          <w:tcPr>
            <w:tcW w:w="2195" w:type="dxa"/>
            <w:vAlign w:val="center"/>
          </w:tcPr>
          <w:p>
            <w:pPr>
              <w:spacing w:line="360" w:lineRule="auto"/>
              <w:ind w:firstLine="0" w:firstLineChars="0"/>
              <w:jc w:val="center"/>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b w:val="0"/>
                <w:bCs w:val="0"/>
                <w:color w:val="auto"/>
                <w:sz w:val="24"/>
                <w:szCs w:val="24"/>
                <w:vertAlign w:val="baseline"/>
                <w:lang w:eastAsia="zh-CN"/>
              </w:rPr>
              <w:t>乌拉特前旗</w:t>
            </w:r>
            <w:r>
              <w:rPr>
                <w:rFonts w:hint="eastAsia" w:ascii="Times New Roman" w:hAnsi="Times New Roman" w:eastAsia="宋体" w:cs="Times New Roman"/>
                <w:b w:val="0"/>
                <w:bCs w:val="0"/>
                <w:color w:val="auto"/>
                <w:sz w:val="24"/>
                <w:szCs w:val="24"/>
                <w:vertAlign w:val="baseline"/>
                <w:lang w:val="en-US" w:eastAsia="zh-CN"/>
              </w:rPr>
              <w:t>工业和信息化局</w:t>
            </w:r>
          </w:p>
        </w:tc>
        <w:tc>
          <w:tcPr>
            <w:tcW w:w="2434" w:type="dxa"/>
            <w:gridSpan w:val="2"/>
            <w:vAlign w:val="center"/>
          </w:tcPr>
          <w:p>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项目审批（核准/</w:t>
            </w:r>
          </w:p>
          <w:p>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备案）文号（选填）</w:t>
            </w:r>
          </w:p>
        </w:tc>
        <w:tc>
          <w:tcPr>
            <w:tcW w:w="3006" w:type="dxa"/>
            <w:vAlign w:val="center"/>
          </w:tcPr>
          <w:p>
            <w:pPr>
              <w:spacing w:line="360" w:lineRule="auto"/>
              <w:ind w:firstLine="0" w:firstLineChars="0"/>
              <w:jc w:val="center"/>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乌工信备案变更2019第[14]号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总投资（万元）</w:t>
            </w:r>
          </w:p>
        </w:tc>
        <w:tc>
          <w:tcPr>
            <w:tcW w:w="2195" w:type="dxa"/>
            <w:vAlign w:val="center"/>
          </w:tcPr>
          <w:p>
            <w:pPr>
              <w:spacing w:line="360" w:lineRule="auto"/>
              <w:ind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200</w:t>
            </w:r>
          </w:p>
        </w:tc>
        <w:tc>
          <w:tcPr>
            <w:tcW w:w="2434" w:type="dxa"/>
            <w:gridSpan w:val="2"/>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环保投资（万元）</w:t>
            </w:r>
          </w:p>
        </w:tc>
        <w:tc>
          <w:tcPr>
            <w:tcW w:w="3006" w:type="dxa"/>
            <w:vAlign w:val="center"/>
          </w:tcPr>
          <w:p>
            <w:pPr>
              <w:spacing w:line="360" w:lineRule="auto"/>
              <w:ind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环保投资占比（%）</w:t>
            </w:r>
          </w:p>
        </w:tc>
        <w:tc>
          <w:tcPr>
            <w:tcW w:w="2195" w:type="dxa"/>
            <w:vAlign w:val="center"/>
          </w:tcPr>
          <w:p>
            <w:pPr>
              <w:spacing w:line="360" w:lineRule="auto"/>
              <w:ind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7.5</w:t>
            </w:r>
          </w:p>
        </w:tc>
        <w:tc>
          <w:tcPr>
            <w:tcW w:w="2434" w:type="dxa"/>
            <w:gridSpan w:val="2"/>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施工工期</w:t>
            </w:r>
          </w:p>
        </w:tc>
        <w:tc>
          <w:tcPr>
            <w:tcW w:w="3006" w:type="dxa"/>
            <w:vAlign w:val="center"/>
          </w:tcPr>
          <w:p>
            <w:pPr>
              <w:spacing w:line="360" w:lineRule="auto"/>
              <w:ind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742" w:type="dxa"/>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是否开工建设</w:t>
            </w:r>
          </w:p>
        </w:tc>
        <w:tc>
          <w:tcPr>
            <w:tcW w:w="219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default" w:eastAsia="宋体"/>
                <w:color w:val="auto"/>
                <w:sz w:val="21"/>
                <w:szCs w:val="21"/>
                <w:highlight w:val="none"/>
                <w:lang w:val="en-US" w:eastAsia="zh-CN"/>
              </w:rPr>
            </w:pPr>
            <w:r>
              <w:rPr>
                <w:color w:val="auto"/>
                <w:sz w:val="21"/>
                <w:szCs w:val="21"/>
                <w:highlight w:val="none"/>
              </w:rPr>
              <w:t>否</w:t>
            </w:r>
            <w:r>
              <w:rPr>
                <w:color w:val="auto"/>
                <w:sz w:val="21"/>
                <w:szCs w:val="21"/>
                <w:highlight w:val="none"/>
              </w:rPr>
              <w:sym w:font="Wingdings 2" w:char="0052"/>
            </w:r>
            <w:r>
              <w:rPr>
                <w:rFonts w:hint="eastAsia"/>
                <w:color w:val="auto"/>
                <w:sz w:val="21"/>
                <w:szCs w:val="21"/>
                <w:highlight w:val="none"/>
                <w:lang w:eastAsia="zh-CN"/>
              </w:rPr>
              <w:t>：</w:t>
            </w:r>
            <w:r>
              <w:rPr>
                <w:rFonts w:hint="eastAsia"/>
                <w:color w:val="auto"/>
                <w:sz w:val="21"/>
                <w:szCs w:val="21"/>
                <w:highlight w:val="none"/>
                <w:lang w:val="en-US" w:eastAsia="zh-CN"/>
              </w:rPr>
              <w:t xml:space="preserve">     </w:t>
            </w:r>
          </w:p>
          <w:p>
            <w:pPr>
              <w:spacing w:line="360" w:lineRule="auto"/>
              <w:ind w:firstLine="0" w:firstLineChars="0"/>
              <w:jc w:val="left"/>
              <w:rPr>
                <w:rFonts w:hint="default" w:ascii="Times New Roman" w:hAnsi="Times New Roman" w:eastAsia="宋体" w:cs="Times New Roman"/>
                <w:color w:val="auto"/>
                <w:sz w:val="24"/>
                <w:szCs w:val="24"/>
                <w:highlight w:val="none"/>
                <w:lang w:val="en-US"/>
              </w:rPr>
            </w:pPr>
            <w:r>
              <w:rPr>
                <w:color w:val="auto"/>
                <w:sz w:val="21"/>
                <w:szCs w:val="21"/>
                <w:highlight w:val="none"/>
              </w:rPr>
              <w:t>是</w:t>
            </w:r>
            <w:r>
              <w:rPr>
                <w:color w:val="auto"/>
                <w:sz w:val="21"/>
                <w:szCs w:val="21"/>
                <w:highlight w:val="none"/>
              </w:rPr>
              <w:sym w:font="Wingdings 2" w:char="00A3"/>
            </w:r>
            <w:r>
              <w:rPr>
                <w:rFonts w:hint="eastAsia"/>
                <w:color w:val="auto"/>
                <w:sz w:val="21"/>
                <w:szCs w:val="21"/>
                <w:highlight w:val="none"/>
                <w:lang w:eastAsia="zh-CN"/>
              </w:rPr>
              <w:t>：</w:t>
            </w:r>
          </w:p>
        </w:tc>
        <w:tc>
          <w:tcPr>
            <w:tcW w:w="2434" w:type="dxa"/>
            <w:gridSpan w:val="2"/>
            <w:tcMar>
              <w:top w:w="16" w:type="dxa"/>
              <w:left w:w="16" w:type="dxa"/>
              <w:right w:w="16" w:type="dxa"/>
            </w:tcMar>
            <w:vAlign w:val="center"/>
          </w:tcPr>
          <w:p>
            <w:pPr>
              <w:spacing w:line="36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用地面积（m</w:t>
            </w:r>
            <w:r>
              <w:rPr>
                <w:rFonts w:hint="default" w:ascii="Times New Roman" w:hAnsi="Times New Roman" w:eastAsia="宋体" w:cs="Times New Roman"/>
                <w:b/>
                <w:bCs/>
                <w:color w:val="auto"/>
                <w:spacing w:val="-6"/>
                <w:sz w:val="21"/>
                <w:szCs w:val="21"/>
                <w:highlight w:val="none"/>
                <w:vertAlign w:val="superscript"/>
              </w:rPr>
              <w:t>2</w:t>
            </w:r>
            <w:r>
              <w:rPr>
                <w:rFonts w:hint="default" w:ascii="Times New Roman" w:hAnsi="Times New Roman" w:eastAsia="宋体" w:cs="Times New Roman"/>
                <w:b/>
                <w:bCs/>
                <w:color w:val="auto"/>
                <w:spacing w:val="-6"/>
                <w:sz w:val="21"/>
                <w:szCs w:val="21"/>
                <w:highlight w:val="none"/>
              </w:rPr>
              <w:t>）</w:t>
            </w:r>
          </w:p>
        </w:tc>
        <w:tc>
          <w:tcPr>
            <w:tcW w:w="3006" w:type="dxa"/>
            <w:vAlign w:val="center"/>
          </w:tcPr>
          <w:p>
            <w:pPr>
              <w:widowControl/>
              <w:spacing w:line="360" w:lineRule="auto"/>
              <w:ind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不新增占地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42" w:type="dxa"/>
            <w:vAlign w:val="center"/>
          </w:tcPr>
          <w:p>
            <w:pPr>
              <w:spacing w:line="36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专项评价设置</w:t>
            </w:r>
          </w:p>
          <w:p>
            <w:pPr>
              <w:spacing w:line="36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情况</w:t>
            </w:r>
          </w:p>
        </w:tc>
        <w:tc>
          <w:tcPr>
            <w:tcW w:w="7635" w:type="dxa"/>
            <w:gridSpan w:val="4"/>
            <w:vAlign w:val="center"/>
          </w:tcPr>
          <w:p>
            <w:pPr>
              <w:widowControl/>
              <w:spacing w:line="360" w:lineRule="auto"/>
              <w:ind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42" w:type="dxa"/>
            <w:vAlign w:val="center"/>
          </w:tcPr>
          <w:p>
            <w:pPr>
              <w:spacing w:line="36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sz w:val="21"/>
                <w:szCs w:val="21"/>
              </w:rPr>
              <w:t>规划情况</w:t>
            </w:r>
          </w:p>
        </w:tc>
        <w:tc>
          <w:tcPr>
            <w:tcW w:w="7635" w:type="dxa"/>
            <w:gridSpan w:val="4"/>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本项目位于内蒙古乌拉特前旗工业园区内，该园区原规划</w:t>
            </w:r>
            <w:r>
              <w:rPr>
                <w:rFonts w:hint="default" w:ascii="Times New Roman" w:hAnsi="Times New Roman" w:eastAsia="宋体" w:cs="Times New Roman"/>
                <w:b w:val="0"/>
                <w:bCs w:val="0"/>
                <w:color w:val="auto"/>
                <w:sz w:val="24"/>
                <w:szCs w:val="24"/>
                <w:vertAlign w:val="baseline"/>
                <w:lang w:eastAsia="zh-CN"/>
              </w:rPr>
              <w:t>文件名称</w:t>
            </w:r>
            <w:r>
              <w:rPr>
                <w:rFonts w:hint="default" w:ascii="Times New Roman" w:hAnsi="Times New Roman" w:eastAsia="宋体" w:cs="Times New Roman"/>
                <w:b w:val="0"/>
                <w:bCs w:val="0"/>
                <w:color w:val="auto"/>
                <w:sz w:val="24"/>
                <w:szCs w:val="24"/>
                <w:vertAlign w:val="baseline"/>
                <w:lang w:val="en-US" w:eastAsia="zh-CN"/>
              </w:rPr>
              <w:t>为《内蒙古乌拉特前旗工业园区总体规划（2013～2020年）》；</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原规划</w:t>
            </w:r>
            <w:r>
              <w:rPr>
                <w:rFonts w:hint="default" w:ascii="Times New Roman" w:hAnsi="Times New Roman" w:eastAsia="宋体" w:cs="Times New Roman"/>
                <w:b w:val="0"/>
                <w:bCs w:val="0"/>
                <w:color w:val="auto"/>
                <w:sz w:val="24"/>
                <w:szCs w:val="24"/>
                <w:vertAlign w:val="baseline"/>
                <w:lang w:eastAsia="zh-CN"/>
              </w:rPr>
              <w:t>文件</w:t>
            </w:r>
            <w:r>
              <w:rPr>
                <w:rFonts w:hint="default" w:ascii="Times New Roman" w:hAnsi="Times New Roman" w:eastAsia="宋体" w:cs="Times New Roman"/>
                <w:b w:val="0"/>
                <w:bCs w:val="0"/>
                <w:color w:val="auto"/>
                <w:sz w:val="24"/>
                <w:szCs w:val="24"/>
                <w:vertAlign w:val="baseline"/>
                <w:lang w:val="en-US" w:eastAsia="zh-CN"/>
              </w:rPr>
              <w:t>审批机关为：内蒙古自治区住房和城乡建设厅；</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原规划</w:t>
            </w:r>
            <w:r>
              <w:rPr>
                <w:rFonts w:hint="default" w:ascii="Times New Roman" w:hAnsi="Times New Roman" w:eastAsia="宋体" w:cs="Times New Roman"/>
                <w:b w:val="0"/>
                <w:bCs w:val="0"/>
                <w:color w:val="auto"/>
                <w:sz w:val="24"/>
                <w:szCs w:val="24"/>
                <w:vertAlign w:val="baseline"/>
                <w:lang w:eastAsia="zh-CN"/>
              </w:rPr>
              <w:t>文件</w:t>
            </w:r>
            <w:r>
              <w:rPr>
                <w:rFonts w:hint="default" w:ascii="Times New Roman" w:hAnsi="Times New Roman" w:eastAsia="宋体" w:cs="Times New Roman"/>
                <w:b w:val="0"/>
                <w:bCs w:val="0"/>
                <w:color w:val="auto"/>
                <w:sz w:val="24"/>
                <w:szCs w:val="24"/>
                <w:vertAlign w:val="baseline"/>
                <w:lang w:val="en-US" w:eastAsia="zh-CN"/>
              </w:rPr>
              <w:t>审查文件为：2013年6月26日由内蒙古自治区住房和城乡建设厅出具的《关于内蒙古乌拉特前旗工业园区总体规划的批复》（内建规[2013]345号）文件。</w:t>
            </w:r>
          </w:p>
          <w:p>
            <w:pPr>
              <w:bidi w:val="0"/>
              <w:rPr>
                <w:rFonts w:hint="eastAsia" w:eastAsia="宋体"/>
                <w:color w:val="auto"/>
                <w:lang w:eastAsia="zh-CN"/>
              </w:rPr>
            </w:pPr>
            <w:r>
              <w:rPr>
                <w:rFonts w:hint="default" w:ascii="Times New Roman" w:hAnsi="Times New Roman" w:eastAsia="宋体" w:cs="Times New Roman"/>
                <w:b w:val="0"/>
                <w:bCs w:val="0"/>
                <w:color w:val="auto"/>
                <w:sz w:val="24"/>
                <w:szCs w:val="24"/>
                <w:vertAlign w:val="baseline"/>
                <w:lang w:val="en-US" w:eastAsia="zh-CN"/>
              </w:rPr>
              <w:t>目前，原规划</w:t>
            </w:r>
            <w:r>
              <w:rPr>
                <w:rFonts w:hint="default" w:ascii="Times New Roman" w:hAnsi="Times New Roman" w:eastAsia="宋体" w:cs="Times New Roman"/>
                <w:b w:val="0"/>
                <w:bCs w:val="0"/>
                <w:color w:val="auto"/>
                <w:sz w:val="24"/>
                <w:szCs w:val="24"/>
                <w:vertAlign w:val="baseline"/>
                <w:lang w:eastAsia="zh-CN"/>
              </w:rPr>
              <w:t>文件</w:t>
            </w:r>
            <w:r>
              <w:rPr>
                <w:rFonts w:hint="default" w:ascii="Times New Roman" w:hAnsi="Times New Roman" w:eastAsia="宋体" w:cs="Times New Roman"/>
                <w:b w:val="0"/>
                <w:bCs w:val="0"/>
                <w:color w:val="auto"/>
                <w:sz w:val="24"/>
                <w:szCs w:val="24"/>
                <w:vertAlign w:val="baseline"/>
                <w:lang w:val="en-US" w:eastAsia="zh-CN"/>
              </w:rPr>
              <w:t>已过期。根据内蒙古自治区工业和信息化厅在</w:t>
            </w:r>
            <w:r>
              <w:rPr>
                <w:rFonts w:hint="eastAsia" w:cs="Times New Roman"/>
                <w:b w:val="0"/>
                <w:bCs w:val="0"/>
                <w:color w:val="auto"/>
                <w:sz w:val="24"/>
                <w:szCs w:val="24"/>
                <w:vertAlign w:val="baseline"/>
                <w:lang w:val="en-US" w:eastAsia="zh-CN"/>
              </w:rPr>
              <w:t>2022</w:t>
            </w:r>
            <w:r>
              <w:rPr>
                <w:rFonts w:hint="default" w:ascii="Times New Roman" w:hAnsi="Times New Roman" w:eastAsia="宋体" w:cs="Times New Roman"/>
                <w:b w:val="0"/>
                <w:bCs w:val="0"/>
                <w:color w:val="auto"/>
                <w:sz w:val="24"/>
                <w:szCs w:val="24"/>
                <w:vertAlign w:val="baseline"/>
                <w:lang w:val="en-US" w:eastAsia="zh-CN"/>
              </w:rPr>
              <w:t>年</w:t>
            </w:r>
            <w:r>
              <w:rPr>
                <w:rFonts w:hint="eastAsia" w:cs="Times New Roman"/>
                <w:b w:val="0"/>
                <w:bCs w:val="0"/>
                <w:color w:val="auto"/>
                <w:sz w:val="24"/>
                <w:szCs w:val="24"/>
                <w:vertAlign w:val="baseline"/>
                <w:lang w:val="en-US" w:eastAsia="zh-CN"/>
              </w:rPr>
              <w:t>2</w:t>
            </w:r>
            <w:r>
              <w:rPr>
                <w:rFonts w:hint="default" w:ascii="Times New Roman" w:hAnsi="Times New Roman" w:eastAsia="宋体" w:cs="Times New Roman"/>
                <w:b w:val="0"/>
                <w:bCs w:val="0"/>
                <w:color w:val="auto"/>
                <w:sz w:val="24"/>
                <w:szCs w:val="24"/>
                <w:vertAlign w:val="baseline"/>
                <w:lang w:val="en-US" w:eastAsia="zh-CN"/>
              </w:rPr>
              <w:t>月</w:t>
            </w:r>
            <w:r>
              <w:rPr>
                <w:rFonts w:hint="eastAsia" w:cs="Times New Roman"/>
                <w:b w:val="0"/>
                <w:bCs w:val="0"/>
                <w:color w:val="auto"/>
                <w:sz w:val="24"/>
                <w:szCs w:val="24"/>
                <w:vertAlign w:val="baseline"/>
                <w:lang w:val="en-US" w:eastAsia="zh-CN"/>
              </w:rPr>
              <w:t>23</w:t>
            </w:r>
            <w:r>
              <w:rPr>
                <w:rFonts w:hint="default" w:ascii="Times New Roman" w:hAnsi="Times New Roman" w:eastAsia="宋体" w:cs="Times New Roman"/>
                <w:b w:val="0"/>
                <w:bCs w:val="0"/>
                <w:color w:val="auto"/>
                <w:sz w:val="24"/>
                <w:szCs w:val="24"/>
                <w:vertAlign w:val="baseline"/>
                <w:lang w:val="en-US" w:eastAsia="zh-CN"/>
              </w:rPr>
              <w:t>日发布的《内蒙古自治区开发区审核公告目录》，拟将乌拉特前旗产业园（即乌拉特前旗工业园区）与甘其毛都口岸园合并为内蒙古巴彦淖尔进口资源加工开发区，合并后，乌拉特前旗工业园区的主导产业将设为冶金和化工两个行业，根据该文件的要求，“列入《公告目录》的开发区，如园区名称、区块设置、核准面积、主导产业等发生变化的，各盟市遵照“多规合一”要求，抓紧修编相关规划”，目前乌拉特前旗工业园区正在开展相关工作，尚未上报审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42" w:type="dxa"/>
            <w:vAlign w:val="center"/>
          </w:tcPr>
          <w:p>
            <w:pPr>
              <w:spacing w:line="36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规划环境影响</w:t>
            </w:r>
          </w:p>
          <w:p>
            <w:pPr>
              <w:spacing w:line="36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sz w:val="21"/>
                <w:szCs w:val="21"/>
              </w:rPr>
              <w:t>评价情况</w:t>
            </w:r>
          </w:p>
        </w:tc>
        <w:tc>
          <w:tcPr>
            <w:tcW w:w="7635" w:type="dxa"/>
            <w:gridSpan w:val="4"/>
            <w:vAlign w:val="center"/>
          </w:tcPr>
          <w:p>
            <w:pPr>
              <w:bidi w:val="0"/>
              <w:rPr>
                <w:rFonts w:hint="default"/>
                <w:color w:val="auto"/>
              </w:rPr>
            </w:pPr>
            <w:r>
              <w:rPr>
                <w:rFonts w:hint="default"/>
                <w:color w:val="auto"/>
              </w:rPr>
              <w:t>内蒙古乌拉特前旗工业园区已开展规划环境影响评价；规划环境影响评价文件名称为：《内蒙古乌拉特前旗工业园区总体规划环境影响报告书》；规划环境影响评价文件审查机关为：内蒙古自治区环境保护厅；</w:t>
            </w:r>
          </w:p>
          <w:p>
            <w:pPr>
              <w:bidi w:val="0"/>
              <w:rPr>
                <w:rFonts w:hint="default"/>
                <w:color w:val="auto"/>
              </w:rPr>
            </w:pPr>
            <w:r>
              <w:rPr>
                <w:rFonts w:hint="default"/>
                <w:color w:val="auto"/>
              </w:rPr>
              <w:t>规划环境影响评价文件审查文件为：《关于内蒙古乌拉特前旗工业园区总体规划环境影响报告书的审查意见》（内环字〔</w:t>
            </w:r>
            <w:r>
              <w:rPr>
                <w:rFonts w:hint="default"/>
                <w:color w:val="auto"/>
                <w:lang w:val="en-US" w:eastAsia="zh-CN"/>
              </w:rPr>
              <w:t>2014</w:t>
            </w:r>
            <w:r>
              <w:rPr>
                <w:rFonts w:hint="default"/>
                <w:color w:val="auto"/>
              </w:rPr>
              <w:t>〕74号）。</w:t>
            </w:r>
          </w:p>
          <w:p>
            <w:pPr>
              <w:bidi w:val="0"/>
              <w:rPr>
                <w:rFonts w:hint="default"/>
                <w:color w:val="auto"/>
              </w:rPr>
            </w:pPr>
            <w:r>
              <w:rPr>
                <w:rFonts w:hint="default"/>
                <w:color w:val="auto"/>
              </w:rPr>
              <w:t>目前，乌拉特前旗工业园区管委会已开展新规划环境影响评价，规划环境影响评价文件名称为《乌拉特前旗工业园区总体规划（一园三区）（2019-2035）》，新规划环评已正在编制中，尚未取得审查意见。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42" w:type="dxa"/>
            <w:vAlign w:val="center"/>
          </w:tcPr>
          <w:p>
            <w:pPr>
              <w:spacing w:line="36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规划及规划环境影响评价符合性分析</w:t>
            </w:r>
          </w:p>
        </w:tc>
        <w:tc>
          <w:tcPr>
            <w:tcW w:w="7635" w:type="dxa"/>
            <w:gridSpan w:val="4"/>
            <w:vAlign w:val="center"/>
          </w:tcPr>
          <w:p>
            <w:pPr>
              <w:spacing w:line="360" w:lineRule="auto"/>
              <w:rPr>
                <w:rFonts w:hint="eastAsia"/>
                <w:b/>
                <w:bCs/>
                <w:color w:val="auto"/>
                <w:lang w:val="en-US" w:eastAsia="zh-CN"/>
              </w:rPr>
            </w:pPr>
            <w:r>
              <w:rPr>
                <w:rFonts w:hint="eastAsia"/>
                <w:b/>
                <w:bCs/>
                <w:color w:val="auto"/>
                <w:lang w:val="en-US" w:eastAsia="zh-CN"/>
              </w:rPr>
              <w:t>1、本项目与园区规划符合性分析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color w:val="auto"/>
                <w:lang w:val="en-US" w:eastAsia="zh-CN"/>
              </w:rPr>
            </w:pPr>
            <w:r>
              <w:rPr>
                <w:rFonts w:hint="eastAsia"/>
                <w:color w:val="auto"/>
                <w:lang w:val="en-US" w:eastAsia="zh-CN"/>
              </w:rPr>
              <w:t>园区的产业定位：根据《内蒙古以呼包鄂为核心沿黄河沿交通干线经济带重点产业发展规划》对乌拉特前旗工业园区作为“以冶金、化工等高载能工业为主导的重工业基地”的总体定位，结合园区产业发展优势及趋势，乌拉特前旗工业园区定位为蒙西地区沿黄河沿交通干线经济带上以冶金、化工为主导产业的自治区级工业园区，“包钢—包头特钢—乌拉特前旗工业集中区”的西区。重点规划建设冶金产业和氯碱、煤焦化工两大主导产业，积极培育聚氯乙烯深加工、煤焦化（包钢焦化）副产品合利用等下游延伸产业，配套发展新型建材、商贸物流等产业。</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auto"/>
                <w:sz w:val="24"/>
                <w:szCs w:val="24"/>
                <w:highlight w:val="none"/>
                <w:vertAlign w:val="baseline"/>
                <w:lang w:eastAsia="zh-CN"/>
              </w:rPr>
            </w:pPr>
            <w:r>
              <w:rPr>
                <w:rFonts w:hint="default" w:ascii="Times New Roman" w:hAnsi="Times New Roman" w:eastAsia="宋体" w:cs="Times New Roman"/>
                <w:b w:val="0"/>
                <w:bCs w:val="0"/>
                <w:color w:val="auto"/>
                <w:sz w:val="24"/>
                <w:szCs w:val="24"/>
                <w:highlight w:val="none"/>
                <w:vertAlign w:val="baseline"/>
                <w:lang w:eastAsia="zh-CN"/>
              </w:rPr>
              <w:t>本项目位于内蒙古自治区巴彦淖尔市乌拉特前旗工业园区装备制造区，本项目</w:t>
            </w:r>
            <w:r>
              <w:rPr>
                <w:rFonts w:hint="eastAsia" w:ascii="Times New Roman" w:hAnsi="Times New Roman" w:eastAsia="宋体" w:cs="Times New Roman"/>
                <w:b w:val="0"/>
                <w:bCs w:val="0"/>
                <w:color w:val="auto"/>
                <w:sz w:val="24"/>
                <w:szCs w:val="24"/>
                <w:highlight w:val="none"/>
                <w:vertAlign w:val="baseline"/>
                <w:lang w:eastAsia="zh-CN"/>
              </w:rPr>
              <w:t>生产的产品为胶粉，最终产品为</w:t>
            </w:r>
            <w:r>
              <w:rPr>
                <w:rFonts w:hint="eastAsia"/>
                <w:color w:val="auto"/>
                <w:lang w:val="en-US" w:eastAsia="zh-CN"/>
              </w:rPr>
              <w:t>胶板和汽车垫，</w:t>
            </w:r>
            <w:r>
              <w:rPr>
                <w:rFonts w:hint="default" w:ascii="Times New Roman" w:hAnsi="Times New Roman" w:eastAsia="宋体" w:cs="Times New Roman"/>
                <w:b w:val="0"/>
                <w:bCs w:val="0"/>
                <w:color w:val="auto"/>
                <w:sz w:val="24"/>
                <w:szCs w:val="24"/>
                <w:highlight w:val="none"/>
                <w:vertAlign w:val="baseline"/>
                <w:lang w:eastAsia="zh-CN"/>
              </w:rPr>
              <w:t>符合园区规划。</w:t>
            </w:r>
          </w:p>
          <w:p>
            <w:pPr>
              <w:rPr>
                <w:rFonts w:hint="eastAsia"/>
                <w:b/>
                <w:bCs/>
                <w:color w:val="auto"/>
                <w:lang w:val="en-US" w:eastAsia="zh-CN"/>
              </w:rPr>
            </w:pPr>
            <w:r>
              <w:rPr>
                <w:rFonts w:hint="eastAsia"/>
                <w:b/>
                <w:bCs/>
                <w:color w:val="auto"/>
                <w:lang w:val="en-US" w:eastAsia="zh-CN"/>
              </w:rPr>
              <w:t>2、本项目与</w:t>
            </w:r>
            <w:r>
              <w:rPr>
                <w:rFonts w:hint="default" w:ascii="Times New Roman" w:hAnsi="Times New Roman" w:eastAsia="宋体" w:cs="Times New Roman"/>
                <w:b/>
                <w:bCs/>
                <w:color w:val="auto"/>
                <w:sz w:val="24"/>
                <w:szCs w:val="32"/>
                <w:lang w:val="en-US" w:eastAsia="zh-CN"/>
              </w:rPr>
              <w:t>《内蒙古乌拉特前旗工业园区总体规划环境影响报告书》</w:t>
            </w:r>
            <w:r>
              <w:rPr>
                <w:rFonts w:hint="eastAsia" w:cs="Times New Roman"/>
                <w:b/>
                <w:bCs/>
                <w:color w:val="auto"/>
                <w:sz w:val="24"/>
                <w:szCs w:val="32"/>
                <w:lang w:val="en-US" w:eastAsia="zh-CN"/>
              </w:rPr>
              <w:t>（2010年-2020年）</w:t>
            </w:r>
            <w:r>
              <w:rPr>
                <w:rFonts w:hint="eastAsia" w:ascii="Times New Roman" w:hAnsi="Times New Roman" w:cs="Times New Roman"/>
                <w:b/>
                <w:bCs/>
                <w:color w:val="auto"/>
                <w:sz w:val="24"/>
                <w:szCs w:val="32"/>
                <w:lang w:val="en-US" w:eastAsia="zh-CN"/>
              </w:rPr>
              <w:t>的</w:t>
            </w:r>
            <w:r>
              <w:rPr>
                <w:rFonts w:hint="eastAsia"/>
                <w:b/>
                <w:bCs/>
                <w:color w:val="auto"/>
                <w:lang w:val="en-US" w:eastAsia="zh-CN"/>
              </w:rPr>
              <w:t>符合性分析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auto"/>
                <w:sz w:val="24"/>
                <w:szCs w:val="32"/>
                <w:highlight w:val="none"/>
                <w:lang w:eastAsia="zh-CN"/>
              </w:rPr>
            </w:pPr>
            <w:r>
              <w:rPr>
                <w:rFonts w:hint="default" w:ascii="Times New Roman" w:hAnsi="Times New Roman" w:eastAsia="宋体" w:cs="Times New Roman"/>
                <w:b w:val="0"/>
                <w:bCs w:val="0"/>
                <w:color w:val="auto"/>
                <w:sz w:val="24"/>
                <w:szCs w:val="32"/>
                <w:highlight w:val="none"/>
                <w:lang w:eastAsia="zh-CN"/>
              </w:rPr>
              <w:t>根据《内蒙古乌拉特前旗工业园区总体规划环境影响报告书》</w:t>
            </w:r>
            <w:r>
              <w:rPr>
                <w:rFonts w:hint="eastAsia" w:cs="Times New Roman"/>
                <w:b w:val="0"/>
                <w:bCs w:val="0"/>
                <w:color w:val="auto"/>
                <w:sz w:val="24"/>
                <w:szCs w:val="32"/>
                <w:highlight w:val="none"/>
                <w:lang w:eastAsia="zh-CN"/>
              </w:rPr>
              <w:t>（</w:t>
            </w:r>
            <w:r>
              <w:rPr>
                <w:rFonts w:hint="eastAsia" w:cs="Times New Roman"/>
                <w:b w:val="0"/>
                <w:bCs w:val="0"/>
                <w:color w:val="auto"/>
                <w:sz w:val="24"/>
                <w:szCs w:val="32"/>
                <w:highlight w:val="none"/>
                <w:lang w:val="en-US" w:eastAsia="zh-CN"/>
              </w:rPr>
              <w:t>2010年-2020年</w:t>
            </w:r>
            <w:r>
              <w:rPr>
                <w:rFonts w:hint="eastAsia" w:cs="Times New Roman"/>
                <w:b w:val="0"/>
                <w:bCs w:val="0"/>
                <w:color w:val="auto"/>
                <w:sz w:val="24"/>
                <w:szCs w:val="32"/>
                <w:highlight w:val="none"/>
                <w:lang w:eastAsia="zh-CN"/>
              </w:rPr>
              <w:t>）</w:t>
            </w:r>
            <w:r>
              <w:rPr>
                <w:rFonts w:hint="default" w:ascii="Times New Roman" w:hAnsi="Times New Roman" w:eastAsia="宋体" w:cs="Times New Roman"/>
                <w:b w:val="0"/>
                <w:bCs w:val="0"/>
                <w:color w:val="auto"/>
                <w:sz w:val="24"/>
                <w:szCs w:val="32"/>
                <w:highlight w:val="none"/>
                <w:lang w:eastAsia="zh-CN"/>
              </w:rPr>
              <w:t>，乌拉特前旗工业园区限制、禁止入园项目包括以下：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kern w:val="0"/>
                <w:sz w:val="24"/>
                <w:szCs w:val="24"/>
                <w:lang w:val="en-US" w:eastAsia="zh-CN" w:bidi="ar"/>
              </w:rPr>
              <w:t>表1  规划环境影响评价文件符合性分析表</w:t>
            </w:r>
          </w:p>
          <w:tbl>
            <w:tblPr>
              <w:tblStyle w:val="18"/>
              <w:tblW w:w="73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1"/>
              <w:gridCol w:w="2713"/>
              <w:gridCol w:w="2713"/>
              <w:gridCol w:w="123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2" w:hRule="atLeast"/>
                <w:jc w:val="center"/>
              </w:trPr>
              <w:tc>
                <w:tcPr>
                  <w:tcW w:w="70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序号</w:t>
                  </w:r>
                </w:p>
              </w:tc>
              <w:tc>
                <w:tcPr>
                  <w:tcW w:w="271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规划环评</w:t>
                  </w:r>
                </w:p>
              </w:tc>
              <w:tc>
                <w:tcPr>
                  <w:tcW w:w="271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本项目情况</w:t>
                  </w:r>
                </w:p>
              </w:tc>
              <w:tc>
                <w:tcPr>
                  <w:tcW w:w="123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sz w:val="21"/>
                      <w:szCs w:val="21"/>
                      <w:lang w:eastAsia="zh-CN"/>
                    </w:rPr>
                    <w:t>符合性分析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2" w:hRule="atLeast"/>
                <w:jc w:val="center"/>
              </w:trPr>
              <w:tc>
                <w:tcPr>
                  <w:tcW w:w="70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c>
                <w:tcPr>
                  <w:tcW w:w="27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进一步调整产业结构，禁止高污染、高耗能的、国家产业政策明令禁止、限制的项目入园区。</w:t>
                  </w:r>
                </w:p>
              </w:tc>
              <w:tc>
                <w:tcPr>
                  <w:tcW w:w="27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内蒙古美华科技发展有限公司位于内蒙古巴彦淖尔市乌拉特前旗工业园区，本项目为扩建项目，位于内蒙古美华科技发展有限公司厂址内，不新增占地。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根据《产业结构调整目录（2019本）》，扩建项目既不属于鼓励类，也不属于限制类和淘汰类项目，属于国家政策允许类项目，且本项目不属于“高污染、高耗能”项目。</w:t>
                  </w:r>
                </w:p>
              </w:tc>
              <w:tc>
                <w:tcPr>
                  <w:tcW w:w="123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05" w:hRule="atLeast"/>
                <w:jc w:val="center"/>
              </w:trPr>
              <w:tc>
                <w:tcPr>
                  <w:tcW w:w="70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p>
              </w:tc>
              <w:tc>
                <w:tcPr>
                  <w:tcW w:w="27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限制排放烟尘的项目</w:t>
                  </w:r>
                  <w:r>
                    <w:rPr>
                      <w:rFonts w:hint="eastAsia" w:ascii="Times New Roman" w:hAnsi="Times New Roman" w:cs="Times New Roman"/>
                      <w:color w:val="auto"/>
                      <w:kern w:val="0"/>
                      <w:sz w:val="21"/>
                      <w:szCs w:val="21"/>
                      <w:vertAlign w:val="baseline"/>
                      <w:lang w:val="en-US" w:eastAsia="zh-CN" w:bidi="ar"/>
                    </w:rPr>
                    <w:t>。</w:t>
                  </w:r>
                  <w:r>
                    <w:rPr>
                      <w:rFonts w:hint="default" w:ascii="Times New Roman" w:hAnsi="Times New Roman" w:eastAsia="宋体" w:cs="Times New Roman"/>
                      <w:color w:val="auto"/>
                      <w:kern w:val="0"/>
                      <w:sz w:val="21"/>
                      <w:szCs w:val="21"/>
                      <w:vertAlign w:val="baseline"/>
                      <w:lang w:val="en-US" w:eastAsia="zh-CN" w:bidi="ar"/>
                    </w:rPr>
                    <w:t>乌拉特前旗工业园区TSP和PM</w:t>
                  </w:r>
                  <w:r>
                    <w:rPr>
                      <w:rFonts w:hint="default" w:ascii="Times New Roman" w:hAnsi="Times New Roman" w:eastAsia="宋体" w:cs="Times New Roman"/>
                      <w:color w:val="auto"/>
                      <w:kern w:val="0"/>
                      <w:sz w:val="21"/>
                      <w:szCs w:val="21"/>
                      <w:vertAlign w:val="subscript"/>
                      <w:lang w:val="en-US" w:eastAsia="zh-CN" w:bidi="ar"/>
                    </w:rPr>
                    <w:t>10</w:t>
                  </w:r>
                  <w:r>
                    <w:rPr>
                      <w:rFonts w:hint="default" w:ascii="Times New Roman" w:hAnsi="Times New Roman" w:eastAsia="宋体" w:cs="Times New Roman"/>
                      <w:color w:val="auto"/>
                      <w:kern w:val="0"/>
                      <w:sz w:val="21"/>
                      <w:szCs w:val="21"/>
                      <w:vertAlign w:val="baseline"/>
                      <w:lang w:val="en-US" w:eastAsia="zh-CN" w:bidi="ar"/>
                    </w:rPr>
                    <w:t>自然背景浓度较高，且目前超标现象严重，为了不影响园区未来的招商引资和更高、更强的发展，应该对烟尘、粉尘排放较多的企业， 应进行限制。</w:t>
                  </w:r>
                </w:p>
              </w:tc>
              <w:tc>
                <w:tcPr>
                  <w:tcW w:w="271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扩建项目运营期产生的废气主要为破碎筛分粉尘，经水喷淋塔处理后，排放量为0.192t/a，排放浓度为2.7,mg/m</w:t>
                  </w:r>
                  <w:r>
                    <w:rPr>
                      <w:rFonts w:hint="eastAsia" w:cs="Times New Roman"/>
                      <w:color w:val="auto"/>
                      <w:kern w:val="0"/>
                      <w:sz w:val="21"/>
                      <w:szCs w:val="21"/>
                      <w:vertAlign w:val="superscript"/>
                      <w:lang w:val="en-US" w:eastAsia="zh-CN" w:bidi="ar"/>
                    </w:rPr>
                    <w:t>3</w:t>
                  </w:r>
                  <w:r>
                    <w:rPr>
                      <w:rFonts w:hint="eastAsia" w:cs="Times New Roman"/>
                      <w:color w:val="auto"/>
                      <w:kern w:val="0"/>
                      <w:sz w:val="21"/>
                      <w:szCs w:val="21"/>
                      <w:vertAlign w:val="baseline"/>
                      <w:lang w:val="en-US" w:eastAsia="zh-CN" w:bidi="ar"/>
                    </w:rPr>
                    <w:t>，排放标准可以满足《大气污染物综合排放标准》（GB16297-1996）中表2新污染源污染物排放限值要求。根据对废气量的计算可知，扩建项目</w:t>
                  </w:r>
                  <w:r>
                    <w:rPr>
                      <w:rFonts w:hint="default" w:ascii="Times New Roman" w:hAnsi="Times New Roman" w:eastAsia="宋体" w:cs="Times New Roman"/>
                      <w:color w:val="auto"/>
                      <w:sz w:val="21"/>
                      <w:szCs w:val="21"/>
                      <w:lang w:val="en-US" w:eastAsia="zh-CN"/>
                    </w:rPr>
                    <w:t>不属于烟尘、粉尘排放较多的企业</w:t>
                  </w:r>
                  <w:r>
                    <w:rPr>
                      <w:rFonts w:hint="default" w:ascii="Times New Roman" w:hAnsi="Times New Roman" w:eastAsia="宋体" w:cs="Times New Roman"/>
                      <w:color w:val="auto"/>
                      <w:kern w:val="0"/>
                      <w:sz w:val="21"/>
                      <w:szCs w:val="21"/>
                      <w:vertAlign w:val="baseline"/>
                      <w:lang w:val="en-US" w:eastAsia="zh-CN" w:bidi="ar"/>
                    </w:rPr>
                    <w:t>。</w:t>
                  </w:r>
                </w:p>
              </w:tc>
              <w:tc>
                <w:tcPr>
                  <w:tcW w:w="123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35" w:hRule="atLeast"/>
                <w:jc w:val="center"/>
              </w:trPr>
              <w:tc>
                <w:tcPr>
                  <w:tcW w:w="70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p>
              </w:tc>
              <w:tc>
                <w:tcPr>
                  <w:tcW w:w="27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尽量避免引入二氧化硫和氮氧化物大量排放的项目</w:t>
                  </w:r>
                  <w:r>
                    <w:rPr>
                      <w:rFonts w:hint="eastAsia" w:ascii="Times New Roman" w:hAnsi="Times New Roman" w:cs="Times New Roman"/>
                      <w:color w:val="auto"/>
                      <w:kern w:val="0"/>
                      <w:sz w:val="21"/>
                      <w:szCs w:val="21"/>
                      <w:vertAlign w:val="baseline"/>
                      <w:lang w:val="en-US" w:eastAsia="zh-CN" w:bidi="ar"/>
                    </w:rPr>
                    <w:t>。</w:t>
                  </w:r>
                  <w:r>
                    <w:rPr>
                      <w:rFonts w:hint="default" w:ascii="Times New Roman" w:hAnsi="Times New Roman" w:eastAsia="宋体" w:cs="Times New Roman"/>
                      <w:color w:val="auto"/>
                      <w:kern w:val="0"/>
                      <w:sz w:val="21"/>
                      <w:szCs w:val="21"/>
                      <w:vertAlign w:val="baseline"/>
                      <w:lang w:val="en-US" w:eastAsia="zh-CN" w:bidi="ar"/>
                    </w:rPr>
                    <w:t>未来园区应优先引进大气污染程度较轻的企业，限制污染程度较重的传统企业，尤其提高二氧化硫和氮氧化物大量排放的企业的准入标准，同时注意园区的合理布局，确保乌拉特前旗城区的大气环境质量。</w:t>
                  </w:r>
                </w:p>
              </w:tc>
              <w:tc>
                <w:tcPr>
                  <w:tcW w:w="271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w:t>
                  </w:r>
                  <w:r>
                    <w:rPr>
                      <w:rFonts w:hint="eastAsia" w:cs="Times New Roman"/>
                      <w:color w:val="auto"/>
                      <w:kern w:val="0"/>
                      <w:sz w:val="21"/>
                      <w:szCs w:val="21"/>
                      <w:vertAlign w:val="baseline"/>
                      <w:lang w:val="en-US" w:eastAsia="zh-CN" w:bidi="ar"/>
                    </w:rPr>
                    <w:t>废气运营期产生的废气主要为破碎筛分粉尘，污染物主要为颗粒物，不涉及二氧化硫和氮氧化物的排放</w:t>
                  </w:r>
                  <w:r>
                    <w:rPr>
                      <w:rFonts w:hint="default" w:ascii="Times New Roman" w:hAnsi="Times New Roman" w:eastAsia="宋体" w:cs="Times New Roman"/>
                      <w:color w:val="auto"/>
                      <w:kern w:val="0"/>
                      <w:sz w:val="21"/>
                      <w:szCs w:val="21"/>
                      <w:vertAlign w:val="baseline"/>
                      <w:lang w:val="en-US" w:eastAsia="zh-CN" w:bidi="ar"/>
                    </w:rPr>
                    <w:t>，属于大气污染程度较轻的企业。</w:t>
                  </w:r>
                </w:p>
              </w:tc>
              <w:tc>
                <w:tcPr>
                  <w:tcW w:w="123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bl>
          <w:p>
            <w:pPr>
              <w:bidi w:val="0"/>
              <w:rPr>
                <w:rFonts w:hint="default"/>
                <w:b/>
                <w:bCs/>
                <w:color w:val="auto"/>
                <w:lang w:val="en-US" w:eastAsia="zh-CN"/>
              </w:rPr>
            </w:pPr>
            <w:r>
              <w:rPr>
                <w:rFonts w:hint="eastAsia"/>
                <w:b/>
                <w:bCs/>
                <w:color w:val="auto"/>
                <w:lang w:val="en-US" w:eastAsia="zh-CN"/>
              </w:rPr>
              <w:t>3、本项目与</w:t>
            </w:r>
            <w:r>
              <w:rPr>
                <w:rFonts w:hint="default" w:ascii="Times New Roman" w:hAnsi="Times New Roman" w:eastAsia="宋体" w:cs="Times New Roman"/>
                <w:b/>
                <w:bCs/>
                <w:color w:val="auto"/>
                <w:sz w:val="24"/>
                <w:szCs w:val="32"/>
                <w:highlight w:val="none"/>
                <w:lang w:val="en-US" w:eastAsia="zh-CN"/>
              </w:rPr>
              <w:t>《内蒙古乌拉特前旗工业园区总体规划环境影响报告书》审查意见</w:t>
            </w:r>
            <w:r>
              <w:rPr>
                <w:rFonts w:hint="default" w:ascii="Times New Roman" w:hAnsi="Times New Roman" w:eastAsia="宋体" w:cs="Times New Roman"/>
                <w:b/>
                <w:bCs/>
                <w:color w:val="auto"/>
                <w:sz w:val="24"/>
                <w:szCs w:val="32"/>
                <w:lang w:val="en-US" w:eastAsia="zh-CN"/>
              </w:rPr>
              <w:t>的</w:t>
            </w:r>
            <w:r>
              <w:rPr>
                <w:rFonts w:hint="eastAsia"/>
                <w:b/>
                <w:bCs/>
                <w:color w:val="auto"/>
                <w:lang w:val="en-US" w:eastAsia="zh-CN"/>
              </w:rPr>
              <w:t>符合性分析</w:t>
            </w:r>
          </w:p>
          <w:p>
            <w:pPr>
              <w:bidi w:val="0"/>
              <w:rPr>
                <w:rFonts w:hint="default"/>
                <w:color w:val="auto"/>
                <w:lang w:val="en-US" w:eastAsia="zh-CN"/>
              </w:rPr>
            </w:pPr>
            <w:r>
              <w:rPr>
                <w:rFonts w:hint="default"/>
                <w:color w:val="auto"/>
                <w:lang w:val="en-US" w:eastAsia="zh-CN"/>
              </w:rPr>
              <w:t>内蒙古乌拉特前旗工业园区已取得自治区环境保护厅《关于内蒙古乌拉特前旗工业园区总体规划环境影响报告书的审查意见》（内环字[2014]74号）。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表2   规划环境影响评价审查意见符合性分析表</w:t>
            </w:r>
          </w:p>
          <w:tbl>
            <w:tblPr>
              <w:tblStyle w:val="18"/>
              <w:tblW w:w="759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2774"/>
              <w:gridCol w:w="2774"/>
              <w:gridCol w:w="13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2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序号</w:t>
                  </w:r>
                </w:p>
              </w:tc>
              <w:tc>
                <w:tcPr>
                  <w:tcW w:w="27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lang w:val="en-US" w:eastAsia="zh-CN" w:bidi="ar"/>
                    </w:rPr>
                    <w:t>审查意见</w:t>
                  </w:r>
                </w:p>
              </w:tc>
              <w:tc>
                <w:tcPr>
                  <w:tcW w:w="27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本项目情况</w:t>
                  </w:r>
                </w:p>
              </w:tc>
              <w:tc>
                <w:tcPr>
                  <w:tcW w:w="132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sz w:val="21"/>
                      <w:szCs w:val="21"/>
                      <w:lang w:eastAsia="zh-CN"/>
                    </w:rPr>
                    <w:t>符合性分析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2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c>
                <w:tcPr>
                  <w:tcW w:w="277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一）严格遵循对该园区环境保护的总体要求。园区的开发建设要服从于《内蒙古自治区以呼包鄂为核心沿黄河沿交通干线经济带重点产业发展详细规划（2010年-2020年）》及乌拉特前旗城镇总体规划，并要与当地其他专项规划相协调。要按照循环经济的思想和清洁生产的原则，指导园区的建设。</w:t>
                  </w:r>
                </w:p>
              </w:tc>
              <w:tc>
                <w:tcPr>
                  <w:tcW w:w="277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内蒙古美华科技发展有限公司位于内蒙古巴彦淖尔市乌拉特前旗工业园区，本项目为扩建项目，位于内蒙古美华科技发展有限公司厂址内，不新增占地。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因此，扩建项目符合园区规划。</w:t>
                  </w:r>
                </w:p>
              </w:tc>
              <w:tc>
                <w:tcPr>
                  <w:tcW w:w="132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2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p>
              </w:tc>
              <w:tc>
                <w:tcPr>
                  <w:tcW w:w="277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（二）合理确定产业规模。园区的产业发展规模应充分考虑资源条件、环境容量及用水、用地指标等制约因素，优化相关产业的结构及规模。</w:t>
                  </w:r>
                </w:p>
              </w:tc>
              <w:tc>
                <w:tcPr>
                  <w:tcW w:w="277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本项目用地为工业用地，项目建设符合园区总体规划；项目不属于《产业结构调整指导目录（2019年本）》（国家发展和改革委员会令 第29号）中鼓励类、限制类、淘汰类，故本项目属于国家政策允许建设的项目。</w:t>
                  </w:r>
                </w:p>
              </w:tc>
              <w:tc>
                <w:tcPr>
                  <w:tcW w:w="132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2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p>
              </w:tc>
              <w:tc>
                <w:tcPr>
                  <w:tcW w:w="277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三）原则同意《报告书》提出的关于基础设施调整的意见。要按照“分质处理、梯级利用、循环使用”的原则，合理规划用、排水系统，园区企业应采用空冷等节水方式，减少高浓度含盐水产生量，反渗透装置水回收率不得低于95%，且处理后的高浓度含盐水应优先考虑综合利用。合理规划园区集中热源点，实现园区集中供热、供汽。加强园区固体废物管理，一般工业固体废物要立足综合利用，危险废物应集中送有资质的单位处理处置，基础设施未建成运行前，工业园区内新</w:t>
                  </w:r>
                  <w:r>
                    <w:rPr>
                      <w:rFonts w:hint="eastAsia" w:cs="Times New Roman"/>
                      <w:color w:val="auto"/>
                      <w:kern w:val="0"/>
                      <w:sz w:val="21"/>
                      <w:szCs w:val="21"/>
                      <w:vertAlign w:val="baseline"/>
                      <w:lang w:val="en-US" w:eastAsia="zh-CN" w:bidi="ar"/>
                    </w:rPr>
                    <w:t>项目</w:t>
                  </w:r>
                  <w:r>
                    <w:rPr>
                      <w:rFonts w:hint="default" w:ascii="Times New Roman" w:hAnsi="Times New Roman" w:eastAsia="宋体" w:cs="Times New Roman"/>
                      <w:color w:val="auto"/>
                      <w:kern w:val="0"/>
                      <w:sz w:val="21"/>
                      <w:szCs w:val="21"/>
                      <w:vertAlign w:val="baseline"/>
                      <w:lang w:val="en-US" w:eastAsia="zh-CN" w:bidi="ar"/>
                    </w:rPr>
                    <w:t>不能投产运行。</w:t>
                  </w:r>
                </w:p>
              </w:tc>
              <w:tc>
                <w:tcPr>
                  <w:tcW w:w="277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扩建项目运营期产生的生产废水主要为循环冷却水定期排水以及水喷淋塔排水</w:t>
                  </w:r>
                  <w:r>
                    <w:rPr>
                      <w:rFonts w:hint="default" w:ascii="Times New Roman" w:hAnsi="Times New Roman" w:eastAsia="宋体" w:cs="Times New Roman"/>
                      <w:color w:val="auto"/>
                      <w:kern w:val="0"/>
                      <w:sz w:val="21"/>
                      <w:szCs w:val="21"/>
                      <w:vertAlign w:val="baseline"/>
                      <w:lang w:val="en-US" w:eastAsia="zh-CN" w:bidi="ar"/>
                    </w:rPr>
                    <w:t>。</w:t>
                  </w:r>
                  <w:r>
                    <w:rPr>
                      <w:rFonts w:hint="eastAsia" w:cs="Times New Roman"/>
                      <w:color w:val="auto"/>
                      <w:kern w:val="0"/>
                      <w:sz w:val="21"/>
                      <w:szCs w:val="21"/>
                      <w:vertAlign w:val="baseline"/>
                      <w:lang w:val="en-US" w:eastAsia="zh-CN" w:bidi="ar"/>
                    </w:rPr>
                    <w:t>循环冷却水定期排水为高浓度盐水，水质较为简单且排放量较少，可用于厂区内洒水抑尘，水喷淋塔排水经污水挂网最终进入园区污水处理厂进行处置。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本项目运营期产生的固废主要包括循环水池沉渣、废钢丝、废纤维和废润滑油</w:t>
                  </w:r>
                  <w:r>
                    <w:rPr>
                      <w:rFonts w:hint="default" w:ascii="Times New Roman" w:hAnsi="Times New Roman" w:eastAsia="宋体" w:cs="Times New Roman"/>
                      <w:color w:val="auto"/>
                      <w:kern w:val="0"/>
                      <w:sz w:val="21"/>
                      <w:szCs w:val="21"/>
                      <w:vertAlign w:val="baseline"/>
                      <w:lang w:val="en-US" w:eastAsia="zh-CN" w:bidi="ar"/>
                    </w:rPr>
                    <w:t>。</w:t>
                  </w:r>
                  <w:r>
                    <w:rPr>
                      <w:rFonts w:hint="eastAsia" w:cs="Times New Roman"/>
                      <w:color w:val="auto"/>
                      <w:kern w:val="0"/>
                      <w:sz w:val="21"/>
                      <w:szCs w:val="21"/>
                      <w:vertAlign w:val="baseline"/>
                      <w:lang w:val="en-US" w:eastAsia="zh-CN" w:bidi="ar"/>
                    </w:rPr>
                    <w:t>循环水池沉渣定期清掏，清掏后委托环卫部门清运；废钢丝和废纤维分类收集后，定期外售；废润滑油暂存于危废间内，定期交由有资质的单位处置。</w:t>
                  </w:r>
                </w:p>
              </w:tc>
              <w:tc>
                <w:tcPr>
                  <w:tcW w:w="132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2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4</w:t>
                  </w:r>
                </w:p>
              </w:tc>
              <w:tc>
                <w:tcPr>
                  <w:tcW w:w="277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四）要制定切实可行的环境风险应急预案，完善园区监测预警、应急防控和污染物集中处理设施建设，重点防范盐化工、煤焦化、冶金等产业的泄露事故及重金属污染、地下水污染等事故。工业园区应建立三级应急救援体系，监督园区内企业落实环境风险防范措施，并组织定期对园区及周边土壤和地下水进行监测，防止发生环境污染事件。</w:t>
                  </w:r>
                </w:p>
              </w:tc>
              <w:tc>
                <w:tcPr>
                  <w:tcW w:w="277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项目建成后应按规定编制环境风险应急预案，建立三级应急救援体系，落实相应环境风险防范措施。</w:t>
                  </w:r>
                </w:p>
              </w:tc>
              <w:tc>
                <w:tcPr>
                  <w:tcW w:w="132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2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w:t>
                  </w:r>
                </w:p>
              </w:tc>
              <w:tc>
                <w:tcPr>
                  <w:tcW w:w="277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（五）加强环境监管及日常环境质量监测。重点企业排污口要设置在线监测系统并与环保部门联网。严格大气环境防护距离、卫生防护距离、安全防护距离的管理，为</w:t>
                  </w:r>
                  <w:r>
                    <w:rPr>
                      <w:rFonts w:hint="eastAsia" w:ascii="Times New Roman" w:hAnsi="Times New Roman" w:eastAsia="宋体" w:cs="Times New Roman"/>
                      <w:color w:val="auto"/>
                      <w:kern w:val="0"/>
                      <w:sz w:val="21"/>
                      <w:szCs w:val="21"/>
                      <w:vertAlign w:val="baseline"/>
                      <w:lang w:val="en-US" w:eastAsia="zh-CN" w:bidi="ar"/>
                    </w:rPr>
                    <w:t>园</w:t>
                  </w:r>
                  <w:r>
                    <w:rPr>
                      <w:rFonts w:hint="default" w:ascii="Times New Roman" w:hAnsi="Times New Roman" w:eastAsia="宋体" w:cs="Times New Roman"/>
                      <w:color w:val="auto"/>
                      <w:kern w:val="0"/>
                      <w:sz w:val="21"/>
                      <w:szCs w:val="21"/>
                      <w:vertAlign w:val="baseline"/>
                      <w:lang w:val="en-US" w:eastAsia="zh-CN" w:bidi="ar"/>
                    </w:rPr>
                    <w:t>区健康可持续发展奠定基础。</w:t>
                  </w:r>
                </w:p>
              </w:tc>
              <w:tc>
                <w:tcPr>
                  <w:tcW w:w="277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本次环评提出环境监测因子、监测点位、监测频次，项目建成后应按规定定期进行监测；本项目无需设置大气环境防护距离、卫生防护距离、安全防护距离。</w:t>
                  </w:r>
                </w:p>
              </w:tc>
              <w:tc>
                <w:tcPr>
                  <w:tcW w:w="132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bl>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32"/>
                <w:lang w:eastAsia="zh-CN"/>
              </w:rPr>
              <w:t>因此，本项目建设符合《内蒙古乌拉特前旗工业园区总体规划环境影响报告书》</w:t>
            </w:r>
            <w:r>
              <w:rPr>
                <w:rFonts w:hint="eastAsia" w:cs="Times New Roman"/>
                <w:color w:val="auto"/>
                <w:sz w:val="24"/>
                <w:szCs w:val="32"/>
                <w:lang w:eastAsia="zh-CN"/>
              </w:rPr>
              <w:t>（</w:t>
            </w:r>
            <w:r>
              <w:rPr>
                <w:rFonts w:hint="eastAsia" w:cs="Times New Roman"/>
                <w:color w:val="auto"/>
                <w:sz w:val="24"/>
                <w:szCs w:val="32"/>
                <w:lang w:val="en-US" w:eastAsia="zh-CN"/>
              </w:rPr>
              <w:t>2010年-2020年</w:t>
            </w:r>
            <w:r>
              <w:rPr>
                <w:rFonts w:hint="eastAsia" w:cs="Times New Roman"/>
                <w:color w:val="auto"/>
                <w:sz w:val="24"/>
                <w:szCs w:val="32"/>
                <w:lang w:eastAsia="zh-CN"/>
              </w:rPr>
              <w:t>）</w:t>
            </w:r>
            <w:r>
              <w:rPr>
                <w:rFonts w:hint="default" w:ascii="Times New Roman" w:hAnsi="Times New Roman" w:eastAsia="宋体" w:cs="Times New Roman"/>
                <w:color w:val="auto"/>
                <w:sz w:val="24"/>
                <w:szCs w:val="32"/>
                <w:lang w:eastAsia="zh-CN"/>
              </w:rPr>
              <w:t>及审查意见的要求。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42" w:type="dxa"/>
            <w:vAlign w:val="center"/>
          </w:tcPr>
          <w:p>
            <w:pPr>
              <w:spacing w:line="36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其他符合性分析</w:t>
            </w:r>
          </w:p>
        </w:tc>
        <w:tc>
          <w:tcPr>
            <w:tcW w:w="7635" w:type="dxa"/>
            <w:gridSpan w:val="4"/>
            <w:vAlign w:val="center"/>
          </w:tcPr>
          <w:p>
            <w:pPr>
              <w:spacing w:line="360" w:lineRule="auto"/>
              <w:ind w:firstLine="482"/>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rPr>
              <w:t>1、</w:t>
            </w:r>
            <w:r>
              <w:rPr>
                <w:rFonts w:hint="eastAsia" w:ascii="Times New Roman" w:hAnsi="Times New Roman" w:eastAsia="宋体" w:cs="Times New Roman"/>
                <w:b/>
                <w:bCs/>
                <w:color w:val="auto"/>
                <w:lang w:val="en-US" w:eastAsia="zh-CN"/>
              </w:rPr>
              <w:t>产业政策符合性及其他符合性分析</w:t>
            </w:r>
          </w:p>
          <w:p>
            <w:pPr>
              <w:spacing w:line="360" w:lineRule="auto"/>
              <w:ind w:firstLine="482"/>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1.1产业政策符合性分析</w:t>
            </w:r>
          </w:p>
          <w:p>
            <w:pPr>
              <w:bidi w:val="0"/>
              <w:rPr>
                <w:rFonts w:hint="eastAsia"/>
                <w:color w:val="auto"/>
                <w:lang w:val="en-US" w:eastAsia="zh-CN"/>
              </w:rPr>
            </w:pPr>
            <w:r>
              <w:rPr>
                <w:rFonts w:hint="eastAsia"/>
                <w:color w:val="auto"/>
                <w:lang w:val="en-US" w:eastAsia="zh-CN"/>
              </w:rPr>
              <w:t>根据</w:t>
            </w:r>
            <w:r>
              <w:rPr>
                <w:color w:val="auto"/>
              </w:rPr>
              <w:t>《产业结构调整指导目录（2019年本）》可知，</w:t>
            </w:r>
            <w:r>
              <w:rPr>
                <w:rFonts w:hint="eastAsia"/>
                <w:color w:val="auto"/>
                <w:lang w:val="en-US" w:eastAsia="zh-CN"/>
              </w:rPr>
              <w:t>本</w:t>
            </w:r>
            <w:r>
              <w:rPr>
                <w:rFonts w:hint="eastAsia"/>
                <w:color w:val="auto"/>
                <w:lang w:eastAsia="zh-CN"/>
              </w:rPr>
              <w:t>项目</w:t>
            </w:r>
            <w:r>
              <w:rPr>
                <w:rFonts w:hint="eastAsia"/>
                <w:color w:val="auto"/>
                <w:lang w:val="en-US" w:eastAsia="zh-CN"/>
              </w:rPr>
              <w:t>即不属于鼓励类、也不属于限制类和淘汰类项目；且拟建项目已经取乌拉特前旗工业和信息化局</w:t>
            </w:r>
            <w:r>
              <w:rPr>
                <w:rFonts w:hint="eastAsia"/>
                <w:color w:val="auto"/>
                <w:lang w:eastAsia="zh-CN"/>
              </w:rPr>
              <w:t>的备案告知书，备案文号：</w:t>
            </w:r>
            <w:r>
              <w:rPr>
                <w:rFonts w:hint="eastAsia"/>
                <w:color w:val="auto"/>
                <w:lang w:val="en-US" w:eastAsia="zh-CN"/>
              </w:rPr>
              <w:t>2201-150823-29-03-029981（见附件2）。</w:t>
            </w:r>
            <w:r>
              <w:rPr>
                <w:color w:val="auto"/>
              </w:rPr>
              <w:t>因此，</w:t>
            </w:r>
            <w:r>
              <w:rPr>
                <w:rFonts w:hint="eastAsia"/>
                <w:color w:val="auto"/>
                <w:lang w:eastAsia="zh-CN"/>
              </w:rPr>
              <w:t>本</w:t>
            </w:r>
            <w:r>
              <w:rPr>
                <w:rFonts w:hint="eastAsia"/>
                <w:color w:val="auto"/>
                <w:lang w:val="en-US" w:eastAsia="zh-CN"/>
              </w:rPr>
              <w:t>项目</w:t>
            </w:r>
            <w:r>
              <w:rPr>
                <w:color w:val="auto"/>
              </w:rPr>
              <w:t>的建设符合产业政策要求。</w:t>
            </w:r>
          </w:p>
          <w:p>
            <w:pPr>
              <w:tabs>
                <w:tab w:val="left" w:pos="626"/>
              </w:tabs>
              <w:spacing w:line="360" w:lineRule="auto"/>
              <w:ind w:firstLine="482"/>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1.2选址合理性分析</w:t>
            </w:r>
          </w:p>
          <w:p>
            <w:pPr>
              <w:bidi w:val="0"/>
              <w:rPr>
                <w:color w:val="auto"/>
              </w:rPr>
            </w:pPr>
            <w:r>
              <w:rPr>
                <w:rFonts w:hint="eastAsia"/>
                <w:color w:val="auto"/>
                <w:lang w:val="en-US" w:eastAsia="zh-CN"/>
              </w:rPr>
              <w:t>本项目位于内蒙古</w:t>
            </w:r>
            <w:r>
              <w:rPr>
                <w:rFonts w:hint="default" w:ascii="Times New Roman" w:hAnsi="Times New Roman" w:eastAsia="宋体" w:cs="Times New Roman"/>
                <w:b w:val="0"/>
                <w:bCs w:val="0"/>
                <w:color w:val="auto"/>
                <w:sz w:val="24"/>
                <w:szCs w:val="24"/>
                <w:highlight w:val="none"/>
                <w:vertAlign w:val="baseline"/>
                <w:lang w:val="en-US" w:eastAsia="zh-CN"/>
              </w:rPr>
              <w:t>内蒙古自治区巴彦淖尔市乌拉特前旗工业园区</w:t>
            </w:r>
            <w:r>
              <w:rPr>
                <w:rFonts w:hint="eastAsia"/>
                <w:color w:val="auto"/>
                <w:lang w:val="en-US" w:eastAsia="zh-CN"/>
              </w:rPr>
              <w:t>，建设性质为扩建，位于原有项目厂址内，不新增占地，项目</w:t>
            </w:r>
            <w:r>
              <w:rPr>
                <w:color w:val="auto"/>
              </w:rPr>
              <w:t>运营期生产过程产生的废气、噪声经采取治理措施后，对周围环境影响较小</w:t>
            </w:r>
            <w:r>
              <w:rPr>
                <w:rFonts w:hint="eastAsia"/>
                <w:color w:val="auto"/>
                <w:lang w:eastAsia="zh-CN"/>
              </w:rPr>
              <w:t>；</w:t>
            </w:r>
            <w:r>
              <w:rPr>
                <w:color w:val="auto"/>
              </w:rPr>
              <w:t>废水得到合理净化</w:t>
            </w:r>
            <w:r>
              <w:rPr>
                <w:rFonts w:hint="eastAsia"/>
                <w:color w:val="auto"/>
                <w:lang w:eastAsia="zh-CN"/>
              </w:rPr>
              <w:t>；</w:t>
            </w:r>
            <w:r>
              <w:rPr>
                <w:color w:val="auto"/>
              </w:rPr>
              <w:t>固废均合理处置。项目拟采取措施后污染物对外环境的影响较小，从环保角度，厂址选择合理。</w:t>
            </w:r>
          </w:p>
          <w:p>
            <w:pPr>
              <w:spacing w:line="360" w:lineRule="auto"/>
              <w:ind w:firstLine="482"/>
              <w:rPr>
                <w:rFonts w:hint="default" w:ascii="Times New Roman" w:hAnsi="Times New Roman" w:eastAsia="宋体" w:cs="Times New Roman"/>
                <w:b/>
                <w:bCs/>
                <w:color w:val="auto"/>
              </w:rPr>
            </w:pPr>
            <w:r>
              <w:rPr>
                <w:rFonts w:hint="eastAsia" w:ascii="Times New Roman" w:hAnsi="Times New Roman" w:eastAsia="宋体" w:cs="Times New Roman"/>
                <w:b/>
                <w:bCs/>
                <w:color w:val="auto"/>
                <w:lang w:val="en-US" w:eastAsia="zh-CN"/>
              </w:rPr>
              <w:t>2、与</w:t>
            </w:r>
            <w:r>
              <w:rPr>
                <w:rFonts w:hint="default" w:ascii="Times New Roman" w:hAnsi="Times New Roman" w:eastAsia="宋体" w:cs="Times New Roman"/>
                <w:b/>
                <w:bCs/>
                <w:color w:val="auto"/>
              </w:rPr>
              <w:t>“三线一单”符合性分析</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（1）生态保护红线</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根据巴彦淖尔市人民政府出具的《关于印发&lt;巴彦淖尔市“三线一单”生态环境分区管控方案&gt;的通知》（巴政发[2021]9号）</w:t>
            </w:r>
            <w:r>
              <w:rPr>
                <w:rFonts w:hint="default" w:ascii="Times New Roman" w:hAnsi="Times New Roman" w:eastAsia="宋体" w:cs="Times New Roman"/>
                <w:color w:val="auto"/>
                <w:sz w:val="24"/>
                <w:szCs w:val="24"/>
                <w:highlight w:val="none"/>
                <w:lang w:eastAsia="zh-CN"/>
              </w:rPr>
              <w:t>生态环境</w:t>
            </w:r>
            <w:r>
              <w:rPr>
                <w:rFonts w:hint="default" w:ascii="Times New Roman" w:hAnsi="Times New Roman" w:eastAsia="宋体" w:cs="Times New Roman"/>
                <w:color w:val="auto"/>
                <w:sz w:val="24"/>
                <w:szCs w:val="24"/>
                <w:highlight w:val="none"/>
              </w:rPr>
              <w:t>分区管控体系：全市共划定环境管控单元249个，包括优先保护单元、重点管控单元、一般管控单元三类，实施分类管控</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本项目位于巴彦淖尔市乌拉特前旗工业园区，</w:t>
            </w:r>
            <w:r>
              <w:rPr>
                <w:rFonts w:hint="eastAsia" w:cs="Times New Roman"/>
                <w:color w:val="auto"/>
                <w:sz w:val="24"/>
                <w:szCs w:val="24"/>
                <w:lang w:val="en-US" w:eastAsia="zh-CN"/>
              </w:rPr>
              <w:t>属于重点管控单元，</w:t>
            </w:r>
            <w:r>
              <w:rPr>
                <w:rFonts w:hint="default" w:ascii="Times New Roman" w:hAnsi="Times New Roman" w:eastAsia="宋体" w:cs="Times New Roman"/>
                <w:color w:val="auto"/>
                <w:sz w:val="24"/>
                <w:szCs w:val="24"/>
                <w:lang w:val="en-US" w:eastAsia="zh-CN"/>
              </w:rPr>
              <w:t>不在乌拉特前旗生态保护红线范围内。</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（2）环境质量底线</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highlight w:val="none"/>
                <w:lang w:eastAsia="zh-CN"/>
              </w:rPr>
              <w:t>本项目所在地巴彦淖尔市乌拉特前旗</w:t>
            </w:r>
            <w:r>
              <w:rPr>
                <w:rFonts w:hint="default" w:ascii="Times New Roman" w:hAnsi="Times New Roman" w:eastAsia="宋体" w:cs="Times New Roman"/>
                <w:color w:val="auto"/>
                <w:kern w:val="0"/>
                <w:sz w:val="24"/>
                <w:szCs w:val="24"/>
                <w:highlight w:val="none"/>
                <w:lang w:val="en-US" w:eastAsia="zh-CN"/>
              </w:rPr>
              <w:t>2021年大气环境中6项</w:t>
            </w:r>
            <w:r>
              <w:rPr>
                <w:rFonts w:hint="default" w:ascii="Times New Roman" w:hAnsi="Times New Roman" w:eastAsia="宋体" w:cs="Times New Roman"/>
                <w:color w:val="auto"/>
                <w:kern w:val="0"/>
                <w:sz w:val="24"/>
                <w:szCs w:val="24"/>
                <w:highlight w:val="none"/>
              </w:rPr>
              <w:t>污染物</w:t>
            </w:r>
            <w:r>
              <w:rPr>
                <w:rFonts w:hint="default" w:ascii="Times New Roman" w:hAnsi="Times New Roman" w:eastAsia="宋体" w:cs="Times New Roman"/>
                <w:color w:val="auto"/>
                <w:kern w:val="0"/>
                <w:sz w:val="24"/>
                <w:szCs w:val="24"/>
                <w:highlight w:val="none"/>
                <w:lang w:eastAsia="zh-CN"/>
              </w:rPr>
              <w:t>中</w:t>
            </w:r>
            <w:r>
              <w:rPr>
                <w:rFonts w:hint="default" w:ascii="Times New Roman" w:hAnsi="Times New Roman" w:eastAsia="宋体" w:cs="Times New Roman"/>
                <w:color w:val="auto"/>
                <w:kern w:val="0"/>
                <w:sz w:val="24"/>
                <w:szCs w:val="24"/>
                <w:highlight w:val="none"/>
              </w:rPr>
              <w:t>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质量浓度</w:t>
            </w:r>
            <w:r>
              <w:rPr>
                <w:rFonts w:hint="default" w:ascii="Times New Roman" w:hAnsi="Times New Roman" w:eastAsia="宋体" w:cs="Times New Roman"/>
                <w:color w:val="auto"/>
                <w:kern w:val="0"/>
                <w:sz w:val="24"/>
                <w:szCs w:val="24"/>
                <w:highlight w:val="none"/>
                <w:lang w:eastAsia="zh-CN"/>
              </w:rPr>
              <w:t>均满足</w:t>
            </w:r>
            <w:r>
              <w:rPr>
                <w:rFonts w:hint="default" w:ascii="Times New Roman" w:hAnsi="Times New Roman" w:eastAsia="宋体" w:cs="Times New Roman"/>
                <w:color w:val="auto"/>
                <w:kern w:val="0"/>
                <w:sz w:val="24"/>
                <w:szCs w:val="24"/>
                <w:highlight w:val="none"/>
              </w:rPr>
              <w:t>《环境空气质量标准》（GB3095-2012）二级标准</w:t>
            </w:r>
            <w:r>
              <w:rPr>
                <w:rFonts w:hint="default" w:ascii="Times New Roman" w:hAnsi="Times New Roman" w:eastAsia="宋体" w:cs="Times New Roman"/>
                <w:color w:val="auto"/>
                <w:kern w:val="0"/>
                <w:sz w:val="24"/>
                <w:szCs w:val="24"/>
                <w:highlight w:val="none"/>
                <w:vertAlign w:val="baseline"/>
              </w:rPr>
              <w:t>限值</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由此可判断</w:t>
            </w:r>
            <w:r>
              <w:rPr>
                <w:rFonts w:hint="default" w:ascii="Times New Roman" w:hAnsi="Times New Roman" w:eastAsia="宋体" w:cs="Times New Roman"/>
                <w:color w:val="auto"/>
                <w:kern w:val="0"/>
                <w:sz w:val="24"/>
                <w:szCs w:val="24"/>
                <w:highlight w:val="none"/>
                <w:lang w:eastAsia="zh-CN"/>
              </w:rPr>
              <w:t>乌拉特前旗为</w:t>
            </w:r>
            <w:r>
              <w:rPr>
                <w:rFonts w:hint="default" w:ascii="Times New Roman" w:hAnsi="Times New Roman" w:eastAsia="宋体" w:cs="Times New Roman"/>
                <w:color w:val="auto"/>
                <w:kern w:val="0"/>
                <w:sz w:val="24"/>
                <w:szCs w:val="24"/>
                <w:highlight w:val="none"/>
              </w:rPr>
              <w:t>达标区</w:t>
            </w:r>
            <w:r>
              <w:rPr>
                <w:rFonts w:hint="default" w:ascii="Times New Roman" w:hAnsi="Times New Roman" w:eastAsia="宋体" w:cs="Times New Roman"/>
                <w:color w:val="auto"/>
                <w:sz w:val="24"/>
                <w:szCs w:val="24"/>
              </w:rPr>
              <w:t>。</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本项目运营期废气经处理</w:t>
            </w:r>
            <w:r>
              <w:rPr>
                <w:rFonts w:hint="default" w:ascii="Times New Roman" w:hAnsi="Times New Roman" w:eastAsia="宋体" w:cs="Times New Roman"/>
                <w:color w:val="auto"/>
                <w:sz w:val="24"/>
                <w:szCs w:val="24"/>
                <w:lang w:eastAsia="zh-CN"/>
              </w:rPr>
              <w:t>后，</w:t>
            </w:r>
            <w:r>
              <w:rPr>
                <w:rFonts w:hint="default" w:ascii="Times New Roman" w:hAnsi="Times New Roman" w:eastAsia="宋体" w:cs="Times New Roman"/>
                <w:color w:val="auto"/>
                <w:sz w:val="24"/>
                <w:szCs w:val="24"/>
                <w:lang w:val="en-US" w:eastAsia="zh-CN"/>
              </w:rPr>
              <w:t>均</w:t>
            </w:r>
            <w:r>
              <w:rPr>
                <w:rFonts w:hint="default" w:ascii="Times New Roman" w:hAnsi="Times New Roman" w:eastAsia="宋体" w:cs="Times New Roman"/>
                <w:color w:val="auto"/>
                <w:sz w:val="24"/>
                <w:szCs w:val="24"/>
                <w:lang w:eastAsia="zh-CN"/>
              </w:rPr>
              <w:t>达标排放</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厂界</w:t>
            </w:r>
            <w:r>
              <w:rPr>
                <w:rFonts w:hint="default" w:ascii="Times New Roman" w:hAnsi="Times New Roman" w:eastAsia="宋体" w:cs="Times New Roman"/>
                <w:color w:val="auto"/>
                <w:sz w:val="24"/>
                <w:szCs w:val="24"/>
              </w:rPr>
              <w:t>噪声</w:t>
            </w:r>
            <w:r>
              <w:rPr>
                <w:rFonts w:hint="default" w:ascii="Times New Roman" w:hAnsi="Times New Roman" w:eastAsia="宋体" w:cs="Times New Roman"/>
                <w:color w:val="auto"/>
                <w:sz w:val="24"/>
                <w:szCs w:val="24"/>
                <w:lang w:eastAsia="zh-CN"/>
              </w:rPr>
              <w:t>预测值满足相关标准，</w:t>
            </w:r>
            <w:r>
              <w:rPr>
                <w:rFonts w:hint="default" w:ascii="Times New Roman" w:hAnsi="Times New Roman" w:eastAsia="宋体" w:cs="Times New Roman"/>
                <w:color w:val="auto"/>
                <w:sz w:val="24"/>
                <w:szCs w:val="24"/>
              </w:rPr>
              <w:t>对周围声环境影响较小；固废全部妥善处置，对周围环境影响较小</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综上，从环保角度，项目选址合理。</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因此，本项目实施后不会对项目所在地的环境质量造成不利影响，项目所在地环境质量可维持现有水平，本项目符合环境质量底线要求。</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（3）资源利用上线</w:t>
            </w:r>
          </w:p>
          <w:p>
            <w:pPr>
              <w:keepNext w:val="0"/>
              <w:keepLines w:val="0"/>
              <w:pageBreakBefore w:val="0"/>
              <w:widowControl w:val="0"/>
              <w:suppressLineNumbers w:val="0"/>
              <w:shd w:val="clear"/>
              <w:kinsoku/>
              <w:wordWrap/>
              <w:overflowPunct/>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本项目运行中消耗一定量水、电等</w:t>
            </w:r>
            <w:r>
              <w:rPr>
                <w:rFonts w:hint="default" w:ascii="Times New Roman" w:hAnsi="Times New Roman" w:eastAsia="宋体" w:cs="Times New Roman"/>
                <w:color w:val="auto"/>
                <w:sz w:val="24"/>
                <w:szCs w:val="24"/>
                <w:lang w:eastAsia="zh-CN"/>
              </w:rPr>
              <w:t>资源</w:t>
            </w:r>
            <w:r>
              <w:rPr>
                <w:rFonts w:hint="default" w:ascii="Times New Roman" w:hAnsi="Times New Roman" w:eastAsia="宋体" w:cs="Times New Roman"/>
                <w:color w:val="auto"/>
                <w:sz w:val="24"/>
                <w:szCs w:val="24"/>
              </w:rPr>
              <w:t>，消耗量相对区域资源总量较少，本项目的建设满足区域资源利用上线。</w:t>
            </w:r>
          </w:p>
          <w:p>
            <w:pPr>
              <w:keepNext w:val="0"/>
              <w:keepLines w:val="0"/>
              <w:pageBreakBefore w:val="0"/>
              <w:widowControl w:val="0"/>
              <w:suppressLineNumbers w:val="0"/>
              <w:shd w:val="clear"/>
              <w:kinsoku/>
              <w:wordWrap/>
              <w:overflowPunct/>
              <w:topLinePunct/>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（4）生态环境准入清单</w:t>
            </w:r>
          </w:p>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本项目厂区位于</w:t>
            </w:r>
            <w:r>
              <w:rPr>
                <w:rFonts w:hint="default" w:ascii="Times New Roman" w:hAnsi="Times New Roman" w:eastAsia="宋体" w:cs="Times New Roman"/>
                <w:color w:val="auto"/>
                <w:sz w:val="24"/>
                <w:szCs w:val="24"/>
                <w:lang w:val="en-US" w:eastAsia="zh-CN"/>
              </w:rPr>
              <w:t>巴彦淖尔市乌拉特前旗工业园区</w:t>
            </w:r>
            <w:r>
              <w:rPr>
                <w:rFonts w:hint="default" w:ascii="Times New Roman" w:hAnsi="Times New Roman" w:eastAsia="宋体" w:cs="Times New Roman"/>
                <w:color w:val="auto"/>
                <w:sz w:val="24"/>
                <w:szCs w:val="24"/>
                <w:highlight w:val="none"/>
                <w:lang w:eastAsia="zh-CN"/>
              </w:rPr>
              <w:t>，根据巴彦淖尔市环境</w:t>
            </w:r>
            <w:r>
              <w:rPr>
                <w:rFonts w:hint="eastAsia" w:cs="Times New Roman"/>
                <w:color w:val="auto"/>
                <w:sz w:val="24"/>
                <w:szCs w:val="24"/>
                <w:highlight w:val="none"/>
                <w:lang w:eastAsia="zh-CN"/>
              </w:rPr>
              <w:t>分区</w:t>
            </w:r>
            <w:r>
              <w:rPr>
                <w:rFonts w:hint="default" w:ascii="Times New Roman" w:hAnsi="Times New Roman" w:eastAsia="宋体" w:cs="Times New Roman"/>
                <w:color w:val="auto"/>
                <w:sz w:val="24"/>
                <w:szCs w:val="24"/>
                <w:highlight w:val="none"/>
                <w:lang w:eastAsia="zh-CN"/>
              </w:rPr>
              <w:t>管控单元，属于乌拉特前旗工业园区环境管控单元，管控单元类别为重点管理单元，本项目生态环境准入清单符合性见下表。</w:t>
            </w:r>
          </w:p>
          <w:p>
            <w:pPr>
              <w:keepNext w:val="0"/>
              <w:keepLines w:val="0"/>
              <w:pageBreakBefore w:val="0"/>
              <w:widowControl w:val="0"/>
              <w:suppressLineNumbers w:val="0"/>
              <w:shd w:val="clear"/>
              <w:tabs>
                <w:tab w:val="left" w:pos="4252"/>
                <w:tab w:val="left" w:pos="6271"/>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 xml:space="preserve">  巴彦淖尔市总体准入要求</w:t>
            </w:r>
            <w:r>
              <w:rPr>
                <w:rFonts w:hint="default" w:ascii="Times New Roman" w:hAnsi="Times New Roman" w:eastAsia="宋体" w:cs="Times New Roman"/>
                <w:b/>
                <w:bCs/>
                <w:color w:val="auto"/>
                <w:sz w:val="24"/>
                <w:szCs w:val="24"/>
                <w:lang w:eastAsia="zh-CN"/>
              </w:rPr>
              <w:t>符合性分析</w:t>
            </w:r>
            <w:r>
              <w:rPr>
                <w:rFonts w:hint="default" w:ascii="Times New Roman" w:hAnsi="Times New Roman" w:eastAsia="宋体" w:cs="Times New Roman"/>
                <w:b/>
                <w:bCs/>
                <w:color w:val="auto"/>
                <w:sz w:val="24"/>
                <w:szCs w:val="24"/>
              </w:rPr>
              <w:t>表</w:t>
            </w:r>
          </w:p>
          <w:tbl>
            <w:tblPr>
              <w:tblStyle w:val="17"/>
              <w:tblW w:w="75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6"/>
              <w:gridCol w:w="4151"/>
              <w:gridCol w:w="2134"/>
              <w:gridCol w:w="64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4" w:hRule="atLeast"/>
                <w:jc w:val="center"/>
              </w:trPr>
              <w:tc>
                <w:tcPr>
                  <w:tcW w:w="646" w:type="dxa"/>
                  <w:tcBorders>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管控类型</w:t>
                  </w:r>
                </w:p>
              </w:tc>
              <w:tc>
                <w:tcPr>
                  <w:tcW w:w="4151" w:type="dxa"/>
                  <w:tcBorders>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管控要求</w:t>
                  </w:r>
                </w:p>
              </w:tc>
              <w:tc>
                <w:tcPr>
                  <w:tcW w:w="2134" w:type="dxa"/>
                  <w:tcBorders>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本项目情况</w:t>
                  </w:r>
                </w:p>
              </w:tc>
              <w:tc>
                <w:tcPr>
                  <w:tcW w:w="647" w:type="dxa"/>
                  <w:tcBorders>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69" w:hRule="atLeast"/>
                <w:jc w:val="center"/>
              </w:trPr>
              <w:tc>
                <w:tcPr>
                  <w:tcW w:w="646" w:type="dxa"/>
                  <w:tcBorders>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总体要求</w:t>
                  </w:r>
                </w:p>
              </w:tc>
              <w:tc>
                <w:tcPr>
                  <w:tcW w:w="415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1、除现有化工园区外，不再布局新的化工园区。现有园区扩大面积的，要与黄河中上游流域巴彦淖尔段及主要支流岸线至少保持1公里距离。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新建、改建、扩建“两高”项目须符合生态环境保护法律法规和相关法定规划，满足重点污染物排放总量控制、碳排放达峰目标、生态环境准入清单、相关规划环评和相应行业建设项目环境准入条件、环评文件审批要求。新建、扩建石化、化工、焦化、有色金属冶炼、平板玻璃项目应布设在依法合规设立并经规划环评的产业园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建设项目应满足区域、流域控制单元环境质量改善目标管理要求。所在区域、流域控制单元环境质量未达到国家或者地方环境质量标准的，建设项目应提出有效的区域削减方案，主要污染物实行区域倍量削减，确保项目投产后区域环境质量有改善。所在区域、流域控制单元环境质量达到国家或者地方环境质量标准的，原则上建设项目主要污染物实行区域等量削减，确保项目投产后区域环境质量不恶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4、各类园区及建设项目选址必须符合当地国土空间规划。新建工业企业原则上应在工业园区内建设并符合相关规划和园区定位。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新建矿山要全部达到绿色矿山建设标准，生产矿山要按照绿色矿山建设标准加快改造升级，限期达到绿色矿山建设标准。2025年底前，全部矿山达到国家或自治区绿色矿山建设标准，不符合绿色矿山建设标准的矿山企业依法逐步退出市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6、国家重点生态功能区要严格落实产业准入负面清单要求，在严格保护生态安全的前提下，鼓励和支持市场主体集约高效有序地发展符合主体功能定位的适宜产业；限制类产业要在规模产量、生产工艺、区位布局、清洁生产水平等方面严格执行有关规定，鼓励和引导市场主体对既有项目改造升级、入园入区；禁止类产业要严禁市场主体准入，行政机关不予审批、核准，不得办理有关手续。其他重点开发的城镇和重点生态功能区点状开发的城镇，新建矿产资源开采加工、火电、化工、冶金、有色等重大项目，应实行更加严格的环境标准，相关项目必须符合相应领域的专项规划，必须开展环境影响评价和社会稳定风险评估等，不得损害生态系统的稳定性和完整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7、畜禽养殖禁养区内不得新建、扩建和改建各类畜禽养殖场，限养区内严格限制新建和扩建各类规模化畜禽养殖场。适养区内现有的各类畜禽养殖场必须落实污染防治措施，对污水、废渣和恶臭应进行定期监测，确保排放的污染物达到《畜禽养殖业污染物排放标准》（GB18596-2001）的限值要求，并符合污染物排放总量控制要求。禁养区范围内的已建成的畜禽养殖场（小区）和养殖专业户，由所在地人民政府负责责令限期搬迁、关闭或取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8、建设对环境有影响的项目，建设单位应当根据国家关于建设项目环境保护分类管理的规定，按照对环境造成影响的程度，组织编制环境影响报告书、环境影响报告表或者填写环境影响登记表。严格落实排污许可管理要求，加强排污许可证实施监管，督促企业采取有效措施控制污染物排放，达到排污许可证规定的许可排放量要求。</w:t>
                  </w:r>
                </w:p>
              </w:tc>
              <w:tc>
                <w:tcPr>
                  <w:tcW w:w="213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项目位于乌拉特前旗工业园区内，不涉及新化工园区的布局和现有园区面积的扩大。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项目不属于“两高”项目；不属于石化、化工、焦化、有色金属冶炼、平板玻璃项目。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项目所在地巴彦淖尔市乌拉特前旗为达标区；各污染物排放量较小，并且再采取相应环保措施后，各污染物均可达标排放，不会造成区域环境质量恶化。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4、</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项目位于乌拉特前旗工业园区，用地性质为工业用地，不占用耕地、基本农田；</w:t>
                  </w:r>
                  <w:r>
                    <w:rPr>
                      <w:rFonts w:hint="eastAsia" w:cs="Times New Roman"/>
                      <w:color w:val="auto"/>
                      <w:kern w:val="0"/>
                      <w:sz w:val="21"/>
                      <w:szCs w:val="21"/>
                      <w:vertAlign w:val="baseline"/>
                      <w:lang w:val="en-US" w:eastAsia="zh-CN" w:bidi="ar"/>
                    </w:rPr>
                    <w:t>且扩建项目的建设</w:t>
                  </w:r>
                  <w:r>
                    <w:rPr>
                      <w:rFonts w:hint="default" w:ascii="Times New Roman" w:hAnsi="Times New Roman" w:eastAsia="宋体" w:cs="Times New Roman"/>
                      <w:color w:val="auto"/>
                      <w:kern w:val="0"/>
                      <w:sz w:val="21"/>
                      <w:szCs w:val="21"/>
                      <w:vertAlign w:val="baseline"/>
                      <w:lang w:val="en-US" w:eastAsia="zh-CN" w:bidi="ar"/>
                    </w:rPr>
                    <w:t>符合内蒙古乌拉特前旗工业园区总体规划。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项目不属于矿山企业。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6、</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项目符合国家产业政策，不违反产业准入负面清单要求。</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项目不属于矿产资源开采加工、火电、化工、冶金、有色等重大项目。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7、</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项目不属于畜禽养殖业。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8、根据《建设项目环境影响评价分类管理名录（2021年版）》，</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w:t>
                  </w:r>
                  <w:r>
                    <w:rPr>
                      <w:rFonts w:hint="eastAsia" w:cs="Times New Roman"/>
                      <w:color w:val="auto"/>
                      <w:kern w:val="0"/>
                      <w:sz w:val="21"/>
                      <w:szCs w:val="21"/>
                      <w:vertAlign w:val="baseline"/>
                      <w:lang w:val="en-US" w:eastAsia="zh-CN" w:bidi="ar"/>
                    </w:rPr>
                    <w:t>属于</w:t>
                  </w:r>
                  <w:r>
                    <w:rPr>
                      <w:rFonts w:hint="eastAsia" w:ascii="Times New Roman" w:hAnsi="Times New Roman" w:eastAsia="宋体" w:cs="Times New Roman"/>
                      <w:color w:val="auto"/>
                      <w:kern w:val="0"/>
                      <w:sz w:val="21"/>
                      <w:szCs w:val="21"/>
                      <w:vertAlign w:val="baseline"/>
                      <w:lang w:val="en-US" w:eastAsia="zh-CN" w:bidi="ar"/>
                    </w:rPr>
                    <w:t>“</w:t>
                  </w:r>
                  <w:r>
                    <w:rPr>
                      <w:rFonts w:hint="default" w:ascii="Times New Roman" w:hAnsi="Times New Roman" w:eastAsia="宋体" w:cs="Times New Roman"/>
                      <w:color w:val="auto"/>
                      <w:kern w:val="0"/>
                      <w:sz w:val="21"/>
                      <w:szCs w:val="21"/>
                      <w:vertAlign w:val="baseline"/>
                      <w:lang w:val="en-US" w:eastAsia="zh-CN" w:bidi="ar"/>
                    </w:rPr>
                    <w:t>三十九、废弃资源综合利用业 非金属废料和碎屑加工处理422</w:t>
                  </w:r>
                  <w:r>
                    <w:rPr>
                      <w:rFonts w:hint="eastAsia" w:ascii="Times New Roman" w:hAnsi="Times New Roman" w:eastAsia="宋体" w:cs="Times New Roman"/>
                      <w:color w:val="auto"/>
                      <w:kern w:val="0"/>
                      <w:sz w:val="21"/>
                      <w:szCs w:val="21"/>
                      <w:vertAlign w:val="baseline"/>
                      <w:lang w:val="en-US" w:eastAsia="zh-CN" w:bidi="ar"/>
                    </w:rPr>
                    <w:t>”</w:t>
                  </w:r>
                  <w:r>
                    <w:rPr>
                      <w:rFonts w:hint="default" w:ascii="Times New Roman" w:hAnsi="Times New Roman" w:eastAsia="宋体" w:cs="Times New Roman"/>
                      <w:color w:val="auto"/>
                      <w:kern w:val="0"/>
                      <w:sz w:val="21"/>
                      <w:szCs w:val="21"/>
                      <w:vertAlign w:val="baseline"/>
                      <w:lang w:val="en-US" w:eastAsia="zh-CN" w:bidi="ar"/>
                    </w:rPr>
                    <w:t>应编制环境影响报告表，根据预测，</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项目各污染物均可达标排放。</w:t>
                  </w:r>
                </w:p>
              </w:tc>
              <w:tc>
                <w:tcPr>
                  <w:tcW w:w="647" w:type="dxa"/>
                  <w:tcBorders>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p>
              </w:tc>
            </w:tr>
          </w:tbl>
          <w:p>
            <w:pPr>
              <w:keepNext w:val="0"/>
              <w:keepLines w:val="0"/>
              <w:pageBreakBefore w:val="0"/>
              <w:widowControl w:val="0"/>
              <w:suppressLineNumbers w:val="0"/>
              <w:shd w:val="clear"/>
              <w:tabs>
                <w:tab w:val="left" w:pos="4252"/>
                <w:tab w:val="left" w:pos="6271"/>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 xml:space="preserve">  巴彦淖尔市生态环境准入清单符合性分析表</w:t>
            </w:r>
          </w:p>
          <w:tbl>
            <w:tblPr>
              <w:tblStyle w:val="17"/>
              <w:tblW w:w="753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0"/>
              <w:gridCol w:w="705"/>
              <w:gridCol w:w="3543"/>
              <w:gridCol w:w="2001"/>
              <w:gridCol w:w="6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33" w:hRule="atLeast"/>
                <w:jc w:val="center"/>
              </w:trPr>
              <w:tc>
                <w:tcPr>
                  <w:tcW w:w="640"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环境管控单元名称</w:t>
                  </w:r>
                </w:p>
              </w:tc>
              <w:tc>
                <w:tcPr>
                  <w:tcW w:w="4248" w:type="dxa"/>
                  <w:gridSpan w:val="2"/>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管控要求</w:t>
                  </w:r>
                </w:p>
              </w:tc>
              <w:tc>
                <w:tcPr>
                  <w:tcW w:w="2001"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本项目落实情况</w:t>
                  </w:r>
                </w:p>
              </w:tc>
              <w:tc>
                <w:tcPr>
                  <w:tcW w:w="650"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8" w:hRule="atLeast"/>
                <w:jc w:val="center"/>
              </w:trPr>
              <w:tc>
                <w:tcPr>
                  <w:tcW w:w="640" w:type="dxa"/>
                  <w:vMerge w:val="restart"/>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乌拉特前旗工业园区</w:t>
                  </w:r>
                </w:p>
              </w:tc>
              <w:tc>
                <w:tcPr>
                  <w:tcW w:w="705"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空间布局约束</w:t>
                  </w:r>
                </w:p>
              </w:tc>
              <w:tc>
                <w:tcPr>
                  <w:tcW w:w="354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1、严格执行环境准入门槛，依法落实园区规划环评。对不符合园区产业定位、规划环评等的项目一律不予批准。与园区规划不符的企业，应采取措施逐步退出。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科学规划建设工业园区，引导新材料、冶金、化工等行业的工业企业入驻工业园区。原则上不得引入与园区主导行业不相符的高污染高耗能高耗水行业。新建、改建、扩建“两高”项目须符合生态环境保护法律法规和相关法定规划，满足重点污染物排放总量控制、碳达峰、碳中和目标、生态环境准入清单、相关规划环评和相应行业建设项目环境准入条件、环评文件审批原则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3、国家明令淘汰的落后产能和不符合国家产业政策的项目，严禁向工业园区转移。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4、“十四五”时期沿黄重点地区拟建的工业项目，一律按要求进入合规工业园区，对现有已备案但尚未开工的拟建高污染、高耗水、高耗能项目一律重新进行评估。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5、对不符合产业政策、“三线一单”生态环境分区管控方案、规划环评以及能耗、水耗等有关要求的工业项目，一律不得批准或备案。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6、对已建成的高污染、高耗水、高耗能项目，全面梳理形成台账，逐一排查评估，属于落后产能的项目要坚决淘汰。对违反产业政策、未落实环评及其批复、区域削减措施、产能置换或煤炭减量替代要求、违规审批和建设的项目，坚决从严查处，并责令限期整改，逾期未完成整改或整改无望的坚决关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7、加快淘汰化解落后和过剩产能。引导产能过剩行业限制类产能（装备）有序退出，实施产能置换升级改造。列入《国家产业政策指导目录》（2019版）淘汰类和2020年连续停产1年以上的企业（装备）不得进行产能置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8、积极推进“两高”项目环评开展试点工作，衔接落实有关区域和行业碳达峰、碳中和行动方案、清洁能源替代、清洁运输、煤炭消费总量控制等政策要求。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9、大气环境高排放重点管控区内，应强化达标监管，引导工业项目落地集聚发展，有序推进区域内行业企业提标升级改造。</w:t>
                  </w:r>
                </w:p>
              </w:tc>
              <w:tc>
                <w:tcPr>
                  <w:tcW w:w="200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1</w:t>
                  </w:r>
                  <w:r>
                    <w:rPr>
                      <w:rFonts w:hint="default" w:ascii="Times New Roman" w:hAnsi="Times New Roman" w:eastAsia="宋体" w:cs="Times New Roman"/>
                      <w:color w:val="auto"/>
                      <w:kern w:val="0"/>
                      <w:sz w:val="21"/>
                      <w:szCs w:val="21"/>
                      <w:vertAlign w:val="baseline"/>
                      <w:lang w:val="en-US" w:eastAsia="zh-CN" w:bidi="ar"/>
                    </w:rPr>
                    <w:t>、</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项目位于</w:t>
                  </w:r>
                  <w:r>
                    <w:rPr>
                      <w:rFonts w:hint="eastAsia" w:cs="Times New Roman"/>
                      <w:color w:val="auto"/>
                      <w:kern w:val="0"/>
                      <w:sz w:val="21"/>
                      <w:szCs w:val="21"/>
                      <w:vertAlign w:val="baseline"/>
                      <w:lang w:val="en-US" w:eastAsia="zh-CN" w:bidi="ar"/>
                    </w:rPr>
                    <w:t>内蒙古美华科技发展有限公司原有厂址内，内蒙古美华科技发展有限公司位于内蒙古巴彦淖尔市乌拉特前旗工业园区内，不新增占地。项目的建设与园区规划及园区规划环评相符合</w:t>
                  </w:r>
                  <w:r>
                    <w:rPr>
                      <w:rFonts w:hint="default" w:ascii="Times New Roman" w:hAnsi="Times New Roman" w:eastAsia="宋体" w:cs="Times New Roman"/>
                      <w:color w:val="auto"/>
                      <w:kern w:val="0"/>
                      <w:sz w:val="21"/>
                      <w:szCs w:val="21"/>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2、</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项目不属于“两高”项目</w:t>
                  </w:r>
                  <w:r>
                    <w:rPr>
                      <w:rFonts w:hint="eastAsia" w:ascii="Times New Roman" w:hAnsi="Times New Roman" w:eastAsia="宋体" w:cs="Times New Roman"/>
                      <w:color w:val="auto"/>
                      <w:kern w:val="0"/>
                      <w:sz w:val="21"/>
                      <w:szCs w:val="21"/>
                      <w:vertAlign w:val="baseline"/>
                      <w:lang w:val="en-US" w:eastAsia="zh-CN" w:bidi="ar"/>
                    </w:rPr>
                    <w:t>，</w:t>
                  </w:r>
                  <w:r>
                    <w:rPr>
                      <w:rFonts w:hint="default" w:ascii="Times New Roman" w:hAnsi="Times New Roman" w:eastAsia="宋体" w:cs="Times New Roman"/>
                      <w:color w:val="auto"/>
                      <w:kern w:val="0"/>
                      <w:sz w:val="21"/>
                      <w:szCs w:val="21"/>
                      <w:vertAlign w:val="baseline"/>
                      <w:lang w:val="en-US" w:eastAsia="zh-CN" w:bidi="ar"/>
                    </w:rPr>
                    <w:t>符合园区产业定位、总体规划</w:t>
                  </w:r>
                  <w:r>
                    <w:rPr>
                      <w:rFonts w:hint="eastAsia" w:ascii="Times New Roman" w:hAnsi="Times New Roman" w:eastAsia="宋体" w:cs="Times New Roman"/>
                      <w:color w:val="auto"/>
                      <w:kern w:val="0"/>
                      <w:sz w:val="21"/>
                      <w:szCs w:val="21"/>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3、</w:t>
                  </w:r>
                  <w:r>
                    <w:rPr>
                      <w:rFonts w:hint="eastAsia" w:cs="Times New Roman"/>
                      <w:color w:val="auto"/>
                      <w:kern w:val="0"/>
                      <w:sz w:val="21"/>
                      <w:szCs w:val="21"/>
                      <w:vertAlign w:val="baseline"/>
                      <w:lang w:val="en-US" w:eastAsia="zh-CN" w:bidi="ar"/>
                    </w:rPr>
                    <w:t>扩建</w:t>
                  </w:r>
                  <w:r>
                    <w:rPr>
                      <w:rFonts w:hint="eastAsia" w:ascii="Times New Roman" w:hAnsi="Times New Roman" w:eastAsia="宋体" w:cs="Times New Roman"/>
                      <w:color w:val="auto"/>
                      <w:kern w:val="0"/>
                      <w:sz w:val="21"/>
                      <w:szCs w:val="21"/>
                      <w:vertAlign w:val="baseline"/>
                      <w:lang w:val="en-US" w:eastAsia="zh-CN" w:bidi="ar"/>
                    </w:rPr>
                    <w:t>项目不属于落后产能，符合国家产业政策。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4</w:t>
                  </w:r>
                  <w:r>
                    <w:rPr>
                      <w:rFonts w:hint="default" w:ascii="Times New Roman" w:hAnsi="Times New Roman" w:eastAsia="宋体" w:cs="Times New Roman"/>
                      <w:color w:val="auto"/>
                      <w:kern w:val="0"/>
                      <w:sz w:val="21"/>
                      <w:szCs w:val="21"/>
                      <w:vertAlign w:val="baseline"/>
                      <w:lang w:val="en-US" w:eastAsia="zh-CN" w:bidi="ar"/>
                    </w:rPr>
                    <w:t>、</w:t>
                  </w:r>
                  <w:r>
                    <w:rPr>
                      <w:rFonts w:hint="eastAsia" w:cs="Times New Roman"/>
                      <w:color w:val="auto"/>
                      <w:kern w:val="0"/>
                      <w:sz w:val="21"/>
                      <w:szCs w:val="21"/>
                      <w:vertAlign w:val="baseline"/>
                      <w:lang w:val="en-US" w:eastAsia="zh-CN" w:bidi="ar"/>
                    </w:rPr>
                    <w:t>扩建</w:t>
                  </w:r>
                  <w:r>
                    <w:rPr>
                      <w:rFonts w:hint="eastAsia" w:ascii="Times New Roman" w:hAnsi="Times New Roman" w:eastAsia="宋体" w:cs="Times New Roman"/>
                      <w:color w:val="auto"/>
                      <w:kern w:val="0"/>
                      <w:sz w:val="21"/>
                      <w:szCs w:val="21"/>
                      <w:vertAlign w:val="baseline"/>
                      <w:lang w:val="en-US" w:eastAsia="zh-CN" w:bidi="ar"/>
                    </w:rPr>
                    <w:t>项目为工业项目，</w:t>
                  </w:r>
                  <w:r>
                    <w:rPr>
                      <w:rFonts w:hint="default" w:ascii="Times New Roman" w:hAnsi="Times New Roman" w:eastAsia="宋体" w:cs="Times New Roman"/>
                      <w:color w:val="auto"/>
                      <w:kern w:val="0"/>
                      <w:sz w:val="21"/>
                      <w:szCs w:val="21"/>
                      <w:vertAlign w:val="baseline"/>
                      <w:lang w:val="en-US" w:eastAsia="zh-CN" w:bidi="ar"/>
                    </w:rPr>
                    <w:t>位于巴彦淖尔市乌拉特前旗工业园区</w:t>
                  </w:r>
                  <w:r>
                    <w:rPr>
                      <w:rFonts w:hint="eastAsia" w:ascii="Times New Roman" w:hAnsi="Times New Roman" w:eastAsia="宋体" w:cs="Times New Roman"/>
                      <w:color w:val="auto"/>
                      <w:kern w:val="0"/>
                      <w:sz w:val="21"/>
                      <w:szCs w:val="21"/>
                      <w:vertAlign w:val="baseline"/>
                      <w:lang w:val="en-US" w:eastAsia="zh-CN" w:bidi="ar"/>
                    </w:rPr>
                    <w:t>，</w:t>
                  </w:r>
                  <w:r>
                    <w:rPr>
                      <w:rFonts w:hint="default" w:ascii="Times New Roman" w:hAnsi="Times New Roman" w:eastAsia="宋体" w:cs="Times New Roman"/>
                      <w:color w:val="auto"/>
                      <w:kern w:val="0"/>
                      <w:sz w:val="21"/>
                      <w:szCs w:val="21"/>
                      <w:vertAlign w:val="baseline"/>
                      <w:lang w:val="en-US" w:eastAsia="zh-CN" w:bidi="ar"/>
                    </w:rPr>
                    <w:t>符合园区产业定位、总体规划</w:t>
                  </w:r>
                  <w:r>
                    <w:rPr>
                      <w:rFonts w:hint="eastAsia" w:ascii="Times New Roman" w:hAnsi="Times New Roman" w:eastAsia="宋体" w:cs="Times New Roman"/>
                      <w:color w:val="auto"/>
                      <w:kern w:val="0"/>
                      <w:sz w:val="21"/>
                      <w:szCs w:val="21"/>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5、</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项目不属于《产业结构调整指导目录（2019年本）》（国家发展和改革委员会令 第29号）中鼓励类、限制类、淘汰类，故</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项目属于国家政策允许建设的项目。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6、</w:t>
                  </w:r>
                  <w:r>
                    <w:rPr>
                      <w:rFonts w:hint="eastAsia" w:cs="Times New Roman"/>
                      <w:color w:val="auto"/>
                      <w:kern w:val="0"/>
                      <w:sz w:val="21"/>
                      <w:szCs w:val="21"/>
                      <w:vertAlign w:val="baseline"/>
                      <w:lang w:val="en-US" w:eastAsia="zh-CN" w:bidi="ar"/>
                    </w:rPr>
                    <w:t>扩建</w:t>
                  </w:r>
                  <w:r>
                    <w:rPr>
                      <w:rFonts w:hint="eastAsia" w:ascii="Times New Roman" w:hAnsi="Times New Roman" w:eastAsia="宋体" w:cs="Times New Roman"/>
                      <w:color w:val="auto"/>
                      <w:kern w:val="0"/>
                      <w:sz w:val="21"/>
                      <w:szCs w:val="21"/>
                      <w:vertAlign w:val="baseline"/>
                      <w:lang w:val="en-US" w:eastAsia="zh-CN" w:bidi="ar"/>
                    </w:rPr>
                    <w:t>项目不属于</w:t>
                  </w:r>
                  <w:r>
                    <w:rPr>
                      <w:rFonts w:hint="default" w:ascii="Times New Roman" w:hAnsi="Times New Roman" w:eastAsia="宋体" w:cs="Times New Roman"/>
                      <w:color w:val="auto"/>
                      <w:kern w:val="0"/>
                      <w:sz w:val="21"/>
                      <w:szCs w:val="21"/>
                      <w:vertAlign w:val="baseline"/>
                      <w:lang w:val="en-US" w:eastAsia="zh-CN" w:bidi="ar"/>
                    </w:rPr>
                    <w:t>高污染、高耗水、高耗能项目</w:t>
                  </w:r>
                  <w:r>
                    <w:rPr>
                      <w:rFonts w:hint="eastAsia" w:ascii="Times New Roman" w:hAnsi="Times New Roman" w:eastAsia="宋体" w:cs="Times New Roman"/>
                      <w:color w:val="auto"/>
                      <w:kern w:val="0"/>
                      <w:sz w:val="21"/>
                      <w:szCs w:val="21"/>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7</w:t>
                  </w:r>
                  <w:r>
                    <w:rPr>
                      <w:rFonts w:hint="default" w:ascii="Times New Roman" w:hAnsi="Times New Roman" w:eastAsia="宋体" w:cs="Times New Roman"/>
                      <w:color w:val="auto"/>
                      <w:kern w:val="0"/>
                      <w:sz w:val="21"/>
                      <w:szCs w:val="21"/>
                      <w:vertAlign w:val="baseline"/>
                      <w:lang w:val="en-US" w:eastAsia="zh-CN" w:bidi="ar"/>
                    </w:rPr>
                    <w:t>、</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项目不属于《产业结构调整指导目录（2019年本）》（国家发展和改革委员会令 第29号）中鼓励类、限制类、淘汰类，故</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项目属于国家政策允许建设的项目。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8、</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项目不属于“两高”项目</w:t>
                  </w:r>
                  <w:r>
                    <w:rPr>
                      <w:rFonts w:hint="eastAsia" w:ascii="Times New Roman" w:hAnsi="Times New Roman" w:eastAsia="宋体" w:cs="Times New Roman"/>
                      <w:color w:val="auto"/>
                      <w:kern w:val="0"/>
                      <w:sz w:val="21"/>
                      <w:szCs w:val="21"/>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9、</w:t>
                  </w:r>
                  <w:r>
                    <w:rPr>
                      <w:rFonts w:hint="eastAsia" w:cs="Times New Roman"/>
                      <w:color w:val="auto"/>
                      <w:kern w:val="0"/>
                      <w:sz w:val="21"/>
                      <w:szCs w:val="21"/>
                      <w:vertAlign w:val="baseline"/>
                      <w:lang w:val="en-US" w:eastAsia="zh-CN" w:bidi="ar"/>
                    </w:rPr>
                    <w:t>扩建</w:t>
                  </w:r>
                  <w:r>
                    <w:rPr>
                      <w:rFonts w:hint="eastAsia" w:ascii="Times New Roman" w:hAnsi="Times New Roman" w:eastAsia="宋体" w:cs="Times New Roman"/>
                      <w:color w:val="auto"/>
                      <w:kern w:val="0"/>
                      <w:sz w:val="21"/>
                      <w:szCs w:val="21"/>
                      <w:vertAlign w:val="baseline"/>
                      <w:lang w:val="en-US" w:eastAsia="zh-CN" w:bidi="ar"/>
                    </w:rPr>
                    <w:t>项目</w:t>
                  </w:r>
                  <w:r>
                    <w:rPr>
                      <w:rFonts w:hint="default" w:ascii="Times New Roman" w:hAnsi="Times New Roman" w:eastAsia="宋体" w:cs="Times New Roman"/>
                      <w:color w:val="auto"/>
                      <w:kern w:val="0"/>
                      <w:sz w:val="21"/>
                      <w:szCs w:val="21"/>
                      <w:vertAlign w:val="baseline"/>
                      <w:lang w:val="en-US" w:eastAsia="zh-CN" w:bidi="ar"/>
                    </w:rPr>
                    <w:t>符合园区产业定位、总体规划</w:t>
                  </w:r>
                  <w:r>
                    <w:rPr>
                      <w:rFonts w:hint="eastAsia" w:ascii="Times New Roman" w:hAnsi="Times New Roman" w:eastAsia="宋体" w:cs="Times New Roman"/>
                      <w:color w:val="auto"/>
                      <w:kern w:val="0"/>
                      <w:sz w:val="21"/>
                      <w:szCs w:val="21"/>
                      <w:vertAlign w:val="baseline"/>
                      <w:lang w:val="en-US" w:eastAsia="zh-CN" w:bidi="ar"/>
                    </w:rPr>
                    <w:t>，属于国家政策允许建设的项目。</w:t>
                  </w:r>
                </w:p>
              </w:tc>
              <w:tc>
                <w:tcPr>
                  <w:tcW w:w="650"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99" w:hRule="atLeast"/>
                <w:jc w:val="center"/>
              </w:trPr>
              <w:tc>
                <w:tcPr>
                  <w:tcW w:w="640" w:type="dxa"/>
                  <w:vMerge w:val="continue"/>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rPr>
                  </w:pPr>
                </w:p>
              </w:tc>
              <w:tc>
                <w:tcPr>
                  <w:tcW w:w="705"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污染物排放管控</w:t>
                  </w:r>
                </w:p>
              </w:tc>
              <w:tc>
                <w:tcPr>
                  <w:tcW w:w="354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新建“两高”项目应按照《关于加强重点行业建设项目区域削减措施监督管理的通知》要求，依据区域环境质量改善目标，制定配套区域污染物削减方案，采取有效的污染物区域削减措施，腾出足够的环境容量。现有“两高”项目应依法制定并严格落实防治土壤与地下水污染的措施。推进水泥、焦化等行业超低排放改造。以电力、焦化、冶炼、钢铁等行业为重点，有序推进现有企业开展全流程智能化、清洁化、循环化、低碳化改造，促进传统产业绿色转型级，逐步淘汰落后产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2、加强对废气特别是有毒及恶臭气体的收集和处置，严格控制挥发性有机物（VOCs）排放。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3、禁止新建20蒸吨以下燃煤锅炉，现有和新建锅炉大气污染物排放要符合相关要求。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4、强化重点行业无组织排放管理。对物料（含废渣）运输、装卸、储存、转移和工艺过程等无组织排放实施深度治理。粉状物料堆场必须进行全封闭，块状物料必须安装抑尘设施。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5、以焦化制造、新材料、冶金等行业为重点，有序推进现有企业开展全流程智能化、清洁化、循环化、低碳化改造，促进传统产业绿色转型升级，逐步淘汰落后产能。推进焦化等行业超低排放改造。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6、化工园区必须建设集中式污水处理厂及配套管网，实现废水分类收集、分质预处理。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7、工业园区的工业企业排放的废水应当按照国家有关规定进行预处理（或者委托具备处理能力的第三方进行集中处理），未达到园区集中处理设施（不含园区企业预处理一级集中处理设施）处理工艺要求的，不得排入工业园区污水集中处理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8、固体废物产生量大的化工园区应配套建设固体废物处置设施。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9、新建排放重金属污染物的建设项目全面执行重金属重点污染物特别排放限值。全市重点行业重点重金属污染物实行排放总量控制制度，新建、改建、扩建涉重金属重点行业建设项目必须遵循重点重金属污染物排放“减量置换”或“等量替换”的原则，严格把重金属污染物排放总量指标作为排放重金属污染物建设项目环境影响评价审批的前置条件，无明确具体总量来源的，不得批准相关环境影响评价文件。重点重金属污染物包括铅、汞、镉、和类金属砷铬。</w:t>
                  </w:r>
                </w:p>
              </w:tc>
              <w:tc>
                <w:tcPr>
                  <w:tcW w:w="200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项目不属于“两高”项目。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w:t>
                  </w:r>
                  <w:r>
                    <w:rPr>
                      <w:rFonts w:hint="eastAsia" w:cs="Times New Roman"/>
                      <w:color w:val="auto"/>
                      <w:kern w:val="0"/>
                      <w:sz w:val="21"/>
                      <w:szCs w:val="21"/>
                      <w:vertAlign w:val="baseline"/>
                      <w:lang w:val="en-US" w:eastAsia="zh-CN" w:bidi="ar"/>
                    </w:rPr>
                    <w:t>运营期生产工艺中不包括分解工序，因此不产生挥发性有机物，项目运营期产生的</w:t>
                  </w:r>
                  <w:r>
                    <w:rPr>
                      <w:rFonts w:hint="default" w:ascii="Times New Roman" w:hAnsi="Times New Roman" w:eastAsia="宋体" w:cs="Times New Roman"/>
                      <w:color w:val="auto"/>
                      <w:kern w:val="0"/>
                      <w:sz w:val="21"/>
                      <w:szCs w:val="21"/>
                      <w:vertAlign w:val="baseline"/>
                      <w:lang w:val="en-US" w:eastAsia="zh-CN" w:bidi="ar"/>
                    </w:rPr>
                    <w:t>废气</w:t>
                  </w:r>
                  <w:r>
                    <w:rPr>
                      <w:rFonts w:hint="eastAsia" w:cs="Times New Roman"/>
                      <w:color w:val="auto"/>
                      <w:kern w:val="0"/>
                      <w:sz w:val="21"/>
                      <w:szCs w:val="21"/>
                      <w:vertAlign w:val="baseline"/>
                      <w:lang w:val="en-US" w:eastAsia="zh-CN" w:bidi="ar"/>
                    </w:rPr>
                    <w:t>主要为破碎筛分粉尘，</w:t>
                  </w:r>
                  <w:r>
                    <w:rPr>
                      <w:rFonts w:hint="default" w:ascii="Times New Roman" w:hAnsi="Times New Roman" w:eastAsia="宋体" w:cs="Times New Roman"/>
                      <w:color w:val="auto"/>
                      <w:kern w:val="0"/>
                      <w:sz w:val="21"/>
                      <w:szCs w:val="21"/>
                      <w:vertAlign w:val="baseline"/>
                      <w:lang w:val="en-US" w:eastAsia="zh-CN" w:bidi="ar"/>
                    </w:rPr>
                    <w:t>污染因子为颗粒物，不属于有毒及恶臭气体。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项目不涉及燃煤锅炉的建设。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4、</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项目生产过程中，物料转运、储存过程中均在全封闭生产车间内进行。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项目不属于焦化制造、新材料、冶金等行业。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6、</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w:t>
                  </w:r>
                  <w:r>
                    <w:rPr>
                      <w:rFonts w:hint="eastAsia" w:cs="Times New Roman"/>
                      <w:color w:val="auto"/>
                      <w:kern w:val="0"/>
                      <w:sz w:val="21"/>
                      <w:szCs w:val="21"/>
                      <w:vertAlign w:val="baseline"/>
                      <w:lang w:val="en-US" w:eastAsia="zh-CN" w:bidi="ar"/>
                    </w:rPr>
                    <w:t>生产废水主要为设备循环冷却水定期排水和水喷淋塔排水，循环冷却水定期排水为高浓度盐水，水质较为简单，可直接用作厂区洒水抑尘</w:t>
                  </w:r>
                  <w:r>
                    <w:rPr>
                      <w:rFonts w:hint="default" w:ascii="Times New Roman" w:hAnsi="Times New Roman" w:eastAsia="宋体" w:cs="Times New Roman"/>
                      <w:color w:val="auto"/>
                      <w:kern w:val="0"/>
                      <w:sz w:val="21"/>
                      <w:szCs w:val="21"/>
                      <w:vertAlign w:val="baseline"/>
                      <w:lang w:val="en-US" w:eastAsia="zh-CN" w:bidi="ar"/>
                    </w:rPr>
                    <w:t>。</w:t>
                  </w:r>
                  <w:r>
                    <w:rPr>
                      <w:rFonts w:hint="eastAsia" w:cs="Times New Roman"/>
                      <w:color w:val="auto"/>
                      <w:kern w:val="0"/>
                      <w:sz w:val="21"/>
                      <w:szCs w:val="21"/>
                      <w:vertAlign w:val="baseline"/>
                      <w:lang w:val="en-US" w:eastAsia="zh-CN" w:bidi="ar"/>
                    </w:rPr>
                    <w:t>水喷淋塔排水经污水管网最终进行园区污水处理厂。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7</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项目不属于化工项目</w:t>
                  </w:r>
                  <w:r>
                    <w:rPr>
                      <w:rFonts w:hint="eastAsia" w:ascii="Times New Roman" w:hAnsi="Times New Roman" w:eastAsia="宋体" w:cs="Times New Roman"/>
                      <w:color w:val="auto"/>
                      <w:kern w:val="0"/>
                      <w:sz w:val="21"/>
                      <w:szCs w:val="21"/>
                      <w:vertAlign w:val="baseline"/>
                      <w:lang w:val="en-US" w:eastAsia="zh-CN" w:bidi="ar"/>
                    </w:rPr>
                    <w:t>，</w:t>
                  </w:r>
                  <w:r>
                    <w:rPr>
                      <w:rFonts w:hint="default" w:ascii="Times New Roman" w:hAnsi="Times New Roman" w:eastAsia="宋体" w:cs="Times New Roman"/>
                      <w:color w:val="auto"/>
                      <w:kern w:val="0"/>
                      <w:sz w:val="21"/>
                      <w:szCs w:val="21"/>
                      <w:vertAlign w:val="baseline"/>
                      <w:lang w:val="en-US" w:eastAsia="zh-CN" w:bidi="ar"/>
                    </w:rPr>
                    <w:t>符合内蒙古乌拉特前旗工业园区总体规划。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8</w:t>
                  </w:r>
                  <w:r>
                    <w:rPr>
                      <w:rFonts w:hint="default" w:ascii="Times New Roman" w:hAnsi="Times New Roman" w:eastAsia="宋体" w:cs="Times New Roman"/>
                      <w:color w:val="auto"/>
                      <w:kern w:val="0"/>
                      <w:sz w:val="21"/>
                      <w:szCs w:val="21"/>
                      <w:vertAlign w:val="baseline"/>
                      <w:lang w:val="en-US" w:eastAsia="zh-CN" w:bidi="ar"/>
                    </w:rPr>
                    <w:t>、</w:t>
                  </w:r>
                  <w:r>
                    <w:rPr>
                      <w:rFonts w:hint="eastAsia" w:cs="Times New Roman"/>
                      <w:color w:val="auto"/>
                      <w:kern w:val="0"/>
                      <w:sz w:val="21"/>
                      <w:szCs w:val="21"/>
                      <w:vertAlign w:val="baseline"/>
                      <w:lang w:val="en-US" w:eastAsia="zh-CN" w:bidi="ar"/>
                    </w:rPr>
                    <w:t>扩建</w:t>
                  </w:r>
                  <w:r>
                    <w:rPr>
                      <w:rFonts w:hint="default" w:ascii="Times New Roman" w:hAnsi="Times New Roman" w:eastAsia="宋体" w:cs="Times New Roman"/>
                      <w:color w:val="auto"/>
                      <w:kern w:val="0"/>
                      <w:sz w:val="21"/>
                      <w:szCs w:val="21"/>
                      <w:vertAlign w:val="baseline"/>
                      <w:lang w:val="en-US" w:eastAsia="zh-CN" w:bidi="ar"/>
                    </w:rPr>
                    <w:t>项目不排放重金属污染物。</w:t>
                  </w:r>
                </w:p>
              </w:tc>
              <w:tc>
                <w:tcPr>
                  <w:tcW w:w="650"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11" w:hRule="atLeast"/>
                <w:jc w:val="center"/>
              </w:trPr>
              <w:tc>
                <w:tcPr>
                  <w:tcW w:w="640" w:type="dxa"/>
                  <w:vMerge w:val="continue"/>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rPr>
                  </w:pPr>
                </w:p>
              </w:tc>
              <w:tc>
                <w:tcPr>
                  <w:tcW w:w="705"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环境风险防控</w:t>
                  </w:r>
                </w:p>
              </w:tc>
              <w:tc>
                <w:tcPr>
                  <w:tcW w:w="354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1、园区应建立突发环境事件应急防控体系，增强突发环境事件处置能力，定期更新园区突发事件环境风险应急预案。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2、实行排污许可重点管理的排污单位，应当依法安装、使用、维护污染物排放自动监测设备，并与生态环境主管部门的监控设备联网。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3、建立项目台账，依法依规预留安全防护距离，加强日常环境风险监管。</w:t>
                  </w:r>
                </w:p>
              </w:tc>
              <w:tc>
                <w:tcPr>
                  <w:tcW w:w="200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1、园区配套设置了突发环境事件应急防控体系。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r>
                    <w:rPr>
                      <w:rFonts w:hint="eastAsia" w:cs="Times New Roman"/>
                      <w:color w:val="auto"/>
                      <w:kern w:val="0"/>
                      <w:sz w:val="21"/>
                      <w:szCs w:val="21"/>
                      <w:vertAlign w:val="baseline"/>
                      <w:lang w:val="en-US" w:eastAsia="zh-CN" w:bidi="ar"/>
                    </w:rPr>
                    <w:t>根据排污许可管理名录，本项目属于重点管理的排污单位，应严格按照要求安装、</w:t>
                  </w:r>
                  <w:r>
                    <w:rPr>
                      <w:rFonts w:hint="default" w:ascii="Times New Roman" w:hAnsi="Times New Roman" w:eastAsia="宋体" w:cs="Times New Roman"/>
                      <w:color w:val="auto"/>
                      <w:kern w:val="0"/>
                      <w:sz w:val="21"/>
                      <w:szCs w:val="21"/>
                      <w:vertAlign w:val="baseline"/>
                      <w:lang w:val="en-US" w:eastAsia="zh-CN" w:bidi="ar"/>
                    </w:rPr>
                    <w:t>使用、维护污染物排放自动监测设备，并与生态环境主管部门的监控设备联网。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3、企业运营期应编制环境突发事故应急预案。</w:t>
                  </w:r>
                </w:p>
              </w:tc>
              <w:tc>
                <w:tcPr>
                  <w:tcW w:w="650"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39" w:hRule="atLeast"/>
                <w:jc w:val="center"/>
              </w:trPr>
              <w:tc>
                <w:tcPr>
                  <w:tcW w:w="640" w:type="dxa"/>
                  <w:vMerge w:val="continue"/>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rPr>
                  </w:pPr>
                </w:p>
              </w:tc>
              <w:tc>
                <w:tcPr>
                  <w:tcW w:w="705"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资源利用效率要求</w:t>
                  </w:r>
                </w:p>
              </w:tc>
              <w:tc>
                <w:tcPr>
                  <w:tcW w:w="354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1、新建、改建、扩建的高耗水工业项目，禁止擅自使用地下水，优先配置利用中水等作为生产水源。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2、加强对已建成高污染、高耗水、高耗能项目的监管，有节能节水减排潜力的项目要升级改造，单位产品物耗、能耗、水耗等鼓励逐步达到清洁生产先进水平。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3、优先配置利用中水等作为生产水源；具备使用非常规水源条件的园区，限期关闭企业生产用地下水自备水井。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4、新建、扩建“两高”项目应采用先进适用的工艺技术和装备，单位产品物耗、能耗、水耗等达到清洁生产先进水平，依法制定并严格落实防治土壤与地下水污染的措施。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5、除食品和制药行业外，禁止使用地下水建设高耗水工业项目；工业企业的设备冷却水、空调冷却水、锅炉冷凝水应当循环使用或者回收利用，不得直接排放。</w:t>
                  </w:r>
                </w:p>
              </w:tc>
              <w:tc>
                <w:tcPr>
                  <w:tcW w:w="200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1、本项目生产用水采用园区供水管网统一供给。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2、本项目不属于高污染、高耗水、高耗能项目。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3、本项目生产用水、生活用水采用园区供水管网统一供给。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4、本项目不属于“两高”项目。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5、本项目生产废水</w:t>
                  </w:r>
                  <w:r>
                    <w:rPr>
                      <w:rFonts w:hint="eastAsia" w:cs="Times New Roman"/>
                      <w:color w:val="auto"/>
                      <w:kern w:val="0"/>
                      <w:sz w:val="21"/>
                      <w:szCs w:val="21"/>
                      <w:vertAlign w:val="baseline"/>
                      <w:lang w:val="en-US" w:eastAsia="zh-CN" w:bidi="ar"/>
                    </w:rPr>
                    <w:t>主要为设备循环冷却水定期排水，由于该部分水位清净下水，水质较为简单，可直接用于厂区洒水抑尘</w:t>
                  </w:r>
                  <w:r>
                    <w:rPr>
                      <w:rFonts w:hint="default" w:ascii="Times New Roman" w:hAnsi="Times New Roman" w:eastAsia="宋体" w:cs="Times New Roman"/>
                      <w:color w:val="auto"/>
                      <w:kern w:val="0"/>
                      <w:sz w:val="21"/>
                      <w:szCs w:val="21"/>
                      <w:vertAlign w:val="baseline"/>
                      <w:lang w:val="en-US" w:eastAsia="zh-CN" w:bidi="ar"/>
                    </w:rPr>
                    <w:t>，不外排。</w:t>
                  </w:r>
                </w:p>
              </w:tc>
              <w:tc>
                <w:tcPr>
                  <w:tcW w:w="650" w:type="dxa"/>
                  <w:tcBorders>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bl>
          <w:p>
            <w:pPr>
              <w:keepNext w:val="0"/>
              <w:keepLines w:val="0"/>
              <w:suppressLineNumbers w:val="0"/>
              <w:shd w:val="clear"/>
              <w:tabs>
                <w:tab w:val="center" w:pos="4153"/>
                <w:tab w:val="right" w:pos="8306"/>
              </w:tabs>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根据巴彦淖尔市人民政府出具的《关于印发&lt;巴彦淖尔市“三线一单”生态环境分区管控方案&gt;的通知》（巴政发[2021]9号），本项目属于乌拉特前旗工业园区环境管控单元，管控单元类别为</w:t>
            </w:r>
            <w:r>
              <w:rPr>
                <w:rFonts w:hint="default" w:ascii="Times New Roman" w:hAnsi="Times New Roman" w:eastAsia="宋体" w:cs="Times New Roman"/>
                <w:color w:val="auto"/>
                <w:sz w:val="24"/>
                <w:szCs w:val="24"/>
                <w:highlight w:val="none"/>
                <w:lang w:eastAsia="zh-CN"/>
              </w:rPr>
              <w:t>重点管控单元</w:t>
            </w:r>
            <w:r>
              <w:rPr>
                <w:rFonts w:hint="default" w:ascii="Times New Roman" w:hAnsi="Times New Roman" w:eastAsia="宋体" w:cs="Times New Roman"/>
                <w:color w:val="auto"/>
                <w:sz w:val="24"/>
                <w:szCs w:val="24"/>
                <w:highlight w:val="none"/>
              </w:rPr>
              <w:t>，环境管控单元编码ZH15082320001，从空间布局约束、污染物排放管控、环境风险防控、资源利用效率要求等方面分析，本项目</w:t>
            </w:r>
            <w:r>
              <w:rPr>
                <w:rFonts w:hint="default" w:ascii="Times New Roman" w:hAnsi="Times New Roman" w:eastAsia="宋体" w:cs="Times New Roman"/>
                <w:color w:val="auto"/>
                <w:sz w:val="24"/>
                <w:szCs w:val="24"/>
                <w:highlight w:val="none"/>
                <w:lang w:eastAsia="zh-CN"/>
              </w:rPr>
              <w:t>配套设置</w:t>
            </w:r>
            <w:r>
              <w:rPr>
                <w:rFonts w:hint="default" w:ascii="Times New Roman" w:hAnsi="Times New Roman" w:eastAsia="宋体" w:cs="Times New Roman"/>
                <w:color w:val="auto"/>
                <w:sz w:val="24"/>
                <w:szCs w:val="24"/>
                <w:highlight w:val="none"/>
              </w:rPr>
              <w:t>环保措施，环境影响及环境风险可控。</w:t>
            </w:r>
          </w:p>
          <w:p>
            <w:pPr>
              <w:keepNext w:val="0"/>
              <w:keepLines w:val="0"/>
              <w:suppressLineNumbers w:val="0"/>
              <w:shd w:val="clear"/>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rPr>
            </w:pPr>
            <w:r>
              <w:rPr>
                <w:rFonts w:hint="default" w:ascii="Times New Roman" w:hAnsi="Times New Roman" w:eastAsia="宋体" w:cs="Times New Roman"/>
                <w:color w:val="auto"/>
                <w:sz w:val="24"/>
                <w:szCs w:val="24"/>
                <w:highlight w:val="none"/>
              </w:rPr>
              <w:t>因此，本项目符合三线一单管控要求</w:t>
            </w:r>
            <w:r>
              <w:rPr>
                <w:rFonts w:hint="default" w:ascii="Times New Roman" w:hAnsi="Times New Roman" w:eastAsia="宋体" w:cs="Times New Roman"/>
                <w:color w:val="auto"/>
                <w:sz w:val="24"/>
                <w:szCs w:val="24"/>
                <w:highlight w:val="none"/>
                <w:lang w:eastAsia="zh-CN"/>
              </w:rPr>
              <w:t>。</w:t>
            </w:r>
          </w:p>
        </w:tc>
      </w:tr>
    </w:tbl>
    <w:p>
      <w:pPr>
        <w:pStyle w:val="16"/>
        <w:rPr>
          <w:rFonts w:hint="default" w:ascii="Times New Roman" w:hAnsi="Times New Roman" w:eastAsia="宋体" w:cs="Times New Roman"/>
          <w:color w:val="auto"/>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4"/>
        <w:bidi w:val="0"/>
        <w:rPr>
          <w:rFonts w:hint="default"/>
          <w:color w:val="auto"/>
        </w:rPr>
      </w:pPr>
      <w:r>
        <w:rPr>
          <w:rFonts w:hint="default"/>
          <w:color w:val="auto"/>
        </w:rPr>
        <w:t>二、建设项目工程分析</w:t>
      </w:r>
    </w:p>
    <w:tbl>
      <w:tblPr>
        <w:tblStyle w:val="17"/>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1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807" w:type="dxa"/>
            <w:vAlign w:val="center"/>
          </w:tcPr>
          <w:p>
            <w:pPr>
              <w:pStyle w:val="15"/>
              <w:adjustRightInd w:val="0"/>
              <w:snapToGrid w:val="0"/>
              <w:spacing w:before="0" w:beforeAutospacing="0" w:after="0" w:afterAutospacing="0"/>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Cs w:val="24"/>
              </w:rPr>
              <w:t>建设内容</w:t>
            </w:r>
          </w:p>
        </w:tc>
        <w:tc>
          <w:tcPr>
            <w:tcW w:w="8177" w:type="dxa"/>
          </w:tcPr>
          <w:p>
            <w:pPr>
              <w:bidi w:val="0"/>
              <w:rPr>
                <w:rFonts w:hint="default"/>
                <w:b/>
                <w:bCs/>
                <w:color w:val="auto"/>
                <w:lang w:val="en-US" w:eastAsia="zh-CN"/>
              </w:rPr>
            </w:pPr>
            <w:r>
              <w:rPr>
                <w:rFonts w:hint="eastAsia"/>
                <w:b/>
                <w:bCs/>
                <w:color w:val="auto"/>
                <w:lang w:val="en-US" w:eastAsia="zh-CN"/>
              </w:rPr>
              <w:t>1、项目建设背景</w:t>
            </w:r>
          </w:p>
          <w:p>
            <w:pPr>
              <w:bidi w:val="0"/>
              <w:rPr>
                <w:color w:val="auto"/>
              </w:rPr>
            </w:pPr>
            <w:r>
              <w:rPr>
                <w:rFonts w:hint="eastAsia"/>
                <w:color w:val="auto"/>
                <w:lang w:val="en-US" w:eastAsia="zh-CN"/>
              </w:rPr>
              <w:t>内蒙古美华科技发展有限公司是巴彦淖尔市一家处理废旧轮胎的环保企业，公司专门从事废旧轮胎回收，再生橡胶、橡胶制品的生产加工和销售。</w:t>
            </w:r>
          </w:p>
          <w:p>
            <w:pPr>
              <w:bidi w:val="0"/>
              <w:rPr>
                <w:rFonts w:hint="eastAsia"/>
                <w:color w:val="auto"/>
                <w:lang w:val="en-US" w:eastAsia="zh-CN"/>
              </w:rPr>
            </w:pPr>
            <w:r>
              <w:rPr>
                <w:rFonts w:hint="default" w:ascii="Times New Roman" w:hAnsi="Times New Roman" w:eastAsia="宋体" w:cs="Times New Roman"/>
                <w:b w:val="0"/>
                <w:bCs w:val="0"/>
                <w:color w:val="auto"/>
              </w:rPr>
              <w:t>在内蒙古巴彦淖尔市乌拉特前旗工业园区</w:t>
            </w:r>
            <w:r>
              <w:rPr>
                <w:rFonts w:hint="eastAsia" w:ascii="Times New Roman" w:hAnsi="Times New Roman" w:eastAsia="宋体" w:cs="Times New Roman"/>
                <w:b w:val="0"/>
                <w:bCs w:val="0"/>
                <w:color w:val="auto"/>
                <w:lang w:eastAsia="zh-CN"/>
              </w:rPr>
              <w:t>建成</w:t>
            </w:r>
            <w:r>
              <w:rPr>
                <w:rFonts w:hint="default" w:ascii="Times New Roman" w:hAnsi="Times New Roman" w:eastAsia="宋体" w:cs="Times New Roman"/>
                <w:b w:val="0"/>
                <w:bCs w:val="0"/>
                <w:color w:val="auto"/>
              </w:rPr>
              <w:t>年产6万吨再生胶、2万吨胶板、2万吨汽车垫、210万</w:t>
            </w:r>
            <w:r>
              <w:rPr>
                <w:rFonts w:hint="eastAsia" w:cs="Times New Roman"/>
                <w:b w:val="0"/>
                <w:bCs w:val="0"/>
                <w:color w:val="auto"/>
                <w:lang w:val="en-US" w:eastAsia="zh-CN"/>
              </w:rPr>
              <w:t>m</w:t>
            </w:r>
            <w:r>
              <w:rPr>
                <w:rFonts w:hint="eastAsia" w:cs="Times New Roman"/>
                <w:b w:val="0"/>
                <w:bCs w:val="0"/>
                <w:color w:val="auto"/>
                <w:vertAlign w:val="superscript"/>
                <w:lang w:val="en-US" w:eastAsia="zh-CN"/>
              </w:rPr>
              <w:t>2</w:t>
            </w:r>
            <w:r>
              <w:rPr>
                <w:rFonts w:hint="default" w:ascii="Times New Roman" w:hAnsi="Times New Roman" w:eastAsia="宋体" w:cs="Times New Roman"/>
                <w:b w:val="0"/>
                <w:bCs w:val="0"/>
                <w:color w:val="auto"/>
              </w:rPr>
              <w:t>输送带项目</w:t>
            </w:r>
            <w:r>
              <w:rPr>
                <w:rFonts w:hint="default" w:ascii="Times New Roman" w:hAnsi="Times New Roman" w:eastAsia="宋体" w:cs="Times New Roman"/>
                <w:b w:val="0"/>
                <w:bCs w:val="0"/>
                <w:color w:val="auto"/>
                <w:lang w:eastAsia="zh-CN"/>
              </w:rPr>
              <w:t>。</w:t>
            </w:r>
            <w:r>
              <w:rPr>
                <w:rFonts w:hint="eastAsia" w:ascii="Times New Roman" w:hAnsi="Times New Roman" w:cs="Times New Roman"/>
                <w:b w:val="0"/>
                <w:bCs w:val="0"/>
                <w:color w:val="auto"/>
                <w:lang w:eastAsia="zh-CN"/>
              </w:rPr>
              <w:t>该项目分为两期进行建设，一期工程建设内容主要</w:t>
            </w:r>
            <w:r>
              <w:rPr>
                <w:rFonts w:hint="eastAsia" w:cs="Times New Roman"/>
                <w:b w:val="0"/>
                <w:bCs w:val="0"/>
                <w:color w:val="auto"/>
                <w:lang w:eastAsia="zh-CN"/>
              </w:rPr>
              <w:t>包括</w:t>
            </w:r>
            <w:r>
              <w:rPr>
                <w:rFonts w:hint="eastAsia" w:ascii="Times New Roman" w:hAnsi="Times New Roman" w:cs="Times New Roman"/>
                <w:b w:val="0"/>
                <w:bCs w:val="0"/>
                <w:color w:val="auto"/>
                <w:lang w:val="en-US" w:eastAsia="zh-CN"/>
              </w:rPr>
              <w:t>产能</w:t>
            </w:r>
            <w:r>
              <w:rPr>
                <w:rFonts w:hint="eastAsia" w:cs="Times New Roman"/>
                <w:b w:val="0"/>
                <w:bCs w:val="0"/>
                <w:color w:val="auto"/>
                <w:lang w:val="en-US" w:eastAsia="zh-CN"/>
              </w:rPr>
              <w:t>为6</w:t>
            </w:r>
            <w:r>
              <w:rPr>
                <w:rFonts w:hint="eastAsia" w:ascii="Times New Roman" w:hAnsi="Times New Roman" w:cs="Times New Roman"/>
                <w:b w:val="0"/>
                <w:bCs w:val="0"/>
                <w:color w:val="auto"/>
                <w:lang w:val="en-US" w:eastAsia="zh-CN"/>
              </w:rPr>
              <w:t>万吨</w:t>
            </w:r>
            <w:r>
              <w:rPr>
                <w:rFonts w:hint="eastAsia" w:cs="Times New Roman"/>
                <w:b w:val="0"/>
                <w:bCs w:val="0"/>
                <w:color w:val="auto"/>
                <w:lang w:val="en-US" w:eastAsia="zh-CN"/>
              </w:rPr>
              <w:t>的</w:t>
            </w:r>
            <w:r>
              <w:rPr>
                <w:rFonts w:hint="eastAsia" w:ascii="Times New Roman" w:hAnsi="Times New Roman" w:cs="Times New Roman"/>
                <w:b w:val="0"/>
                <w:bCs w:val="0"/>
                <w:color w:val="auto"/>
                <w:lang w:val="en-US" w:eastAsia="zh-CN"/>
              </w:rPr>
              <w:t>再生胶粉生产线</w:t>
            </w:r>
            <w:r>
              <w:rPr>
                <w:rFonts w:hint="eastAsia" w:cs="Times New Roman"/>
                <w:b w:val="0"/>
                <w:bCs w:val="0"/>
                <w:color w:val="auto"/>
                <w:lang w:val="en-US" w:eastAsia="zh-CN"/>
              </w:rPr>
              <w:t>以及</w:t>
            </w:r>
            <w:r>
              <w:rPr>
                <w:rFonts w:hint="eastAsia" w:ascii="Times New Roman" w:hAnsi="Times New Roman" w:cs="Times New Roman"/>
                <w:b w:val="0"/>
                <w:bCs w:val="0"/>
                <w:color w:val="auto"/>
                <w:lang w:val="en-US" w:eastAsia="zh-CN"/>
              </w:rPr>
              <w:t>产能</w:t>
            </w:r>
            <w:r>
              <w:rPr>
                <w:rFonts w:hint="eastAsia" w:cs="Times New Roman"/>
                <w:b w:val="0"/>
                <w:bCs w:val="0"/>
                <w:color w:val="auto"/>
                <w:lang w:val="en-US" w:eastAsia="zh-CN"/>
              </w:rPr>
              <w:t>为</w:t>
            </w:r>
            <w:r>
              <w:rPr>
                <w:rFonts w:hint="eastAsia" w:ascii="Times New Roman" w:hAnsi="Times New Roman" w:cs="Times New Roman"/>
                <w:b w:val="0"/>
                <w:bCs w:val="0"/>
                <w:color w:val="auto"/>
                <w:lang w:val="en-US" w:eastAsia="zh-CN"/>
              </w:rPr>
              <w:t>2万吨</w:t>
            </w:r>
            <w:r>
              <w:rPr>
                <w:rFonts w:hint="eastAsia" w:cs="Times New Roman"/>
                <w:b w:val="0"/>
                <w:bCs w:val="0"/>
                <w:color w:val="auto"/>
                <w:lang w:val="en-US" w:eastAsia="zh-CN"/>
              </w:rPr>
              <w:t>的</w:t>
            </w:r>
            <w:r>
              <w:rPr>
                <w:rFonts w:hint="eastAsia" w:ascii="Times New Roman" w:hAnsi="Times New Roman" w:cs="Times New Roman"/>
                <w:b w:val="0"/>
                <w:bCs w:val="0"/>
                <w:color w:val="auto"/>
                <w:lang w:val="en-US" w:eastAsia="zh-CN"/>
              </w:rPr>
              <w:t>胶板生产线的主体工程、公辅工程</w:t>
            </w:r>
            <w:r>
              <w:rPr>
                <w:rFonts w:hint="eastAsia" w:cs="Times New Roman"/>
                <w:b w:val="0"/>
                <w:bCs w:val="0"/>
                <w:color w:val="auto"/>
                <w:lang w:val="en-US" w:eastAsia="zh-CN"/>
              </w:rPr>
              <w:t>和</w:t>
            </w:r>
            <w:r>
              <w:rPr>
                <w:rFonts w:hint="eastAsia" w:ascii="Times New Roman" w:hAnsi="Times New Roman" w:cs="Times New Roman"/>
                <w:b w:val="0"/>
                <w:bCs w:val="0"/>
                <w:color w:val="auto"/>
                <w:lang w:val="en-US" w:eastAsia="zh-CN"/>
              </w:rPr>
              <w:t>配套的环保工程，并在2022年2月完成了自主验收。二期工程尚未开工建设</w:t>
            </w:r>
            <w:r>
              <w:rPr>
                <w:rFonts w:hint="eastAsia" w:cs="Times New Roman"/>
                <w:b w:val="0"/>
                <w:bCs w:val="0"/>
                <w:color w:val="auto"/>
                <w:lang w:val="en-US" w:eastAsia="zh-CN"/>
              </w:rPr>
              <w:t>，且企业决定不再建设二期工程项目</w:t>
            </w:r>
            <w:r>
              <w:rPr>
                <w:rFonts w:hint="eastAsia" w:ascii="Times New Roman" w:hAnsi="Times New Roman" w:cs="Times New Roman"/>
                <w:b w:val="0"/>
                <w:bCs w:val="0"/>
                <w:color w:val="auto"/>
                <w:lang w:val="en-US" w:eastAsia="zh-CN"/>
              </w:rPr>
              <w:t>。</w:t>
            </w:r>
            <w:r>
              <w:rPr>
                <w:rFonts w:hint="eastAsia"/>
                <w:color w:val="auto"/>
                <w:lang w:val="en-US" w:eastAsia="zh-CN"/>
              </w:rPr>
              <w:t>原有工程胶粉为外购。</w:t>
            </w:r>
          </w:p>
          <w:p>
            <w:pPr>
              <w:bidi w:val="0"/>
              <w:rPr>
                <w:rFonts w:hint="eastAsia"/>
                <w:color w:val="auto"/>
                <w:lang w:val="en-US" w:eastAsia="zh-CN"/>
              </w:rPr>
            </w:pPr>
            <w:r>
              <w:rPr>
                <w:rFonts w:hint="eastAsia"/>
                <w:color w:val="auto"/>
                <w:lang w:val="en-US" w:eastAsia="zh-CN"/>
              </w:rPr>
              <w:t>目前受疫情影响，导致原材料、劳动力等生产要素流通受阻，物流、生产、销售等正常经营活动将受到严重干扰。企业决定自行生产胶粉</w:t>
            </w:r>
            <w:r>
              <w:rPr>
                <w:rFonts w:hint="eastAsia" w:cs="Times New Roman"/>
                <w:b w:val="0"/>
                <w:bCs w:val="0"/>
                <w:color w:val="auto"/>
                <w:lang w:eastAsia="zh-CN"/>
              </w:rPr>
              <w:t>。</w:t>
            </w:r>
            <w:r>
              <w:rPr>
                <w:rFonts w:hint="eastAsia"/>
                <w:color w:val="auto"/>
                <w:lang w:val="en-US" w:eastAsia="zh-CN"/>
              </w:rPr>
              <w:t>根据2019年11月乌拉特前旗工业和信息化局出具的《年产6万吨再生胶、2万吨胶板、2万吨汽车垫项目》备案变更意见表，本次扩建项目生产工艺与备案表中“破碎”工艺相符合。</w:t>
            </w:r>
          </w:p>
          <w:p>
            <w:pPr>
              <w:bidi w:val="0"/>
              <w:rPr>
                <w:rFonts w:hint="eastAsia"/>
                <w:b/>
                <w:bCs/>
                <w:color w:val="auto"/>
                <w:lang w:val="en-US" w:eastAsia="zh-CN"/>
              </w:rPr>
            </w:pPr>
            <w:r>
              <w:rPr>
                <w:rFonts w:hint="eastAsia"/>
                <w:b/>
                <w:bCs/>
                <w:color w:val="auto"/>
                <w:lang w:val="en-US" w:eastAsia="zh-CN"/>
              </w:rPr>
              <w:t>2、现有工程概况</w:t>
            </w:r>
          </w:p>
          <w:p>
            <w:pPr>
              <w:bidi w:val="0"/>
              <w:rPr>
                <w:rFonts w:hint="default"/>
                <w:b/>
                <w:bCs/>
                <w:color w:val="auto"/>
                <w:lang w:val="en-US" w:eastAsia="zh-CN"/>
              </w:rPr>
            </w:pPr>
            <w:r>
              <w:rPr>
                <w:rFonts w:hint="eastAsia"/>
                <w:b/>
                <w:bCs/>
                <w:color w:val="auto"/>
                <w:lang w:val="en-US" w:eastAsia="zh-CN"/>
              </w:rPr>
              <w:t>2.1现有工程建设内容及建设规模</w:t>
            </w:r>
          </w:p>
          <w:p>
            <w:pPr>
              <w:bidi w:val="0"/>
              <w:rPr>
                <w:rFonts w:hint="eastAsia"/>
                <w:color w:val="auto"/>
                <w:lang w:val="en-US" w:eastAsia="zh-CN"/>
              </w:rPr>
            </w:pPr>
            <w:r>
              <w:rPr>
                <w:rFonts w:hint="eastAsia"/>
                <w:color w:val="auto"/>
                <w:lang w:val="en-US" w:eastAsia="zh-CN"/>
              </w:rPr>
              <w:t>（1）现有工程概况</w:t>
            </w:r>
          </w:p>
          <w:p>
            <w:pPr>
              <w:pStyle w:val="7"/>
              <w:adjustRightInd w:val="0"/>
              <w:snapToGrid w:val="0"/>
              <w:ind w:firstLine="482"/>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rPr>
              <w:t>内蒙古美华科技发展有限公司为了</w:t>
            </w:r>
            <w:r>
              <w:rPr>
                <w:rFonts w:hint="eastAsia" w:cs="Times New Roman"/>
                <w:b w:val="0"/>
                <w:bCs w:val="0"/>
                <w:color w:val="auto"/>
                <w:lang w:eastAsia="zh-CN"/>
              </w:rPr>
              <w:t>遵循</w:t>
            </w:r>
            <w:r>
              <w:rPr>
                <w:rFonts w:hint="default" w:ascii="Times New Roman" w:hAnsi="Times New Roman" w:eastAsia="宋体" w:cs="Times New Roman"/>
                <w:b w:val="0"/>
                <w:bCs w:val="0"/>
                <w:color w:val="auto"/>
              </w:rPr>
              <w:t>国家循环发展经济的产业政策，在内蒙古巴彦淖尔市乌拉特前旗工业园区筹建了内蒙古美华科技发展有限公司年产6万吨再生胶、2万吨胶板、2万吨汽车垫、210万</w:t>
            </w:r>
            <w:r>
              <w:rPr>
                <w:rFonts w:hint="eastAsia" w:cs="Times New Roman"/>
                <w:b w:val="0"/>
                <w:bCs w:val="0"/>
                <w:color w:val="auto"/>
                <w:lang w:val="en-US" w:eastAsia="zh-CN"/>
              </w:rPr>
              <w:t>m</w:t>
            </w:r>
            <w:r>
              <w:rPr>
                <w:rFonts w:hint="eastAsia" w:cs="Times New Roman"/>
                <w:b w:val="0"/>
                <w:bCs w:val="0"/>
                <w:color w:val="auto"/>
                <w:vertAlign w:val="superscript"/>
                <w:lang w:val="en-US" w:eastAsia="zh-CN"/>
              </w:rPr>
              <w:t>2</w:t>
            </w:r>
            <w:r>
              <w:rPr>
                <w:rFonts w:hint="default" w:ascii="Times New Roman" w:hAnsi="Times New Roman" w:eastAsia="宋体" w:cs="Times New Roman"/>
                <w:b w:val="0"/>
                <w:bCs w:val="0"/>
                <w:color w:val="auto"/>
              </w:rPr>
              <w:t>输送带项目</w:t>
            </w:r>
            <w:r>
              <w:rPr>
                <w:rFonts w:hint="default" w:ascii="Times New Roman" w:hAnsi="Times New Roman" w:eastAsia="宋体" w:cs="Times New Roman"/>
                <w:b w:val="0"/>
                <w:bCs w:val="0"/>
                <w:color w:val="auto"/>
                <w:lang w:eastAsia="zh-CN"/>
              </w:rPr>
              <w:t>。</w:t>
            </w:r>
            <w:r>
              <w:rPr>
                <w:rFonts w:hint="eastAsia" w:ascii="Times New Roman" w:hAnsi="Times New Roman" w:cs="Times New Roman"/>
                <w:b w:val="0"/>
                <w:bCs w:val="0"/>
                <w:color w:val="auto"/>
                <w:lang w:eastAsia="zh-CN"/>
              </w:rPr>
              <w:t>该项目分为两期进行建设，一期工程建设内容主要</w:t>
            </w:r>
            <w:r>
              <w:rPr>
                <w:rFonts w:hint="eastAsia" w:cs="Times New Roman"/>
                <w:b w:val="0"/>
                <w:bCs w:val="0"/>
                <w:color w:val="auto"/>
                <w:lang w:eastAsia="zh-CN"/>
              </w:rPr>
              <w:t>包括</w:t>
            </w:r>
            <w:r>
              <w:rPr>
                <w:rFonts w:hint="eastAsia" w:ascii="Times New Roman" w:hAnsi="Times New Roman" w:cs="Times New Roman"/>
                <w:b w:val="0"/>
                <w:bCs w:val="0"/>
                <w:color w:val="auto"/>
                <w:lang w:val="en-US" w:eastAsia="zh-CN"/>
              </w:rPr>
              <w:t>产能</w:t>
            </w:r>
            <w:r>
              <w:rPr>
                <w:rFonts w:hint="eastAsia" w:cs="Times New Roman"/>
                <w:b w:val="0"/>
                <w:bCs w:val="0"/>
                <w:color w:val="auto"/>
                <w:lang w:val="en-US" w:eastAsia="zh-CN"/>
              </w:rPr>
              <w:t>为6</w:t>
            </w:r>
            <w:r>
              <w:rPr>
                <w:rFonts w:hint="eastAsia" w:ascii="Times New Roman" w:hAnsi="Times New Roman" w:cs="Times New Roman"/>
                <w:b w:val="0"/>
                <w:bCs w:val="0"/>
                <w:color w:val="auto"/>
                <w:lang w:val="en-US" w:eastAsia="zh-CN"/>
              </w:rPr>
              <w:t>万吨</w:t>
            </w:r>
            <w:r>
              <w:rPr>
                <w:rFonts w:hint="eastAsia" w:cs="Times New Roman"/>
                <w:b w:val="0"/>
                <w:bCs w:val="0"/>
                <w:color w:val="auto"/>
                <w:lang w:val="en-US" w:eastAsia="zh-CN"/>
              </w:rPr>
              <w:t>的</w:t>
            </w:r>
            <w:r>
              <w:rPr>
                <w:rFonts w:hint="eastAsia" w:ascii="Times New Roman" w:hAnsi="Times New Roman" w:cs="Times New Roman"/>
                <w:b w:val="0"/>
                <w:bCs w:val="0"/>
                <w:color w:val="auto"/>
                <w:lang w:val="en-US" w:eastAsia="zh-CN"/>
              </w:rPr>
              <w:t>再生胶粉生产线</w:t>
            </w:r>
            <w:r>
              <w:rPr>
                <w:rFonts w:hint="eastAsia" w:cs="Times New Roman"/>
                <w:b w:val="0"/>
                <w:bCs w:val="0"/>
                <w:color w:val="auto"/>
                <w:lang w:val="en-US" w:eastAsia="zh-CN"/>
              </w:rPr>
              <w:t>以及</w:t>
            </w:r>
            <w:r>
              <w:rPr>
                <w:rFonts w:hint="eastAsia" w:ascii="Times New Roman" w:hAnsi="Times New Roman" w:cs="Times New Roman"/>
                <w:b w:val="0"/>
                <w:bCs w:val="0"/>
                <w:color w:val="auto"/>
                <w:lang w:val="en-US" w:eastAsia="zh-CN"/>
              </w:rPr>
              <w:t>产能</w:t>
            </w:r>
            <w:r>
              <w:rPr>
                <w:rFonts w:hint="eastAsia" w:cs="Times New Roman"/>
                <w:b w:val="0"/>
                <w:bCs w:val="0"/>
                <w:color w:val="auto"/>
                <w:lang w:val="en-US" w:eastAsia="zh-CN"/>
              </w:rPr>
              <w:t>为</w:t>
            </w:r>
            <w:r>
              <w:rPr>
                <w:rFonts w:hint="eastAsia" w:ascii="Times New Roman" w:hAnsi="Times New Roman" w:cs="Times New Roman"/>
                <w:b w:val="0"/>
                <w:bCs w:val="0"/>
                <w:color w:val="auto"/>
                <w:lang w:val="en-US" w:eastAsia="zh-CN"/>
              </w:rPr>
              <w:t>2万吨</w:t>
            </w:r>
            <w:r>
              <w:rPr>
                <w:rFonts w:hint="eastAsia" w:cs="Times New Roman"/>
                <w:b w:val="0"/>
                <w:bCs w:val="0"/>
                <w:color w:val="auto"/>
                <w:lang w:val="en-US" w:eastAsia="zh-CN"/>
              </w:rPr>
              <w:t>的</w:t>
            </w:r>
            <w:r>
              <w:rPr>
                <w:rFonts w:hint="eastAsia" w:ascii="Times New Roman" w:hAnsi="Times New Roman" w:cs="Times New Roman"/>
                <w:b w:val="0"/>
                <w:bCs w:val="0"/>
                <w:color w:val="auto"/>
                <w:lang w:val="en-US" w:eastAsia="zh-CN"/>
              </w:rPr>
              <w:t>胶板生产线的主体工程、公辅工程</w:t>
            </w:r>
            <w:r>
              <w:rPr>
                <w:rFonts w:hint="eastAsia" w:cs="Times New Roman"/>
                <w:b w:val="0"/>
                <w:bCs w:val="0"/>
                <w:color w:val="auto"/>
                <w:lang w:val="en-US" w:eastAsia="zh-CN"/>
              </w:rPr>
              <w:t>和</w:t>
            </w:r>
            <w:r>
              <w:rPr>
                <w:rFonts w:hint="eastAsia" w:ascii="Times New Roman" w:hAnsi="Times New Roman" w:cs="Times New Roman"/>
                <w:b w:val="0"/>
                <w:bCs w:val="0"/>
                <w:color w:val="auto"/>
                <w:lang w:val="en-US" w:eastAsia="zh-CN"/>
              </w:rPr>
              <w:t>配套的环保工程，并在2022年2月完成了自主验收。二期工程尚未开工建设</w:t>
            </w:r>
            <w:r>
              <w:rPr>
                <w:rFonts w:hint="eastAsia" w:cs="Times New Roman"/>
                <w:b w:val="0"/>
                <w:bCs w:val="0"/>
                <w:color w:val="auto"/>
                <w:lang w:val="en-US" w:eastAsia="zh-CN"/>
              </w:rPr>
              <w:t>，且企业决定不再建设二期工程项目</w:t>
            </w:r>
            <w:r>
              <w:rPr>
                <w:rFonts w:hint="eastAsia" w:ascii="Times New Roman" w:hAnsi="Times New Roman" w:cs="Times New Roman"/>
                <w:b w:val="0"/>
                <w:bCs w:val="0"/>
                <w:color w:val="auto"/>
                <w:lang w:val="en-US" w:eastAsia="zh-CN"/>
              </w:rPr>
              <w:t>。</w:t>
            </w:r>
          </w:p>
          <w:p>
            <w:pPr>
              <w:bidi w:val="0"/>
              <w:rPr>
                <w:rFonts w:hint="eastAsia"/>
                <w:color w:val="auto"/>
                <w:lang w:val="en-US" w:eastAsia="zh-CN"/>
              </w:rPr>
            </w:pPr>
            <w:r>
              <w:rPr>
                <w:rFonts w:hint="eastAsia"/>
                <w:color w:val="auto"/>
                <w:lang w:val="en-US" w:eastAsia="zh-CN"/>
              </w:rPr>
              <w:t>（2）现有工程建设规模</w:t>
            </w:r>
          </w:p>
          <w:p>
            <w:pPr>
              <w:bidi w:val="0"/>
              <w:rPr>
                <w:rFonts w:hint="default"/>
                <w:color w:val="auto"/>
                <w:lang w:val="en-US" w:eastAsia="zh-CN"/>
              </w:rPr>
            </w:pPr>
            <w:r>
              <w:rPr>
                <w:rFonts w:hint="eastAsia"/>
                <w:color w:val="auto"/>
                <w:lang w:val="en-US" w:eastAsia="zh-CN"/>
              </w:rPr>
              <w:t>现有工程生产规模为年产再生胶6万吨，胶板2万吨。产品方案及规模见下表5。</w:t>
            </w:r>
          </w:p>
          <w:p>
            <w:pPr>
              <w:bidi w:val="0"/>
              <w:jc w:val="center"/>
              <w:rPr>
                <w:rFonts w:hint="eastAsia"/>
                <w:b/>
                <w:bCs/>
                <w:color w:val="auto"/>
                <w:lang w:val="en-US" w:eastAsia="zh-CN"/>
              </w:rPr>
            </w:pPr>
          </w:p>
          <w:p>
            <w:pPr>
              <w:bidi w:val="0"/>
              <w:jc w:val="center"/>
              <w:rPr>
                <w:rFonts w:hint="default"/>
                <w:b/>
                <w:bCs/>
                <w:color w:val="auto"/>
                <w:lang w:val="en-US" w:eastAsia="zh-CN"/>
              </w:rPr>
            </w:pPr>
            <w:r>
              <w:rPr>
                <w:rFonts w:hint="eastAsia"/>
                <w:b/>
                <w:bCs/>
                <w:color w:val="auto"/>
                <w:lang w:val="en-US" w:eastAsia="zh-CN"/>
              </w:rPr>
              <w:t>表5  现有工程产品方案及规模一览表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509"/>
              <w:gridCol w:w="1686"/>
              <w:gridCol w:w="1442"/>
              <w:gridCol w:w="329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5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名称</w:t>
                  </w:r>
                </w:p>
              </w:tc>
              <w:tc>
                <w:tcPr>
                  <w:tcW w:w="106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highlight w:val="none"/>
                      <w:vertAlign w:val="baseline"/>
                      <w:lang w:val="en-US" w:eastAsia="zh-CN" w:bidi="zh-CN"/>
                    </w:rPr>
                  </w:pPr>
                  <w:r>
                    <w:rPr>
                      <w:rFonts w:hint="eastAsia"/>
                      <w:b/>
                      <w:bCs/>
                      <w:color w:val="auto"/>
                      <w:sz w:val="21"/>
                      <w:szCs w:val="21"/>
                      <w:highlight w:val="none"/>
                      <w:vertAlign w:val="baseline"/>
                      <w:lang w:val="en-US" w:eastAsia="zh-CN"/>
                    </w:rPr>
                    <w:t>产量</w:t>
                  </w:r>
                </w:p>
              </w:tc>
              <w:tc>
                <w:tcPr>
                  <w:tcW w:w="91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highlight w:val="none"/>
                      <w:vertAlign w:val="baseline"/>
                      <w:lang w:val="en-US" w:eastAsia="zh-CN" w:bidi="zh-CN"/>
                    </w:rPr>
                  </w:pPr>
                  <w:r>
                    <w:rPr>
                      <w:rFonts w:hint="eastAsia" w:ascii="Times New Roman" w:hAnsi="Times New Roman" w:eastAsia="宋体" w:cs="Times New Roman"/>
                      <w:b/>
                      <w:bCs/>
                      <w:color w:val="auto"/>
                      <w:sz w:val="21"/>
                      <w:szCs w:val="21"/>
                      <w:highlight w:val="none"/>
                      <w:vertAlign w:val="baseline"/>
                      <w:lang w:val="en-US" w:eastAsia="zh-CN" w:bidi="zh-CN"/>
                    </w:rPr>
                    <w:t>单位</w:t>
                  </w:r>
                </w:p>
              </w:tc>
              <w:tc>
                <w:tcPr>
                  <w:tcW w:w="207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去向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5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再生胶</w:t>
                  </w:r>
                </w:p>
              </w:tc>
              <w:tc>
                <w:tcPr>
                  <w:tcW w:w="106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6</w:t>
                  </w:r>
                </w:p>
              </w:tc>
              <w:tc>
                <w:tcPr>
                  <w:tcW w:w="91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万t/a</w:t>
                  </w:r>
                </w:p>
              </w:tc>
              <w:tc>
                <w:tcPr>
                  <w:tcW w:w="207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再生胶产量的2/3用于企业自行生产胶板，再生胶产量的1/3外售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5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胶板</w:t>
                  </w:r>
                </w:p>
              </w:tc>
              <w:tc>
                <w:tcPr>
                  <w:tcW w:w="106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w:t>
                  </w:r>
                </w:p>
              </w:tc>
              <w:tc>
                <w:tcPr>
                  <w:tcW w:w="91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万t/a</w:t>
                  </w:r>
                </w:p>
              </w:tc>
              <w:tc>
                <w:tcPr>
                  <w:tcW w:w="207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外售</w:t>
                  </w:r>
                </w:p>
              </w:tc>
            </w:tr>
          </w:tbl>
          <w:p>
            <w:pPr>
              <w:bidi w:val="0"/>
              <w:rPr>
                <w:rFonts w:hint="eastAsia"/>
                <w:color w:val="auto"/>
                <w:lang w:val="en-US" w:eastAsia="zh-CN"/>
              </w:rPr>
            </w:pPr>
            <w:r>
              <w:rPr>
                <w:rFonts w:hint="eastAsia"/>
                <w:color w:val="auto"/>
                <w:lang w:val="en-US" w:eastAsia="zh-CN"/>
              </w:rPr>
              <w:t>（3）现有工程组成内容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现有工程主要建设内容包括主体工程、公用工程、辅助工程、储运工程以及配套的环保工程。其项目组成情况见下表6。</w:t>
            </w:r>
          </w:p>
          <w:p>
            <w:pPr>
              <w:bidi w:val="0"/>
              <w:jc w:val="center"/>
              <w:rPr>
                <w:rFonts w:hint="default"/>
                <w:b/>
                <w:bCs/>
                <w:color w:val="auto"/>
                <w:lang w:val="en-US" w:eastAsia="zh-CN"/>
              </w:rPr>
            </w:pPr>
            <w:r>
              <w:rPr>
                <w:rFonts w:hint="eastAsia"/>
                <w:b/>
                <w:bCs/>
                <w:color w:val="auto"/>
                <w:lang w:val="en-US" w:eastAsia="zh-CN"/>
              </w:rPr>
              <w:t>表6  现有工程组成一览表</w:t>
            </w:r>
          </w:p>
          <w:tbl>
            <w:tblPr>
              <w:tblStyle w:val="18"/>
              <w:tblW w:w="7961"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55"/>
              <w:gridCol w:w="586"/>
              <w:gridCol w:w="446"/>
              <w:gridCol w:w="4665"/>
              <w:gridCol w:w="180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2" w:hRule="atLeast"/>
              </w:trPr>
              <w:tc>
                <w:tcPr>
                  <w:tcW w:w="4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Hans"/>
                    </w:rPr>
                  </w:pPr>
                  <w:r>
                    <w:rPr>
                      <w:rFonts w:hint="default"/>
                      <w:b/>
                      <w:bCs/>
                      <w:color w:val="auto"/>
                      <w:sz w:val="21"/>
                      <w:szCs w:val="21"/>
                      <w:lang w:eastAsia="zh-Hans"/>
                    </w:rPr>
                    <w:t>类别</w:t>
                  </w: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1"/>
                      <w:szCs w:val="21"/>
                      <w:lang w:eastAsia="zh-CN"/>
                    </w:rPr>
                  </w:pPr>
                  <w:r>
                    <w:rPr>
                      <w:rFonts w:hint="eastAsia"/>
                      <w:b/>
                      <w:bCs/>
                      <w:color w:val="auto"/>
                      <w:sz w:val="21"/>
                      <w:szCs w:val="21"/>
                      <w:lang w:eastAsia="zh-CN"/>
                    </w:rPr>
                    <w:t>名称</w:t>
                  </w:r>
                </w:p>
              </w:tc>
              <w:tc>
                <w:tcPr>
                  <w:tcW w:w="46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Hans"/>
                    </w:rPr>
                  </w:pPr>
                  <w:r>
                    <w:rPr>
                      <w:rFonts w:hint="default"/>
                      <w:b/>
                      <w:bCs/>
                      <w:color w:val="auto"/>
                      <w:sz w:val="21"/>
                      <w:szCs w:val="21"/>
                      <w:lang w:eastAsia="zh-Hans"/>
                    </w:rPr>
                    <w:t>建设内容</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Hans"/>
                    </w:rPr>
                  </w:pPr>
                  <w:r>
                    <w:rPr>
                      <w:rFonts w:hint="default"/>
                      <w:b/>
                      <w:bCs/>
                      <w:color w:val="auto"/>
                      <w:sz w:val="21"/>
                      <w:szCs w:val="21"/>
                      <w:lang w:eastAsia="zh-Hans"/>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2" w:hRule="atLeast"/>
              </w:trPr>
              <w:tc>
                <w:tcPr>
                  <w:tcW w:w="45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Hans"/>
                    </w:rPr>
                    <w:t>主体工程</w:t>
                  </w: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val="en-US" w:eastAsia="zh-CN"/>
                    </w:rPr>
                    <w:t>再生胶车间</w:t>
                  </w:r>
                </w:p>
              </w:tc>
              <w:tc>
                <w:tcPr>
                  <w:tcW w:w="4665" w:type="dxa"/>
                  <w:tcBorders>
                    <w:tl2br w:val="nil"/>
                    <w:tr2bl w:val="nil"/>
                  </w:tcBorders>
                  <w:vAlign w:val="center"/>
                </w:tcPr>
                <w:p>
                  <w:pPr>
                    <w:bidi w:val="0"/>
                    <w:spacing w:line="240" w:lineRule="auto"/>
                    <w:rPr>
                      <w:rFonts w:hint="default"/>
                      <w:color w:val="auto"/>
                      <w:sz w:val="21"/>
                      <w:szCs w:val="21"/>
                    </w:rPr>
                  </w:pPr>
                  <w:r>
                    <w:rPr>
                      <w:color w:val="auto"/>
                      <w:sz w:val="21"/>
                      <w:szCs w:val="21"/>
                    </w:rPr>
                    <w:t>建设1座 5184m</w:t>
                  </w:r>
                  <w:r>
                    <w:rPr>
                      <w:rFonts w:hint="eastAsia"/>
                      <w:color w:val="auto"/>
                      <w:sz w:val="21"/>
                      <w:szCs w:val="21"/>
                      <w:vertAlign w:val="superscript"/>
                      <w:lang w:val="en-US" w:eastAsia="zh-CN"/>
                    </w:rPr>
                    <w:t>2</w:t>
                  </w:r>
                  <w:r>
                    <w:rPr>
                      <w:color w:val="auto"/>
                      <w:sz w:val="21"/>
                      <w:szCs w:val="21"/>
                      <w:vertAlign w:val="superscript"/>
                    </w:rPr>
                    <w:t xml:space="preserve"> </w:t>
                  </w:r>
                  <w:r>
                    <w:rPr>
                      <w:color w:val="auto"/>
                      <w:sz w:val="21"/>
                      <w:szCs w:val="21"/>
                    </w:rPr>
                    <w:t xml:space="preserve"> (72×72m) ，高 9. 3m 钢结构再生胶车间，位于厂区东侧，生产设备包括开炼机 12 台、精炼机 8 台、硫化罐 8 个。</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val="en-US" w:eastAsia="zh-CN"/>
                    </w:rPr>
                    <w:t>胶板</w:t>
                  </w:r>
                  <w:r>
                    <w:rPr>
                      <w:rFonts w:hint="default"/>
                      <w:color w:val="auto"/>
                      <w:sz w:val="21"/>
                      <w:szCs w:val="21"/>
                      <w:lang w:eastAsia="zh-CN"/>
                    </w:rPr>
                    <w:t>车间</w:t>
                  </w:r>
                </w:p>
              </w:tc>
              <w:tc>
                <w:tcPr>
                  <w:tcW w:w="4665" w:type="dxa"/>
                  <w:tcBorders>
                    <w:tl2br w:val="nil"/>
                    <w:tr2bl w:val="nil"/>
                  </w:tcBorders>
                  <w:vAlign w:val="center"/>
                </w:tcPr>
                <w:p>
                  <w:pPr>
                    <w:bidi w:val="0"/>
                    <w:spacing w:line="240" w:lineRule="auto"/>
                    <w:rPr>
                      <w:rFonts w:hint="default"/>
                      <w:color w:val="auto"/>
                      <w:sz w:val="21"/>
                      <w:szCs w:val="21"/>
                      <w:lang w:eastAsia="zh-Hans"/>
                    </w:rPr>
                  </w:pPr>
                  <w:r>
                    <w:rPr>
                      <w:rFonts w:hint="default"/>
                      <w:color w:val="auto"/>
                      <w:sz w:val="21"/>
                      <w:szCs w:val="21"/>
                    </w:rPr>
                    <w:t>建设1座 11502m</w:t>
                  </w:r>
                  <w:r>
                    <w:rPr>
                      <w:rFonts w:hint="default"/>
                      <w:color w:val="auto"/>
                      <w:sz w:val="21"/>
                      <w:szCs w:val="21"/>
                      <w:vertAlign w:val="superscript"/>
                    </w:rPr>
                    <w:t xml:space="preserve">2 </w:t>
                  </w:r>
                  <w:r>
                    <w:rPr>
                      <w:rFonts w:hint="default"/>
                      <w:color w:val="auto"/>
                      <w:sz w:val="21"/>
                      <w:szCs w:val="21"/>
                    </w:rPr>
                    <w:t>(162×72m) ，高 9.3m 钢结构胶板车间，位于厂区中部，内设 5 条胶板生产线，生产设备包括密炼机、开炼机、硫化机、 出型线、平板硫化机等。</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5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辅助工程</w:t>
                  </w: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default"/>
                      <w:color w:val="auto"/>
                      <w:sz w:val="21"/>
                      <w:szCs w:val="21"/>
                    </w:rPr>
                    <w:t>原料</w:t>
                  </w:r>
                  <w:r>
                    <w:rPr>
                      <w:rFonts w:hint="eastAsia"/>
                      <w:color w:val="auto"/>
                      <w:sz w:val="21"/>
                      <w:szCs w:val="21"/>
                      <w:lang w:eastAsia="zh-CN"/>
                    </w:rPr>
                    <w:t>储存区</w:t>
                  </w:r>
                </w:p>
              </w:tc>
              <w:tc>
                <w:tcPr>
                  <w:tcW w:w="4665" w:type="dxa"/>
                  <w:tcBorders>
                    <w:tl2br w:val="nil"/>
                    <w:tr2bl w:val="nil"/>
                  </w:tcBorders>
                  <w:vAlign w:val="center"/>
                </w:tcPr>
                <w:p>
                  <w:pPr>
                    <w:bidi w:val="0"/>
                    <w:spacing w:line="240" w:lineRule="auto"/>
                    <w:rPr>
                      <w:rFonts w:hint="default"/>
                      <w:color w:val="auto"/>
                      <w:sz w:val="21"/>
                      <w:szCs w:val="21"/>
                    </w:rPr>
                  </w:pPr>
                  <w:r>
                    <w:rPr>
                      <w:rFonts w:hint="default"/>
                      <w:color w:val="auto"/>
                      <w:sz w:val="21"/>
                      <w:szCs w:val="21"/>
                    </w:rPr>
                    <w:t>再生胶车间原料</w:t>
                  </w:r>
                  <w:r>
                    <w:rPr>
                      <w:rFonts w:hint="eastAsia"/>
                      <w:color w:val="auto"/>
                      <w:sz w:val="21"/>
                      <w:szCs w:val="21"/>
                      <w:lang w:eastAsia="zh-CN"/>
                    </w:rPr>
                    <w:t>储存区</w:t>
                  </w:r>
                  <w:r>
                    <w:rPr>
                      <w:rFonts w:hint="default"/>
                      <w:color w:val="auto"/>
                      <w:sz w:val="21"/>
                      <w:szCs w:val="21"/>
                    </w:rPr>
                    <w:t>紧邻再生胶车间东侧，胶板车间原料</w:t>
                  </w:r>
                  <w:r>
                    <w:rPr>
                      <w:rFonts w:hint="eastAsia"/>
                      <w:color w:val="auto"/>
                      <w:sz w:val="21"/>
                      <w:szCs w:val="21"/>
                      <w:lang w:eastAsia="zh-CN"/>
                    </w:rPr>
                    <w:t>储存区</w:t>
                  </w:r>
                  <w:r>
                    <w:rPr>
                      <w:rFonts w:hint="default"/>
                      <w:color w:val="auto"/>
                      <w:sz w:val="21"/>
                      <w:szCs w:val="21"/>
                    </w:rPr>
                    <w:t>位于胶板车间东南侧。</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default"/>
                      <w:color w:val="auto"/>
                      <w:sz w:val="21"/>
                      <w:szCs w:val="21"/>
                    </w:rPr>
                    <w:t>成品</w:t>
                  </w:r>
                  <w:r>
                    <w:rPr>
                      <w:rFonts w:hint="eastAsia"/>
                      <w:color w:val="auto"/>
                      <w:sz w:val="21"/>
                      <w:szCs w:val="21"/>
                      <w:lang w:eastAsia="zh-CN"/>
                    </w:rPr>
                    <w:t>区</w:t>
                  </w:r>
                </w:p>
              </w:tc>
              <w:tc>
                <w:tcPr>
                  <w:tcW w:w="4665" w:type="dxa"/>
                  <w:tcBorders>
                    <w:tl2br w:val="nil"/>
                    <w:tr2bl w:val="nil"/>
                  </w:tcBorders>
                  <w:vAlign w:val="center"/>
                </w:tcPr>
                <w:p>
                  <w:pPr>
                    <w:bidi w:val="0"/>
                    <w:spacing w:line="240" w:lineRule="auto"/>
                    <w:rPr>
                      <w:rFonts w:hint="eastAsia"/>
                      <w:color w:val="auto"/>
                      <w:sz w:val="21"/>
                      <w:szCs w:val="21"/>
                      <w:lang w:eastAsia="zh-CN"/>
                    </w:rPr>
                  </w:pPr>
                  <w:r>
                    <w:rPr>
                      <w:rFonts w:hint="eastAsia"/>
                      <w:color w:val="auto"/>
                      <w:sz w:val="21"/>
                      <w:szCs w:val="21"/>
                      <w:lang w:eastAsia="zh-CN"/>
                    </w:rPr>
                    <w:t>在各个车间布置相应的成品存放区</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循环冷却水池</w:t>
                  </w:r>
                </w:p>
              </w:tc>
              <w:tc>
                <w:tcPr>
                  <w:tcW w:w="4665" w:type="dxa"/>
                  <w:tcBorders>
                    <w:tl2br w:val="nil"/>
                    <w:tr2bl w:val="nil"/>
                  </w:tcBorders>
                  <w:vAlign w:val="center"/>
                </w:tcPr>
                <w:p>
                  <w:pPr>
                    <w:bidi w:val="0"/>
                    <w:spacing w:line="240" w:lineRule="auto"/>
                    <w:rPr>
                      <w:rFonts w:hint="eastAsia"/>
                      <w:color w:val="auto"/>
                      <w:sz w:val="21"/>
                      <w:szCs w:val="21"/>
                      <w:lang w:eastAsia="zh-CN"/>
                    </w:rPr>
                  </w:pPr>
                  <w:r>
                    <w:rPr>
                      <w:rFonts w:hint="default"/>
                      <w:color w:val="auto"/>
                      <w:sz w:val="21"/>
                      <w:szCs w:val="21"/>
                    </w:rPr>
                    <w:t>设置 2 座冷却水池</w:t>
                  </w:r>
                  <w:r>
                    <w:rPr>
                      <w:rFonts w:hint="eastAsia"/>
                      <w:color w:val="auto"/>
                      <w:sz w:val="21"/>
                      <w:szCs w:val="21"/>
                      <w:lang w:eastAsia="zh-CN"/>
                    </w:rPr>
                    <w:t>，</w:t>
                  </w:r>
                  <w:r>
                    <w:rPr>
                      <w:rFonts w:hint="default"/>
                      <w:color w:val="auto"/>
                      <w:sz w:val="21"/>
                      <w:szCs w:val="21"/>
                    </w:rPr>
                    <w:t>1 座位于再生胶厂房南侧(36m×7m×2m ，有效容积504m³) ，另一座位于再生胶厂房东侧 (有效容积150m³) 作为生产线冷却用水。冷却水系统采用自然冷却方式</w:t>
                  </w:r>
                  <w:r>
                    <w:rPr>
                      <w:rFonts w:hint="eastAsia"/>
                      <w:color w:val="auto"/>
                      <w:sz w:val="21"/>
                      <w:szCs w:val="21"/>
                      <w:lang w:eastAsia="zh-CN"/>
                    </w:rPr>
                    <w:t>。</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 w:hRule="atLeast"/>
              </w:trPr>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办公楼</w:t>
                  </w:r>
                </w:p>
              </w:tc>
              <w:tc>
                <w:tcPr>
                  <w:tcW w:w="4665" w:type="dxa"/>
                  <w:tcBorders>
                    <w:tl2br w:val="nil"/>
                    <w:tr2bl w:val="nil"/>
                  </w:tcBorders>
                  <w:vAlign w:val="center"/>
                </w:tcPr>
                <w:p>
                  <w:pPr>
                    <w:bidi w:val="0"/>
                    <w:spacing w:line="240" w:lineRule="auto"/>
                    <w:rPr>
                      <w:rFonts w:hint="default"/>
                      <w:color w:val="auto"/>
                      <w:sz w:val="21"/>
                      <w:szCs w:val="21"/>
                    </w:rPr>
                  </w:pPr>
                  <w:r>
                    <w:rPr>
                      <w:rFonts w:hint="default"/>
                      <w:color w:val="auto"/>
                      <w:sz w:val="21"/>
                      <w:szCs w:val="21"/>
                    </w:rPr>
                    <w:t xml:space="preserve">三层办公楼，建筑面积为 </w:t>
                  </w:r>
                  <w:r>
                    <w:rPr>
                      <w:rFonts w:hint="eastAsia"/>
                      <w:color w:val="auto"/>
                      <w:sz w:val="21"/>
                      <w:szCs w:val="21"/>
                      <w:lang w:val="en-US" w:eastAsia="zh-CN"/>
                    </w:rPr>
                    <w:t>1131</w:t>
                  </w:r>
                  <w:r>
                    <w:rPr>
                      <w:rFonts w:hint="default"/>
                      <w:color w:val="auto"/>
                      <w:sz w:val="21"/>
                      <w:szCs w:val="21"/>
                    </w:rPr>
                    <w:t>m</w:t>
                  </w:r>
                  <w:r>
                    <w:rPr>
                      <w:rFonts w:hint="default"/>
                      <w:color w:val="auto"/>
                      <w:sz w:val="21"/>
                      <w:szCs w:val="21"/>
                      <w:vertAlign w:val="superscript"/>
                      <w:lang w:val="en-US" w:eastAsia="zh-CN"/>
                    </w:rPr>
                    <w:t>2</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58" w:hRule="atLeast"/>
              </w:trPr>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锅炉房</w:t>
                  </w:r>
                </w:p>
              </w:tc>
              <w:tc>
                <w:tcPr>
                  <w:tcW w:w="4665" w:type="dxa"/>
                  <w:tcBorders>
                    <w:tl2br w:val="nil"/>
                    <w:tr2bl w:val="nil"/>
                  </w:tcBorders>
                  <w:vAlign w:val="center"/>
                </w:tcPr>
                <w:p>
                  <w:pPr>
                    <w:bidi w:val="0"/>
                    <w:spacing w:line="240" w:lineRule="auto"/>
                    <w:rPr>
                      <w:rFonts w:hint="default"/>
                      <w:color w:val="auto"/>
                      <w:sz w:val="21"/>
                      <w:szCs w:val="21"/>
                      <w:lang w:eastAsia="zh-CN"/>
                    </w:rPr>
                  </w:pPr>
                  <w:r>
                    <w:rPr>
                      <w:rFonts w:hint="eastAsia"/>
                      <w:color w:val="auto"/>
                      <w:sz w:val="21"/>
                      <w:szCs w:val="21"/>
                      <w:lang w:eastAsia="zh-CN"/>
                    </w:rPr>
                    <w:t>建设了</w:t>
                  </w:r>
                  <w:r>
                    <w:rPr>
                      <w:rFonts w:hint="default"/>
                      <w:color w:val="auto"/>
                      <w:sz w:val="21"/>
                      <w:szCs w:val="21"/>
                      <w:lang w:eastAsia="zh-CN"/>
                    </w:rPr>
                    <w:t>一台额定热功率 4000kw 生物质锅炉，位于厂区东侧，锅炉房建筑面积为504m</w:t>
                  </w:r>
                  <w:r>
                    <w:rPr>
                      <w:rFonts w:hint="default"/>
                      <w:color w:val="auto"/>
                      <w:sz w:val="21"/>
                      <w:szCs w:val="21"/>
                      <w:vertAlign w:val="superscript"/>
                      <w:lang w:eastAsia="zh-CN"/>
                    </w:rPr>
                    <w:t xml:space="preserve">2 </w:t>
                  </w:r>
                  <w:r>
                    <w:rPr>
                      <w:rFonts w:hint="default"/>
                      <w:color w:val="auto"/>
                      <w:sz w:val="21"/>
                      <w:szCs w:val="21"/>
                      <w:lang w:eastAsia="zh-CN"/>
                    </w:rPr>
                    <w:t>，年耗生物质燃料约2300t ，用于生产再生胶脱硫及胶板硫化的过程供热。</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2" w:hRule="atLeast"/>
              </w:trPr>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危废暂存间</w:t>
                  </w:r>
                </w:p>
              </w:tc>
              <w:tc>
                <w:tcPr>
                  <w:tcW w:w="4665" w:type="dxa"/>
                  <w:tcBorders>
                    <w:tl2br w:val="nil"/>
                    <w:tr2bl w:val="nil"/>
                  </w:tcBorders>
                  <w:vAlign w:val="center"/>
                </w:tcPr>
                <w:p>
                  <w:pPr>
                    <w:bidi w:val="0"/>
                    <w:spacing w:line="240" w:lineRule="auto"/>
                    <w:rPr>
                      <w:rFonts w:hint="default"/>
                      <w:color w:val="auto"/>
                      <w:sz w:val="21"/>
                      <w:szCs w:val="21"/>
                      <w:lang w:eastAsia="zh-CN"/>
                    </w:rPr>
                  </w:pPr>
                  <w:r>
                    <w:rPr>
                      <w:rFonts w:hint="eastAsia"/>
                      <w:color w:val="auto"/>
                      <w:sz w:val="21"/>
                      <w:szCs w:val="21"/>
                      <w:lang w:eastAsia="zh-CN"/>
                    </w:rPr>
                    <w:t>建设危废暂存间 1 座，位于厂区东南侧，建筑面积为30m</w:t>
                  </w:r>
                  <w:r>
                    <w:rPr>
                      <w:rFonts w:hint="eastAsia"/>
                      <w:color w:val="auto"/>
                      <w:sz w:val="21"/>
                      <w:szCs w:val="21"/>
                      <w:vertAlign w:val="superscript"/>
                      <w:lang w:eastAsia="zh-CN"/>
                    </w:rPr>
                    <w:t>2</w:t>
                  </w:r>
                  <w:r>
                    <w:rPr>
                      <w:rFonts w:hint="eastAsia"/>
                      <w:color w:val="auto"/>
                      <w:sz w:val="21"/>
                      <w:szCs w:val="21"/>
                      <w:lang w:eastAsia="zh-CN"/>
                    </w:rPr>
                    <w:t>，内部做重点防渗处理，用于存放废活性炭、废导热油等危险废物，防渗系数满足≤1.0×10</w:t>
                  </w:r>
                  <w:r>
                    <w:rPr>
                      <w:rFonts w:hint="eastAsia"/>
                      <w:color w:val="auto"/>
                      <w:sz w:val="21"/>
                      <w:szCs w:val="21"/>
                      <w:vertAlign w:val="superscript"/>
                      <w:lang w:eastAsia="zh-CN"/>
                    </w:rPr>
                    <w:t>- 10</w:t>
                  </w:r>
                  <w:r>
                    <w:rPr>
                      <w:rFonts w:hint="eastAsia"/>
                      <w:color w:val="auto"/>
                      <w:sz w:val="21"/>
                      <w:szCs w:val="21"/>
                      <w:lang w:eastAsia="zh-CN"/>
                    </w:rPr>
                    <w:t>cm/s。</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2" w:hRule="atLeast"/>
              </w:trPr>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eastAsia="zh-CN"/>
                    </w:rPr>
                    <w:t>一般固废暂存区</w:t>
                  </w:r>
                </w:p>
              </w:tc>
              <w:tc>
                <w:tcPr>
                  <w:tcW w:w="4665" w:type="dxa"/>
                  <w:tcBorders>
                    <w:tl2br w:val="nil"/>
                    <w:tr2bl w:val="nil"/>
                  </w:tcBorders>
                  <w:vAlign w:val="center"/>
                </w:tcPr>
                <w:p>
                  <w:pPr>
                    <w:bidi w:val="0"/>
                    <w:spacing w:line="240" w:lineRule="auto"/>
                    <w:rPr>
                      <w:rFonts w:hint="default"/>
                      <w:color w:val="auto"/>
                      <w:sz w:val="21"/>
                      <w:szCs w:val="21"/>
                      <w:lang w:val="en-US" w:eastAsia="zh-CN"/>
                    </w:rPr>
                  </w:pPr>
                  <w:r>
                    <w:rPr>
                      <w:rFonts w:hint="eastAsia"/>
                      <w:color w:val="auto"/>
                      <w:sz w:val="21"/>
                      <w:szCs w:val="21"/>
                      <w:lang w:eastAsia="zh-CN"/>
                    </w:rPr>
                    <w:t>建设一般固废暂存区</w:t>
                  </w:r>
                  <w:r>
                    <w:rPr>
                      <w:rFonts w:hint="eastAsia"/>
                      <w:color w:val="auto"/>
                      <w:sz w:val="21"/>
                      <w:szCs w:val="21"/>
                      <w:lang w:val="en-US" w:eastAsia="zh-CN"/>
                    </w:rPr>
                    <w:t>1处，位于胶板生产车间内，占地面积为20m</w:t>
                  </w:r>
                  <w:r>
                    <w:rPr>
                      <w:rFonts w:hint="eastAsia"/>
                      <w:color w:val="auto"/>
                      <w:sz w:val="21"/>
                      <w:szCs w:val="21"/>
                      <w:vertAlign w:val="superscript"/>
                      <w:lang w:val="en-US" w:eastAsia="zh-CN"/>
                    </w:rPr>
                    <w:t>2</w:t>
                  </w:r>
                  <w:r>
                    <w:rPr>
                      <w:rFonts w:hint="eastAsia"/>
                      <w:color w:val="auto"/>
                      <w:sz w:val="21"/>
                      <w:szCs w:val="21"/>
                      <w:lang w:val="en-US" w:eastAsia="zh-CN"/>
                    </w:rPr>
                    <w:t>，地面做一般防渗处理，用于存放除尘灰、边角料和不合格品，防渗系数满足</w:t>
                  </w:r>
                  <w:r>
                    <w:rPr>
                      <w:rFonts w:hint="eastAsia"/>
                      <w:color w:val="auto"/>
                      <w:sz w:val="21"/>
                      <w:szCs w:val="21"/>
                      <w:lang w:eastAsia="zh-CN"/>
                    </w:rPr>
                    <w:t>≤1.0×10</w:t>
                  </w:r>
                  <w:r>
                    <w:rPr>
                      <w:rFonts w:hint="eastAsia"/>
                      <w:color w:val="auto"/>
                      <w:sz w:val="21"/>
                      <w:szCs w:val="21"/>
                      <w:vertAlign w:val="superscript"/>
                      <w:lang w:eastAsia="zh-CN"/>
                    </w:rPr>
                    <w:t xml:space="preserve">- </w:t>
                  </w:r>
                  <w:r>
                    <w:rPr>
                      <w:rFonts w:hint="eastAsia"/>
                      <w:color w:val="auto"/>
                      <w:sz w:val="21"/>
                      <w:szCs w:val="21"/>
                      <w:vertAlign w:val="superscript"/>
                      <w:lang w:val="en-US" w:eastAsia="zh-CN"/>
                    </w:rPr>
                    <w:t>7</w:t>
                  </w:r>
                  <w:r>
                    <w:rPr>
                      <w:rFonts w:hint="eastAsia"/>
                      <w:color w:val="auto"/>
                      <w:sz w:val="21"/>
                      <w:szCs w:val="21"/>
                      <w:lang w:eastAsia="zh-CN"/>
                    </w:rPr>
                    <w:t>cm/s。</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5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公用工程</w:t>
                  </w: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供电</w:t>
                  </w:r>
                </w:p>
              </w:tc>
              <w:tc>
                <w:tcPr>
                  <w:tcW w:w="4665" w:type="dxa"/>
                  <w:tcBorders>
                    <w:tl2br w:val="nil"/>
                    <w:tr2bl w:val="nil"/>
                  </w:tcBorders>
                  <w:vAlign w:val="center"/>
                </w:tcPr>
                <w:p>
                  <w:pPr>
                    <w:bidi w:val="0"/>
                    <w:spacing w:line="240" w:lineRule="auto"/>
                    <w:rPr>
                      <w:rFonts w:hint="default"/>
                      <w:color w:val="auto"/>
                      <w:sz w:val="21"/>
                      <w:szCs w:val="21"/>
                      <w:lang w:eastAsia="zh-CN"/>
                    </w:rPr>
                  </w:pPr>
                  <w:r>
                    <w:rPr>
                      <w:rFonts w:hint="default"/>
                      <w:color w:val="auto"/>
                      <w:sz w:val="21"/>
                      <w:szCs w:val="21"/>
                      <w:lang w:eastAsia="zh-CN"/>
                    </w:rPr>
                    <w:t>项目用电接自园区供电线路，年用电量为 1000万kw·h</w:t>
                  </w:r>
                  <w:r>
                    <w:rPr>
                      <w:rFonts w:hint="eastAsia"/>
                      <w:color w:val="auto"/>
                      <w:sz w:val="21"/>
                      <w:szCs w:val="21"/>
                      <w:lang w:eastAsia="zh-CN"/>
                    </w:rPr>
                    <w:t>。</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供水</w:t>
                  </w:r>
                </w:p>
              </w:tc>
              <w:tc>
                <w:tcPr>
                  <w:tcW w:w="4665" w:type="dxa"/>
                  <w:tcBorders>
                    <w:tl2br w:val="nil"/>
                    <w:tr2bl w:val="nil"/>
                  </w:tcBorders>
                  <w:vAlign w:val="center"/>
                </w:tcPr>
                <w:p>
                  <w:pPr>
                    <w:bidi w:val="0"/>
                    <w:spacing w:line="240" w:lineRule="auto"/>
                    <w:rPr>
                      <w:rFonts w:hint="default"/>
                      <w:color w:val="auto"/>
                      <w:sz w:val="21"/>
                      <w:szCs w:val="21"/>
                      <w:lang w:eastAsia="zh-CN"/>
                    </w:rPr>
                  </w:pPr>
                  <w:r>
                    <w:rPr>
                      <w:rFonts w:hint="default"/>
                      <w:color w:val="auto"/>
                      <w:sz w:val="21"/>
                      <w:szCs w:val="21"/>
                      <w:lang w:eastAsia="zh-CN"/>
                    </w:rPr>
                    <w:t>项目生产、生活及绿化用水由园区供水管网供给，总用水量为47328m</w:t>
                  </w:r>
                  <w:r>
                    <w:rPr>
                      <w:rFonts w:hint="default"/>
                      <w:color w:val="auto"/>
                      <w:sz w:val="21"/>
                      <w:szCs w:val="21"/>
                      <w:vertAlign w:val="superscript"/>
                      <w:lang w:val="en-US" w:eastAsia="zh-CN"/>
                    </w:rPr>
                    <w:t>3</w:t>
                  </w:r>
                  <w:r>
                    <w:rPr>
                      <w:rFonts w:hint="default"/>
                      <w:color w:val="auto"/>
                      <w:sz w:val="21"/>
                      <w:szCs w:val="21"/>
                      <w:lang w:eastAsia="zh-CN"/>
                    </w:rPr>
                    <w:t>/a</w:t>
                  </w:r>
                  <w:r>
                    <w:rPr>
                      <w:rFonts w:hint="eastAsia"/>
                      <w:color w:val="auto"/>
                      <w:sz w:val="21"/>
                      <w:szCs w:val="21"/>
                      <w:lang w:eastAsia="zh-CN"/>
                    </w:rPr>
                    <w:t>。</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供暖</w:t>
                  </w:r>
                </w:p>
              </w:tc>
              <w:tc>
                <w:tcPr>
                  <w:tcW w:w="4665" w:type="dxa"/>
                  <w:tcBorders>
                    <w:tl2br w:val="nil"/>
                    <w:tr2bl w:val="nil"/>
                  </w:tcBorders>
                  <w:vAlign w:val="center"/>
                </w:tcPr>
                <w:p>
                  <w:pPr>
                    <w:bidi w:val="0"/>
                    <w:spacing w:line="240" w:lineRule="auto"/>
                    <w:rPr>
                      <w:rFonts w:hint="default"/>
                      <w:color w:val="auto"/>
                      <w:sz w:val="21"/>
                      <w:szCs w:val="21"/>
                      <w:lang w:eastAsia="zh-CN"/>
                    </w:rPr>
                  </w:pPr>
                  <w:r>
                    <w:rPr>
                      <w:rFonts w:hint="default"/>
                      <w:color w:val="auto"/>
                      <w:sz w:val="21"/>
                      <w:szCs w:val="21"/>
                      <w:lang w:eastAsia="zh-CN"/>
                    </w:rPr>
                    <w:t>冬季办公区采用</w:t>
                  </w:r>
                  <w:r>
                    <w:rPr>
                      <w:rFonts w:hint="eastAsia"/>
                      <w:color w:val="auto"/>
                      <w:sz w:val="21"/>
                      <w:szCs w:val="21"/>
                      <w:lang w:eastAsia="zh-CN"/>
                    </w:rPr>
                    <w:t>电暖气进行供暖，生产车间不进行供暖。</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 w:hRule="atLeast"/>
              </w:trPr>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供热</w:t>
                  </w:r>
                </w:p>
              </w:tc>
              <w:tc>
                <w:tcPr>
                  <w:tcW w:w="4665" w:type="dxa"/>
                  <w:tcBorders>
                    <w:tl2br w:val="nil"/>
                    <w:tr2bl w:val="nil"/>
                  </w:tcBorders>
                  <w:vAlign w:val="center"/>
                </w:tcPr>
                <w:p>
                  <w:pPr>
                    <w:bidi w:val="0"/>
                    <w:spacing w:line="240" w:lineRule="auto"/>
                    <w:rPr>
                      <w:rFonts w:hint="default"/>
                      <w:color w:val="auto"/>
                      <w:sz w:val="21"/>
                      <w:szCs w:val="21"/>
                      <w:lang w:eastAsia="zh-CN"/>
                    </w:rPr>
                  </w:pPr>
                  <w:r>
                    <w:rPr>
                      <w:rFonts w:hint="default"/>
                      <w:color w:val="auto"/>
                      <w:sz w:val="21"/>
                      <w:szCs w:val="21"/>
                      <w:lang w:eastAsia="zh-CN"/>
                    </w:rPr>
                    <w:t>生产区采用一台额定热功率4000kW生物质锅炉供热。余热炉利用生物质锅炉烟气余热用来加热水，对余热进行回收用于员工洗澡。</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 w:hRule="atLeast"/>
              </w:trPr>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消防</w:t>
                  </w:r>
                </w:p>
              </w:tc>
              <w:tc>
                <w:tcPr>
                  <w:tcW w:w="4665" w:type="dxa"/>
                  <w:tcBorders>
                    <w:tl2br w:val="nil"/>
                    <w:tr2bl w:val="nil"/>
                  </w:tcBorders>
                  <w:vAlign w:val="center"/>
                </w:tcPr>
                <w:p>
                  <w:pPr>
                    <w:bidi w:val="0"/>
                    <w:spacing w:line="240" w:lineRule="auto"/>
                    <w:rPr>
                      <w:rFonts w:hint="default"/>
                      <w:color w:val="auto"/>
                      <w:sz w:val="21"/>
                      <w:szCs w:val="21"/>
                      <w:lang w:eastAsia="zh-CN"/>
                    </w:rPr>
                  </w:pPr>
                  <w:r>
                    <w:rPr>
                      <w:rFonts w:hint="default"/>
                      <w:color w:val="auto"/>
                      <w:sz w:val="21"/>
                      <w:szCs w:val="21"/>
                      <w:lang w:eastAsia="zh-CN"/>
                    </w:rPr>
                    <w:t>按消防相关规范配置消防灭火器材。同时配备2m³消防沙及若干灭火毯。室外灭火器搁置在灭火箱内</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4" w:hRule="atLeast"/>
              </w:trPr>
              <w:tc>
                <w:tcPr>
                  <w:tcW w:w="45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环保工程</w:t>
                  </w:r>
                </w:p>
              </w:tc>
              <w:tc>
                <w:tcPr>
                  <w:tcW w:w="58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废气</w:t>
                  </w:r>
                </w:p>
              </w:tc>
              <w:tc>
                <w:tcPr>
                  <w:tcW w:w="4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再生胶生产车间</w:t>
                  </w:r>
                </w:p>
              </w:tc>
              <w:tc>
                <w:tcPr>
                  <w:tcW w:w="4665" w:type="dxa"/>
                  <w:tcBorders>
                    <w:tl2br w:val="nil"/>
                    <w:tr2bl w:val="nil"/>
                  </w:tcBorders>
                  <w:vAlign w:val="center"/>
                </w:tcPr>
                <w:p>
                  <w:pPr>
                    <w:bidi w:val="0"/>
                    <w:spacing w:line="240" w:lineRule="auto"/>
                    <w:rPr>
                      <w:rFonts w:hint="default"/>
                      <w:color w:val="auto"/>
                      <w:sz w:val="21"/>
                      <w:szCs w:val="21"/>
                      <w:lang w:val="en-US" w:eastAsia="zh-CN"/>
                    </w:rPr>
                  </w:pPr>
                  <w:r>
                    <w:rPr>
                      <w:rFonts w:hint="eastAsia"/>
                      <w:color w:val="auto"/>
                      <w:sz w:val="21"/>
                      <w:szCs w:val="21"/>
                      <w:lang w:eastAsia="zh-CN"/>
                    </w:rPr>
                    <w:t>现有工程再生胶车间脱硫工序产生的脱硫废气分为有压力废气和无压力废气。有压力废气经集气罩收集后，通过</w:t>
                  </w:r>
                  <w:r>
                    <w:rPr>
                      <w:rFonts w:hint="default"/>
                      <w:color w:val="auto"/>
                      <w:sz w:val="21"/>
                      <w:szCs w:val="21"/>
                      <w:lang w:eastAsia="zh-CN"/>
                    </w:rPr>
                    <w:t>1套“水气分离+燃烧器燃烧+二级碱喷淋+活性炭装置”用于处理有压力脱硫废气，无压力废气采取集气罩收集+1 套二级碱喷淋+活性炭装置</w:t>
                  </w:r>
                  <w:r>
                    <w:rPr>
                      <w:rFonts w:hint="eastAsia"/>
                      <w:color w:val="auto"/>
                      <w:sz w:val="21"/>
                      <w:szCs w:val="21"/>
                      <w:lang w:eastAsia="zh-CN"/>
                    </w:rPr>
                    <w:t>处置</w:t>
                  </w:r>
                  <w:r>
                    <w:rPr>
                      <w:rFonts w:hint="eastAsia"/>
                      <w:color w:val="auto"/>
                      <w:sz w:val="21"/>
                      <w:szCs w:val="21"/>
                      <w:lang w:val="en-US" w:eastAsia="zh-CN"/>
                    </w:rPr>
                    <w:t>；压胶工序产生的废气经集气罩收集后，通过“二级碱喷淋+活性炭吸附装置”处理。</w:t>
                  </w:r>
                </w:p>
                <w:p>
                  <w:pPr>
                    <w:bidi w:val="0"/>
                    <w:spacing w:line="240" w:lineRule="auto"/>
                    <w:rPr>
                      <w:rFonts w:hint="eastAsia"/>
                      <w:color w:val="auto"/>
                      <w:sz w:val="21"/>
                      <w:szCs w:val="21"/>
                      <w:lang w:eastAsia="zh-CN"/>
                    </w:rPr>
                  </w:pPr>
                  <w:r>
                    <w:rPr>
                      <w:rFonts w:hint="eastAsia"/>
                      <w:color w:val="auto"/>
                      <w:sz w:val="21"/>
                      <w:szCs w:val="21"/>
                      <w:lang w:val="en-US" w:eastAsia="zh-CN"/>
                    </w:rPr>
                    <w:t>投料废气经集气罩收集后，通过</w:t>
                  </w:r>
                  <w:r>
                    <w:rPr>
                      <w:rFonts w:hint="default"/>
                      <w:color w:val="auto"/>
                      <w:sz w:val="21"/>
                      <w:szCs w:val="21"/>
                      <w:lang w:eastAsia="zh-CN"/>
                    </w:rPr>
                    <w:t>1 套“布袋除尘器”</w:t>
                  </w:r>
                  <w:r>
                    <w:rPr>
                      <w:rFonts w:hint="eastAsia"/>
                      <w:color w:val="auto"/>
                      <w:sz w:val="21"/>
                      <w:szCs w:val="21"/>
                      <w:lang w:eastAsia="zh-CN"/>
                    </w:rPr>
                    <w:t>处理。</w:t>
                  </w:r>
                </w:p>
                <w:p>
                  <w:pPr>
                    <w:bidi w:val="0"/>
                    <w:spacing w:line="240" w:lineRule="auto"/>
                    <w:rPr>
                      <w:rFonts w:hint="default"/>
                      <w:color w:val="auto"/>
                      <w:sz w:val="21"/>
                      <w:szCs w:val="21"/>
                      <w:lang w:eastAsia="zh-CN"/>
                    </w:rPr>
                  </w:pPr>
                  <w:r>
                    <w:rPr>
                      <w:rFonts w:hint="eastAsia"/>
                      <w:color w:val="auto"/>
                      <w:sz w:val="21"/>
                      <w:szCs w:val="21"/>
                      <w:lang w:eastAsia="zh-CN"/>
                    </w:rPr>
                    <w:t>上述</w:t>
                  </w:r>
                  <w:r>
                    <w:rPr>
                      <w:rFonts w:hint="default"/>
                      <w:color w:val="auto"/>
                      <w:sz w:val="21"/>
                      <w:szCs w:val="21"/>
                      <w:lang w:eastAsia="zh-CN"/>
                    </w:rPr>
                    <w:t>废气均</w:t>
                  </w:r>
                  <w:r>
                    <w:rPr>
                      <w:rFonts w:hint="eastAsia"/>
                      <w:color w:val="auto"/>
                      <w:sz w:val="21"/>
                      <w:szCs w:val="21"/>
                      <w:lang w:val="en-US" w:eastAsia="zh-CN"/>
                    </w:rPr>
                    <w:t>通过1根15m高的排气筒（1#）进行排放。</w:t>
                  </w:r>
                </w:p>
              </w:tc>
              <w:tc>
                <w:tcPr>
                  <w:tcW w:w="180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lang w:eastAsia="zh-CN"/>
                    </w:rPr>
                    <w:t>已建</w:t>
                  </w:r>
                  <w:r>
                    <w:rPr>
                      <w:rFonts w:hint="eastAsia"/>
                      <w:color w:val="auto"/>
                      <w:sz w:val="21"/>
                      <w:szCs w:val="21"/>
                      <w:lang w:eastAsia="zh-CN"/>
                    </w:rPr>
                    <w:t>。实际建设过程中采取的废气治理措施与环评批复中的废气治理措施有所不同，环评中采用等离子光氧一体机处置，实际建设过程中采取活性炭吸附装置，更加环保，有效。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9" w:hRule="atLeast"/>
              </w:trPr>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胶板、汽车</w:t>
                  </w:r>
                  <w:r>
                    <w:rPr>
                      <w:rFonts w:hint="default"/>
                      <w:color w:val="auto"/>
                      <w:sz w:val="21"/>
                      <w:szCs w:val="21"/>
                      <w:lang w:eastAsia="zh-CN"/>
                    </w:rPr>
                    <w:t>垫</w:t>
                  </w:r>
                  <w:r>
                    <w:rPr>
                      <w:rFonts w:hint="default"/>
                      <w:color w:val="auto"/>
                      <w:sz w:val="21"/>
                      <w:szCs w:val="21"/>
                    </w:rPr>
                    <w:t>产生车间</w:t>
                  </w:r>
                </w:p>
              </w:tc>
              <w:tc>
                <w:tcPr>
                  <w:tcW w:w="4665" w:type="dxa"/>
                  <w:tcBorders>
                    <w:tl2br w:val="nil"/>
                    <w:tr2bl w:val="nil"/>
                  </w:tcBorders>
                  <w:vAlign w:val="center"/>
                </w:tcPr>
                <w:p>
                  <w:pPr>
                    <w:bidi w:val="0"/>
                    <w:spacing w:line="240" w:lineRule="auto"/>
                    <w:rPr>
                      <w:rFonts w:hint="default"/>
                      <w:color w:val="auto"/>
                      <w:sz w:val="21"/>
                      <w:szCs w:val="21"/>
                      <w:lang w:val="en-US" w:eastAsia="zh-CN"/>
                    </w:rPr>
                  </w:pPr>
                  <w:r>
                    <w:rPr>
                      <w:rFonts w:hint="eastAsia"/>
                      <w:color w:val="auto"/>
                      <w:sz w:val="21"/>
                      <w:szCs w:val="21"/>
                      <w:lang w:eastAsia="zh-CN"/>
                    </w:rPr>
                    <w:t>胶板生产线密炼机开炼工序的投料过程产生的颗粒物经集气罩收集后，通过</w:t>
                  </w:r>
                  <w:r>
                    <w:rPr>
                      <w:rFonts w:hint="eastAsia"/>
                      <w:color w:val="auto"/>
                      <w:sz w:val="21"/>
                      <w:szCs w:val="21"/>
                      <w:lang w:val="en-US" w:eastAsia="zh-CN"/>
                    </w:rPr>
                    <w:t>1套“布袋除尘器”处理</w:t>
                  </w:r>
                  <w:r>
                    <w:rPr>
                      <w:rFonts w:hint="default"/>
                      <w:color w:val="auto"/>
                      <w:sz w:val="21"/>
                      <w:szCs w:val="21"/>
                      <w:lang w:eastAsia="zh-CN"/>
                    </w:rPr>
                    <w:t>。</w:t>
                  </w:r>
                  <w:r>
                    <w:rPr>
                      <w:rFonts w:hint="eastAsia"/>
                      <w:color w:val="auto"/>
                      <w:sz w:val="21"/>
                      <w:szCs w:val="21"/>
                      <w:lang w:eastAsia="zh-CN"/>
                    </w:rPr>
                    <w:t>处理后经</w:t>
                  </w:r>
                  <w:r>
                    <w:rPr>
                      <w:rFonts w:hint="eastAsia"/>
                      <w:color w:val="auto"/>
                      <w:sz w:val="21"/>
                      <w:szCs w:val="21"/>
                      <w:lang w:val="en-US" w:eastAsia="zh-CN"/>
                    </w:rPr>
                    <w:t>1根15m高的排气筒（2#）进行排放。</w:t>
                  </w:r>
                </w:p>
                <w:p>
                  <w:pPr>
                    <w:bidi w:val="0"/>
                    <w:spacing w:line="240" w:lineRule="auto"/>
                    <w:rPr>
                      <w:rFonts w:hint="default"/>
                      <w:color w:val="auto"/>
                      <w:sz w:val="21"/>
                      <w:szCs w:val="21"/>
                      <w:lang w:eastAsia="zh-CN"/>
                    </w:rPr>
                  </w:pPr>
                  <w:r>
                    <w:rPr>
                      <w:rFonts w:hint="eastAsia"/>
                      <w:color w:val="auto"/>
                      <w:sz w:val="21"/>
                      <w:szCs w:val="21"/>
                      <w:lang w:eastAsia="zh-CN"/>
                    </w:rPr>
                    <w:t>密炼及开炼工序产生的废气经集气罩收集后，通过</w:t>
                  </w:r>
                  <w:r>
                    <w:rPr>
                      <w:rFonts w:hint="eastAsia"/>
                      <w:color w:val="auto"/>
                      <w:sz w:val="21"/>
                      <w:szCs w:val="21"/>
                      <w:lang w:val="en-US" w:eastAsia="zh-CN"/>
                    </w:rPr>
                    <w:t>1套</w:t>
                  </w:r>
                  <w:r>
                    <w:rPr>
                      <w:rFonts w:hint="eastAsia"/>
                      <w:color w:val="auto"/>
                      <w:sz w:val="21"/>
                      <w:szCs w:val="21"/>
                      <w:lang w:eastAsia="zh-CN"/>
                    </w:rPr>
                    <w:t>“二级碱喷淋</w:t>
                  </w:r>
                  <w:r>
                    <w:rPr>
                      <w:rFonts w:hint="eastAsia"/>
                      <w:color w:val="auto"/>
                      <w:sz w:val="21"/>
                      <w:szCs w:val="21"/>
                      <w:lang w:val="en-US" w:eastAsia="zh-CN"/>
                    </w:rPr>
                    <w:t>+活性炭吸附装置</w:t>
                  </w:r>
                  <w:r>
                    <w:rPr>
                      <w:rFonts w:hint="eastAsia"/>
                      <w:color w:val="auto"/>
                      <w:sz w:val="21"/>
                      <w:szCs w:val="21"/>
                      <w:lang w:eastAsia="zh-CN"/>
                    </w:rPr>
                    <w:t>”处理；压延工序产生的废气经集气罩收集后，通过</w:t>
                  </w:r>
                  <w:r>
                    <w:rPr>
                      <w:rFonts w:hint="eastAsia"/>
                      <w:color w:val="auto"/>
                      <w:sz w:val="21"/>
                      <w:szCs w:val="21"/>
                      <w:lang w:val="en-US" w:eastAsia="zh-CN"/>
                    </w:rPr>
                    <w:t>1套</w:t>
                  </w:r>
                  <w:r>
                    <w:rPr>
                      <w:rFonts w:hint="eastAsia"/>
                      <w:color w:val="auto"/>
                      <w:sz w:val="21"/>
                      <w:szCs w:val="21"/>
                      <w:lang w:eastAsia="zh-CN"/>
                    </w:rPr>
                    <w:t>“二级碱喷淋</w:t>
                  </w:r>
                  <w:r>
                    <w:rPr>
                      <w:rFonts w:hint="eastAsia"/>
                      <w:color w:val="auto"/>
                      <w:sz w:val="21"/>
                      <w:szCs w:val="21"/>
                      <w:lang w:val="en-US" w:eastAsia="zh-CN"/>
                    </w:rPr>
                    <w:t>+活性炭吸附装置</w:t>
                  </w:r>
                  <w:r>
                    <w:rPr>
                      <w:rFonts w:hint="eastAsia"/>
                      <w:color w:val="auto"/>
                      <w:sz w:val="21"/>
                      <w:szCs w:val="21"/>
                      <w:lang w:eastAsia="zh-CN"/>
                    </w:rPr>
                    <w:t>”处理；挤出工序产生的废气经集气罩收集后，通过</w:t>
                  </w:r>
                  <w:r>
                    <w:rPr>
                      <w:rFonts w:hint="eastAsia"/>
                      <w:color w:val="auto"/>
                      <w:sz w:val="21"/>
                      <w:szCs w:val="21"/>
                      <w:lang w:val="en-US" w:eastAsia="zh-CN"/>
                    </w:rPr>
                    <w:t>1套</w:t>
                  </w:r>
                  <w:r>
                    <w:rPr>
                      <w:rFonts w:hint="eastAsia"/>
                      <w:color w:val="auto"/>
                      <w:sz w:val="21"/>
                      <w:szCs w:val="21"/>
                      <w:lang w:eastAsia="zh-CN"/>
                    </w:rPr>
                    <w:t>“二级碱喷淋</w:t>
                  </w:r>
                  <w:r>
                    <w:rPr>
                      <w:rFonts w:hint="eastAsia"/>
                      <w:color w:val="auto"/>
                      <w:sz w:val="21"/>
                      <w:szCs w:val="21"/>
                      <w:lang w:val="en-US" w:eastAsia="zh-CN"/>
                    </w:rPr>
                    <w:t>+活性炭吸附装置</w:t>
                  </w:r>
                  <w:r>
                    <w:rPr>
                      <w:rFonts w:hint="eastAsia"/>
                      <w:color w:val="auto"/>
                      <w:sz w:val="21"/>
                      <w:szCs w:val="21"/>
                      <w:lang w:eastAsia="zh-CN"/>
                    </w:rPr>
                    <w:t>”处理；硫化工序产生的废气经集气罩收集后，通过</w:t>
                  </w:r>
                  <w:r>
                    <w:rPr>
                      <w:rFonts w:hint="eastAsia"/>
                      <w:color w:val="auto"/>
                      <w:sz w:val="21"/>
                      <w:szCs w:val="21"/>
                      <w:lang w:val="en-US" w:eastAsia="zh-CN"/>
                    </w:rPr>
                    <w:t>1套</w:t>
                  </w:r>
                  <w:r>
                    <w:rPr>
                      <w:rFonts w:hint="eastAsia"/>
                      <w:color w:val="auto"/>
                      <w:sz w:val="21"/>
                      <w:szCs w:val="21"/>
                      <w:lang w:eastAsia="zh-CN"/>
                    </w:rPr>
                    <w:t>“二级碱喷淋</w:t>
                  </w:r>
                  <w:r>
                    <w:rPr>
                      <w:rFonts w:hint="eastAsia"/>
                      <w:color w:val="auto"/>
                      <w:sz w:val="21"/>
                      <w:szCs w:val="21"/>
                      <w:lang w:val="en-US" w:eastAsia="zh-CN"/>
                    </w:rPr>
                    <w:t>+活性炭吸附装置</w:t>
                  </w:r>
                  <w:r>
                    <w:rPr>
                      <w:rFonts w:hint="eastAsia"/>
                      <w:color w:val="auto"/>
                      <w:sz w:val="21"/>
                      <w:szCs w:val="21"/>
                      <w:lang w:eastAsia="zh-CN"/>
                    </w:rPr>
                    <w:t>”处理。上述废气通过治理后，均由</w:t>
                  </w:r>
                  <w:r>
                    <w:rPr>
                      <w:rFonts w:hint="eastAsia"/>
                      <w:color w:val="auto"/>
                      <w:sz w:val="21"/>
                      <w:szCs w:val="21"/>
                      <w:lang w:val="en-US" w:eastAsia="zh-CN"/>
                    </w:rPr>
                    <w:t>1根15m高的排气筒（3#）进行排放。</w:t>
                  </w:r>
                </w:p>
              </w:tc>
              <w:tc>
                <w:tcPr>
                  <w:tcW w:w="180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 w:hRule="atLeast"/>
              </w:trPr>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生物质锅炉</w:t>
                  </w:r>
                </w:p>
              </w:tc>
              <w:tc>
                <w:tcPr>
                  <w:tcW w:w="4665" w:type="dxa"/>
                  <w:tcBorders>
                    <w:tl2br w:val="nil"/>
                    <w:tr2bl w:val="nil"/>
                  </w:tcBorders>
                  <w:vAlign w:val="center"/>
                </w:tcPr>
                <w:p>
                  <w:pPr>
                    <w:bidi w:val="0"/>
                    <w:spacing w:line="240" w:lineRule="auto"/>
                    <w:rPr>
                      <w:rFonts w:hint="default"/>
                      <w:color w:val="auto"/>
                      <w:sz w:val="21"/>
                      <w:szCs w:val="21"/>
                      <w:lang w:eastAsia="zh-CN"/>
                    </w:rPr>
                  </w:pPr>
                  <w:r>
                    <w:rPr>
                      <w:rFonts w:hint="default"/>
                      <w:color w:val="auto"/>
                      <w:sz w:val="21"/>
                      <w:szCs w:val="21"/>
                      <w:lang w:eastAsia="zh-CN"/>
                    </w:rPr>
                    <w:t>生物质锅炉产生的燃烧废气采取陶瓷多管除尘 +水膜脱硫除尘器除尘，处理后废气经 35m 高排气筒</w:t>
                  </w:r>
                  <w:r>
                    <w:rPr>
                      <w:rFonts w:hint="eastAsia"/>
                      <w:color w:val="auto"/>
                      <w:sz w:val="21"/>
                      <w:szCs w:val="21"/>
                      <w:lang w:val="en-US" w:eastAsia="zh-CN"/>
                    </w:rPr>
                    <w:t>（4#）</w:t>
                  </w:r>
                  <w:r>
                    <w:rPr>
                      <w:rFonts w:hint="default"/>
                      <w:color w:val="auto"/>
                      <w:sz w:val="21"/>
                      <w:szCs w:val="21"/>
                      <w:lang w:eastAsia="zh-CN"/>
                    </w:rPr>
                    <w:t>排放。</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lang w:eastAsia="zh-CN"/>
                    </w:rPr>
                    <w:t>已建</w:t>
                  </w:r>
                  <w:r>
                    <w:rPr>
                      <w:rFonts w:hint="eastAsia"/>
                      <w:color w:val="auto"/>
                      <w:sz w:val="21"/>
                      <w:szCs w:val="21"/>
                      <w:lang w:eastAsia="zh-CN"/>
                    </w:rPr>
                    <w:t>。实际建设过程中采取的废气治理措施与环评批复中的废气治理措施有所不同，环评中采用</w:t>
                  </w:r>
                  <w:r>
                    <w:rPr>
                      <w:rFonts w:hint="eastAsia"/>
                      <w:color w:val="auto"/>
                      <w:sz w:val="21"/>
                      <w:szCs w:val="21"/>
                      <w:lang w:val="en-US" w:eastAsia="zh-CN"/>
                    </w:rPr>
                    <w:t>的</w:t>
                  </w:r>
                  <w:r>
                    <w:rPr>
                      <w:rFonts w:hint="eastAsia"/>
                      <w:color w:val="auto"/>
                      <w:sz w:val="21"/>
                      <w:szCs w:val="21"/>
                      <w:lang w:eastAsia="zh-CN"/>
                    </w:rPr>
                    <w:t>布袋除尘器不能去除二氧化硫，因此实际建设过程中采用</w:t>
                  </w:r>
                  <w:r>
                    <w:rPr>
                      <w:rFonts w:hint="default"/>
                      <w:color w:val="auto"/>
                      <w:sz w:val="21"/>
                      <w:szCs w:val="21"/>
                      <w:lang w:eastAsia="zh-CN"/>
                    </w:rPr>
                    <w:t>陶瓷多管除尘 +水膜脱硫除尘器除尘</w:t>
                  </w:r>
                  <w:r>
                    <w:rPr>
                      <w:rFonts w:hint="eastAsia"/>
                      <w:color w:val="auto"/>
                      <w:sz w:val="21"/>
                      <w:szCs w:val="21"/>
                      <w:lang w:eastAsia="zh-CN"/>
                    </w:rPr>
                    <w:t>处理。既能有效去除颗粒物，也能有效去除二氧化硫。</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固废</w:t>
                  </w:r>
                </w:p>
              </w:tc>
              <w:tc>
                <w:tcPr>
                  <w:tcW w:w="4665" w:type="dxa"/>
                  <w:tcBorders>
                    <w:tl2br w:val="nil"/>
                    <w:tr2bl w:val="nil"/>
                  </w:tcBorders>
                  <w:vAlign w:val="center"/>
                </w:tcPr>
                <w:p>
                  <w:pPr>
                    <w:bidi w:val="0"/>
                    <w:spacing w:line="240" w:lineRule="auto"/>
                    <w:rPr>
                      <w:rFonts w:hint="eastAsia"/>
                      <w:color w:val="auto"/>
                      <w:sz w:val="21"/>
                      <w:szCs w:val="21"/>
                      <w:lang w:eastAsia="zh-CN"/>
                    </w:rPr>
                  </w:pPr>
                  <w:r>
                    <w:rPr>
                      <w:rFonts w:hint="default"/>
                      <w:color w:val="auto"/>
                      <w:sz w:val="21"/>
                      <w:szCs w:val="21"/>
                      <w:lang w:eastAsia="zh-CN"/>
                    </w:rPr>
                    <w:t>本项目产生的</w:t>
                  </w:r>
                  <w:r>
                    <w:rPr>
                      <w:rFonts w:hint="eastAsia"/>
                      <w:color w:val="auto"/>
                      <w:sz w:val="21"/>
                      <w:szCs w:val="21"/>
                      <w:lang w:eastAsia="zh-CN"/>
                    </w:rPr>
                    <w:t>固废主要包括除尘灰、边角料、不合格品、废活性炭和废导热油以及生活垃圾。</w:t>
                  </w:r>
                </w:p>
                <w:p>
                  <w:pPr>
                    <w:bidi w:val="0"/>
                    <w:spacing w:line="240" w:lineRule="auto"/>
                    <w:rPr>
                      <w:rFonts w:hint="eastAsia"/>
                      <w:color w:val="auto"/>
                      <w:sz w:val="21"/>
                      <w:szCs w:val="21"/>
                      <w:lang w:eastAsia="zh-CN"/>
                    </w:rPr>
                  </w:pPr>
                  <w:r>
                    <w:rPr>
                      <w:rFonts w:hint="eastAsia"/>
                      <w:color w:val="auto"/>
                      <w:sz w:val="21"/>
                      <w:szCs w:val="21"/>
                      <w:lang w:eastAsia="zh-CN"/>
                    </w:rPr>
                    <w:t>除尘灰、</w:t>
                  </w:r>
                  <w:r>
                    <w:rPr>
                      <w:rFonts w:hint="default"/>
                      <w:color w:val="auto"/>
                      <w:sz w:val="21"/>
                      <w:szCs w:val="21"/>
                      <w:lang w:eastAsia="zh-CN"/>
                    </w:rPr>
                    <w:t>边角料</w:t>
                  </w:r>
                  <w:r>
                    <w:rPr>
                      <w:rFonts w:hint="eastAsia"/>
                      <w:color w:val="auto"/>
                      <w:sz w:val="21"/>
                      <w:szCs w:val="21"/>
                      <w:lang w:eastAsia="zh-CN"/>
                    </w:rPr>
                    <w:t>以及不合格品</w:t>
                  </w:r>
                  <w:r>
                    <w:rPr>
                      <w:rFonts w:hint="default"/>
                      <w:color w:val="auto"/>
                      <w:sz w:val="21"/>
                      <w:szCs w:val="21"/>
                      <w:lang w:eastAsia="zh-CN"/>
                    </w:rPr>
                    <w:t>为一般工业固废，暂存于车间内一般固废区回收利用</w:t>
                  </w:r>
                  <w:r>
                    <w:rPr>
                      <w:rFonts w:hint="eastAsia"/>
                      <w:color w:val="auto"/>
                      <w:sz w:val="21"/>
                      <w:szCs w:val="21"/>
                      <w:lang w:eastAsia="zh-CN"/>
                    </w:rPr>
                    <w:t>。</w:t>
                  </w:r>
                </w:p>
                <w:p>
                  <w:pPr>
                    <w:bidi w:val="0"/>
                    <w:spacing w:line="240" w:lineRule="auto"/>
                    <w:rPr>
                      <w:rFonts w:hint="default"/>
                      <w:color w:val="auto"/>
                      <w:sz w:val="21"/>
                      <w:szCs w:val="21"/>
                      <w:lang w:eastAsia="zh-CN"/>
                    </w:rPr>
                  </w:pPr>
                  <w:r>
                    <w:rPr>
                      <w:rFonts w:hint="eastAsia"/>
                      <w:color w:val="auto"/>
                      <w:sz w:val="21"/>
                      <w:szCs w:val="21"/>
                      <w:lang w:eastAsia="zh-CN"/>
                    </w:rPr>
                    <w:t>废活性炭和废导热油为</w:t>
                  </w:r>
                  <w:r>
                    <w:rPr>
                      <w:rFonts w:hint="default"/>
                      <w:color w:val="auto"/>
                      <w:sz w:val="21"/>
                      <w:szCs w:val="21"/>
                      <w:lang w:eastAsia="zh-CN"/>
                    </w:rPr>
                    <w:t>危险废物</w:t>
                  </w:r>
                  <w:r>
                    <w:rPr>
                      <w:rFonts w:hint="eastAsia"/>
                      <w:color w:val="auto"/>
                      <w:sz w:val="21"/>
                      <w:szCs w:val="21"/>
                      <w:lang w:eastAsia="zh-CN"/>
                    </w:rPr>
                    <w:t>，收集后</w:t>
                  </w:r>
                  <w:r>
                    <w:rPr>
                      <w:rFonts w:hint="default"/>
                      <w:color w:val="auto"/>
                      <w:sz w:val="21"/>
                      <w:szCs w:val="21"/>
                      <w:lang w:eastAsia="zh-CN"/>
                    </w:rPr>
                    <w:t>暂存于危废间</w:t>
                  </w:r>
                  <w:r>
                    <w:rPr>
                      <w:rFonts w:hint="eastAsia"/>
                      <w:color w:val="auto"/>
                      <w:sz w:val="21"/>
                      <w:szCs w:val="21"/>
                      <w:lang w:eastAsia="zh-CN"/>
                    </w:rPr>
                    <w:t>，最终</w:t>
                  </w:r>
                  <w:r>
                    <w:rPr>
                      <w:rFonts w:hint="default"/>
                      <w:color w:val="auto"/>
                      <w:sz w:val="21"/>
                      <w:szCs w:val="21"/>
                      <w:lang w:eastAsia="zh-CN"/>
                    </w:rPr>
                    <w:t>交由内蒙古九瑞能源科技有限责任公司处置；生活垃圾由环卫部门统一清运。</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废水</w:t>
                  </w:r>
                </w:p>
              </w:tc>
              <w:tc>
                <w:tcPr>
                  <w:tcW w:w="4665" w:type="dxa"/>
                  <w:tcBorders>
                    <w:tl2br w:val="nil"/>
                    <w:tr2bl w:val="nil"/>
                  </w:tcBorders>
                  <w:vAlign w:val="center"/>
                </w:tcPr>
                <w:p>
                  <w:pPr>
                    <w:bidi w:val="0"/>
                    <w:spacing w:line="240" w:lineRule="auto"/>
                    <w:rPr>
                      <w:rFonts w:hint="default"/>
                      <w:color w:val="auto"/>
                      <w:sz w:val="21"/>
                      <w:szCs w:val="21"/>
                      <w:lang w:eastAsia="zh-Hans"/>
                    </w:rPr>
                  </w:pPr>
                  <w:r>
                    <w:rPr>
                      <w:rFonts w:hint="default"/>
                      <w:color w:val="auto"/>
                      <w:sz w:val="21"/>
                      <w:szCs w:val="21"/>
                      <w:lang w:eastAsia="zh-CN"/>
                    </w:rPr>
                    <w:t>本项目生产过程中循环冷却水、生产用水等不外排；车间地面冲洗用水</w:t>
                  </w:r>
                  <w:r>
                    <w:rPr>
                      <w:rFonts w:hint="eastAsia"/>
                      <w:color w:val="auto"/>
                      <w:sz w:val="21"/>
                      <w:szCs w:val="21"/>
                      <w:lang w:eastAsia="zh-CN"/>
                    </w:rPr>
                    <w:t>和员工洗澡废水</w:t>
                  </w:r>
                  <w:r>
                    <w:rPr>
                      <w:rFonts w:hint="default"/>
                      <w:color w:val="auto"/>
                      <w:sz w:val="21"/>
                      <w:szCs w:val="21"/>
                      <w:lang w:eastAsia="zh-CN"/>
                    </w:rPr>
                    <w:t>排放至园区污水处理厂，本项目生活污水排入化粪池收集后，最终排入园区污水处理厂。</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噪声</w:t>
                  </w:r>
                </w:p>
              </w:tc>
              <w:tc>
                <w:tcPr>
                  <w:tcW w:w="4665" w:type="dxa"/>
                  <w:tcBorders>
                    <w:tl2br w:val="nil"/>
                    <w:tr2bl w:val="nil"/>
                  </w:tcBorders>
                  <w:vAlign w:val="center"/>
                </w:tcPr>
                <w:p>
                  <w:pPr>
                    <w:bidi w:val="0"/>
                    <w:spacing w:line="240" w:lineRule="auto"/>
                    <w:rPr>
                      <w:rFonts w:hint="default"/>
                      <w:color w:val="auto"/>
                      <w:sz w:val="21"/>
                      <w:szCs w:val="21"/>
                      <w:lang w:eastAsia="zh-CN"/>
                    </w:rPr>
                  </w:pPr>
                  <w:r>
                    <w:rPr>
                      <w:rFonts w:hint="default"/>
                      <w:color w:val="auto"/>
                      <w:sz w:val="21"/>
                      <w:szCs w:val="21"/>
                      <w:lang w:eastAsia="zh-CN"/>
                    </w:rPr>
                    <w:t>选用低噪声设备，高噪声设备采取隔音、减震措施。</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4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103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eastAsia"/>
                      <w:color w:val="auto"/>
                      <w:sz w:val="21"/>
                      <w:szCs w:val="21"/>
                      <w:lang w:eastAsia="zh-CN"/>
                    </w:rPr>
                    <w:t>消防</w:t>
                  </w:r>
                  <w:r>
                    <w:rPr>
                      <w:rFonts w:hint="default"/>
                      <w:color w:val="auto"/>
                      <w:sz w:val="21"/>
                      <w:szCs w:val="21"/>
                    </w:rPr>
                    <w:t>水池</w:t>
                  </w:r>
                </w:p>
              </w:tc>
              <w:tc>
                <w:tcPr>
                  <w:tcW w:w="4665" w:type="dxa"/>
                  <w:tcBorders>
                    <w:tl2br w:val="nil"/>
                    <w:tr2bl w:val="nil"/>
                  </w:tcBorders>
                  <w:vAlign w:val="center"/>
                </w:tcPr>
                <w:p>
                  <w:pPr>
                    <w:bidi w:val="0"/>
                    <w:spacing w:line="240" w:lineRule="auto"/>
                    <w:rPr>
                      <w:rFonts w:hint="default"/>
                      <w:color w:val="auto"/>
                      <w:sz w:val="21"/>
                      <w:szCs w:val="21"/>
                      <w:lang w:eastAsia="zh-CN"/>
                    </w:rPr>
                  </w:pPr>
                  <w:r>
                    <w:rPr>
                      <w:rFonts w:hint="default"/>
                      <w:color w:val="auto"/>
                      <w:sz w:val="21"/>
                      <w:szCs w:val="21"/>
                      <w:lang w:eastAsia="zh-CN"/>
                    </w:rPr>
                    <w:t>建设有2座冷却循环水池，同时可也作为消防水池，有效容积分别为 504m</w:t>
                  </w:r>
                  <w:r>
                    <w:rPr>
                      <w:rFonts w:hint="eastAsia"/>
                      <w:color w:val="auto"/>
                      <w:sz w:val="21"/>
                      <w:szCs w:val="21"/>
                      <w:vertAlign w:val="superscript"/>
                      <w:lang w:val="en-US" w:eastAsia="zh-CN"/>
                    </w:rPr>
                    <w:t>3</w:t>
                  </w:r>
                  <w:r>
                    <w:rPr>
                      <w:rFonts w:hint="default"/>
                      <w:color w:val="auto"/>
                      <w:sz w:val="21"/>
                      <w:szCs w:val="21"/>
                      <w:lang w:eastAsia="zh-CN"/>
                    </w:rPr>
                    <w:t>和 150m</w:t>
                  </w:r>
                  <w:r>
                    <w:rPr>
                      <w:rFonts w:hint="eastAsia"/>
                      <w:color w:val="auto"/>
                      <w:sz w:val="21"/>
                      <w:szCs w:val="21"/>
                      <w:vertAlign w:val="superscript"/>
                      <w:lang w:val="en-US" w:eastAsia="zh-CN"/>
                    </w:rPr>
                    <w:t>3</w:t>
                  </w:r>
                  <w:r>
                    <w:rPr>
                      <w:rFonts w:hint="default"/>
                      <w:color w:val="auto"/>
                      <w:sz w:val="21"/>
                      <w:szCs w:val="21"/>
                      <w:lang w:eastAsia="zh-CN"/>
                    </w:rPr>
                    <w:t>。</w:t>
                  </w:r>
                </w:p>
              </w:tc>
              <w:tc>
                <w:tcPr>
                  <w:tcW w:w="18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CN"/>
                    </w:rPr>
                    <w:t>已建</w:t>
                  </w:r>
                </w:p>
              </w:tc>
            </w:tr>
          </w:tbl>
          <w:p>
            <w:pPr>
              <w:bidi w:val="0"/>
              <w:rPr>
                <w:rFonts w:hint="eastAsia"/>
                <w:b/>
                <w:bCs/>
                <w:color w:val="auto"/>
                <w:lang w:val="en-US" w:eastAsia="zh-CN"/>
              </w:rPr>
            </w:pPr>
            <w:r>
              <w:rPr>
                <w:rFonts w:hint="eastAsia"/>
                <w:b/>
                <w:bCs/>
                <w:color w:val="auto"/>
                <w:lang w:val="en-US" w:eastAsia="zh-CN"/>
              </w:rPr>
              <w:t>2.2主要原辅材料、能源情况</w:t>
            </w:r>
          </w:p>
          <w:p>
            <w:pPr>
              <w:bidi w:val="0"/>
              <w:jc w:val="center"/>
              <w:rPr>
                <w:rFonts w:hint="default" w:eastAsia="宋体"/>
                <w:b/>
                <w:bCs/>
                <w:color w:val="auto"/>
                <w:lang w:val="en-US" w:eastAsia="zh-CN"/>
              </w:rPr>
            </w:pPr>
            <w:r>
              <w:rPr>
                <w:rFonts w:hint="eastAsia"/>
                <w:b/>
                <w:bCs/>
                <w:color w:val="auto"/>
                <w:lang w:eastAsia="zh-CN"/>
              </w:rPr>
              <w:t>表</w:t>
            </w:r>
            <w:r>
              <w:rPr>
                <w:rFonts w:hint="eastAsia"/>
                <w:b/>
                <w:bCs/>
                <w:color w:val="auto"/>
                <w:lang w:val="en-US" w:eastAsia="zh-CN"/>
              </w:rPr>
              <w:t>7  原辅材料消耗情况一览表</w:t>
            </w:r>
          </w:p>
          <w:tbl>
            <w:tblPr>
              <w:tblStyle w:val="18"/>
              <w:tblW w:w="7961"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653"/>
              <w:gridCol w:w="2654"/>
              <w:gridCol w:w="265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653"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vertAlign w:val="baseline"/>
                      <w:lang w:eastAsia="zh-CN"/>
                    </w:rPr>
                  </w:pPr>
                  <w:r>
                    <w:rPr>
                      <w:rFonts w:hint="eastAsia"/>
                      <w:b/>
                      <w:bCs/>
                      <w:color w:val="auto"/>
                      <w:sz w:val="21"/>
                      <w:szCs w:val="21"/>
                      <w:vertAlign w:val="baseline"/>
                      <w:lang w:eastAsia="zh-CN"/>
                    </w:rPr>
                    <w:t>名称</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vertAlign w:val="baseline"/>
                      <w:lang w:eastAsia="zh-CN"/>
                    </w:rPr>
                  </w:pPr>
                  <w:r>
                    <w:rPr>
                      <w:rFonts w:hint="eastAsia"/>
                      <w:b/>
                      <w:bCs/>
                      <w:color w:val="auto"/>
                      <w:sz w:val="21"/>
                      <w:szCs w:val="21"/>
                      <w:vertAlign w:val="baseline"/>
                      <w:lang w:eastAsia="zh-CN"/>
                    </w:rPr>
                    <w:t>年消耗量</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vertAlign w:val="baseline"/>
                      <w:lang w:eastAsia="zh-CN"/>
                    </w:rPr>
                  </w:pPr>
                  <w:r>
                    <w:rPr>
                      <w:rFonts w:hint="eastAsia"/>
                      <w:b/>
                      <w:bCs/>
                      <w:color w:val="auto"/>
                      <w:sz w:val="21"/>
                      <w:szCs w:val="21"/>
                      <w:vertAlign w:val="baseline"/>
                      <w:lang w:eastAsia="zh-CN"/>
                    </w:rPr>
                    <w:t>储存位置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961" w:type="dxa"/>
                  <w:gridSpan w:val="3"/>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再生胶生产线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653"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胶粉</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60000</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原料库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653"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活化剂</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60</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vertAlign w:val="baseline"/>
                    </w:rPr>
                  </w:pPr>
                  <w:r>
                    <w:rPr>
                      <w:rFonts w:hint="eastAsia"/>
                      <w:b w:val="0"/>
                      <w:bCs w:val="0"/>
                      <w:color w:val="auto"/>
                      <w:sz w:val="21"/>
                      <w:szCs w:val="21"/>
                      <w:vertAlign w:val="baseline"/>
                      <w:lang w:eastAsia="zh-CN"/>
                    </w:rPr>
                    <w:t>原料库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653"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植物油</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12000</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vertAlign w:val="baseline"/>
                    </w:rPr>
                  </w:pPr>
                  <w:r>
                    <w:rPr>
                      <w:rFonts w:hint="eastAsia"/>
                      <w:b w:val="0"/>
                      <w:bCs w:val="0"/>
                      <w:color w:val="auto"/>
                      <w:sz w:val="21"/>
                      <w:szCs w:val="21"/>
                      <w:vertAlign w:val="baseline"/>
                      <w:lang w:eastAsia="zh-CN"/>
                    </w:rPr>
                    <w:t>原料库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653"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导热油（软化剂）</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10</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原料库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961" w:type="dxa"/>
                  <w:gridSpan w:val="3"/>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胶板生产线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653"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再生胶</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10633.7</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vertAlign w:val="baseline"/>
                    </w:rPr>
                  </w:pPr>
                  <w:r>
                    <w:rPr>
                      <w:rFonts w:hint="eastAsia"/>
                      <w:b w:val="0"/>
                      <w:bCs w:val="0"/>
                      <w:color w:val="auto"/>
                      <w:sz w:val="21"/>
                      <w:szCs w:val="21"/>
                      <w:vertAlign w:val="baseline"/>
                      <w:lang w:eastAsia="zh-CN"/>
                    </w:rPr>
                    <w:t>原料库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653"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陶土</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8700</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vertAlign w:val="baseline"/>
                    </w:rPr>
                  </w:pPr>
                  <w:r>
                    <w:rPr>
                      <w:rFonts w:hint="eastAsia"/>
                      <w:b w:val="0"/>
                      <w:bCs w:val="0"/>
                      <w:color w:val="auto"/>
                      <w:sz w:val="21"/>
                      <w:szCs w:val="21"/>
                      <w:vertAlign w:val="baseline"/>
                      <w:lang w:eastAsia="zh-CN"/>
                    </w:rPr>
                    <w:t>原料库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1" w:hRule="atLeast"/>
              </w:trPr>
              <w:tc>
                <w:tcPr>
                  <w:tcW w:w="2653"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促进剂</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690</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vertAlign w:val="baseline"/>
                    </w:rPr>
                  </w:pPr>
                  <w:r>
                    <w:rPr>
                      <w:rFonts w:hint="eastAsia"/>
                      <w:b w:val="0"/>
                      <w:bCs w:val="0"/>
                      <w:color w:val="auto"/>
                      <w:sz w:val="21"/>
                      <w:szCs w:val="21"/>
                      <w:vertAlign w:val="baseline"/>
                      <w:lang w:eastAsia="zh-CN"/>
                    </w:rPr>
                    <w:t>原料库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961" w:type="dxa"/>
                  <w:gridSpan w:val="3"/>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碱喷淋系统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653"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氢氧化钠</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12</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vertAlign w:val="baseline"/>
                    </w:rPr>
                  </w:pPr>
                  <w:r>
                    <w:rPr>
                      <w:rFonts w:hint="eastAsia"/>
                      <w:b w:val="0"/>
                      <w:bCs w:val="0"/>
                      <w:color w:val="auto"/>
                      <w:sz w:val="21"/>
                      <w:szCs w:val="21"/>
                      <w:vertAlign w:val="baseline"/>
                      <w:lang w:eastAsia="zh-CN"/>
                    </w:rPr>
                    <w:t>原料库内分区存放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961" w:type="dxa"/>
                  <w:gridSpan w:val="3"/>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导热系统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653"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导热油</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20</w:t>
                  </w:r>
                </w:p>
              </w:tc>
              <w:tc>
                <w:tcPr>
                  <w:tcW w:w="265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vertAlign w:val="baseline"/>
                    </w:rPr>
                  </w:pPr>
                  <w:r>
                    <w:rPr>
                      <w:rFonts w:hint="eastAsia"/>
                      <w:b w:val="0"/>
                      <w:bCs w:val="0"/>
                      <w:color w:val="auto"/>
                      <w:sz w:val="21"/>
                      <w:szCs w:val="21"/>
                      <w:vertAlign w:val="baseline"/>
                      <w:lang w:eastAsia="zh-CN"/>
                    </w:rPr>
                    <w:t>原料库内分区存放</w:t>
                  </w:r>
                </w:p>
              </w:tc>
            </w:tr>
          </w:tbl>
          <w:p>
            <w:pPr>
              <w:bidi w:val="0"/>
              <w:jc w:val="center"/>
              <w:rPr>
                <w:rFonts w:hint="default" w:eastAsia="宋体"/>
                <w:b/>
                <w:bCs/>
                <w:color w:val="auto"/>
                <w:lang w:val="en-US" w:eastAsia="zh-CN"/>
              </w:rPr>
            </w:pPr>
            <w:r>
              <w:rPr>
                <w:rFonts w:hint="eastAsia"/>
                <w:b/>
                <w:bCs/>
                <w:color w:val="auto"/>
                <w:lang w:eastAsia="zh-CN"/>
              </w:rPr>
              <w:t>表</w:t>
            </w:r>
            <w:r>
              <w:rPr>
                <w:rFonts w:hint="eastAsia"/>
                <w:b/>
                <w:bCs/>
                <w:color w:val="auto"/>
                <w:lang w:val="en-US" w:eastAsia="zh-CN"/>
              </w:rPr>
              <w:t>8  能源消耗一览表</w:t>
            </w:r>
          </w:p>
          <w:tbl>
            <w:tblPr>
              <w:tblStyle w:val="18"/>
              <w:tblW w:w="7961"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82"/>
              <w:gridCol w:w="2919"/>
              <w:gridCol w:w="1022"/>
              <w:gridCol w:w="323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vertAlign w:val="baseline"/>
                      <w:lang w:eastAsia="zh-CN"/>
                    </w:rPr>
                  </w:pPr>
                  <w:r>
                    <w:rPr>
                      <w:rFonts w:hint="eastAsia"/>
                      <w:b/>
                      <w:bCs/>
                      <w:color w:val="auto"/>
                      <w:sz w:val="21"/>
                      <w:szCs w:val="21"/>
                      <w:vertAlign w:val="baseline"/>
                      <w:lang w:eastAsia="zh-CN"/>
                    </w:rPr>
                    <w:t>序号</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vertAlign w:val="baseline"/>
                      <w:lang w:eastAsia="zh-CN"/>
                    </w:rPr>
                  </w:pPr>
                  <w:r>
                    <w:rPr>
                      <w:rFonts w:hint="eastAsia"/>
                      <w:b/>
                      <w:bCs/>
                      <w:color w:val="auto"/>
                      <w:sz w:val="21"/>
                      <w:szCs w:val="21"/>
                      <w:vertAlign w:val="baseline"/>
                      <w:lang w:eastAsia="zh-CN"/>
                    </w:rPr>
                    <w:t>名称</w:t>
                  </w:r>
                </w:p>
              </w:tc>
              <w:tc>
                <w:tcPr>
                  <w:tcW w:w="1022" w:type="dxa"/>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vertAlign w:val="baseline"/>
                      <w:lang w:eastAsia="zh-CN"/>
                    </w:rPr>
                  </w:pPr>
                  <w:r>
                    <w:rPr>
                      <w:rFonts w:hint="eastAsia"/>
                      <w:b/>
                      <w:bCs/>
                      <w:color w:val="auto"/>
                      <w:sz w:val="21"/>
                      <w:szCs w:val="21"/>
                      <w:vertAlign w:val="baseline"/>
                      <w:lang w:eastAsia="zh-CN"/>
                    </w:rPr>
                    <w:t>单位</w:t>
                  </w:r>
                </w:p>
              </w:tc>
              <w:tc>
                <w:tcPr>
                  <w:tcW w:w="3238" w:type="dxa"/>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sz w:val="21"/>
                      <w:szCs w:val="21"/>
                      <w:vertAlign w:val="baseline"/>
                      <w:lang w:eastAsia="zh-CN"/>
                    </w:rPr>
                  </w:pPr>
                  <w:r>
                    <w:rPr>
                      <w:rFonts w:hint="eastAsia"/>
                      <w:b/>
                      <w:bCs/>
                      <w:color w:val="auto"/>
                      <w:sz w:val="21"/>
                      <w:szCs w:val="21"/>
                      <w:vertAlign w:val="baseline"/>
                      <w:lang w:eastAsia="zh-CN"/>
                    </w:rPr>
                    <w:t>消耗量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1</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水</w:t>
                  </w:r>
                </w:p>
              </w:tc>
              <w:tc>
                <w:tcPr>
                  <w:tcW w:w="1022" w:type="dxa"/>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m</w:t>
                  </w:r>
                  <w:r>
                    <w:rPr>
                      <w:rFonts w:hint="eastAsia"/>
                      <w:b w:val="0"/>
                      <w:bCs w:val="0"/>
                      <w:color w:val="auto"/>
                      <w:sz w:val="21"/>
                      <w:szCs w:val="21"/>
                      <w:vertAlign w:val="superscript"/>
                      <w:lang w:val="en-US" w:eastAsia="zh-CN"/>
                    </w:rPr>
                    <w:t>3</w:t>
                  </w:r>
                </w:p>
              </w:tc>
              <w:tc>
                <w:tcPr>
                  <w:tcW w:w="3238" w:type="dxa"/>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43809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2</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电</w:t>
                  </w:r>
                </w:p>
              </w:tc>
              <w:tc>
                <w:tcPr>
                  <w:tcW w:w="1022" w:type="dxa"/>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万kwh</w:t>
                  </w:r>
                </w:p>
              </w:tc>
              <w:tc>
                <w:tcPr>
                  <w:tcW w:w="3238" w:type="dxa"/>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800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w:t>
                  </w:r>
                </w:p>
              </w:tc>
              <w:tc>
                <w:tcPr>
                  <w:tcW w:w="2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生物质燃料</w:t>
                  </w:r>
                </w:p>
              </w:tc>
              <w:tc>
                <w:tcPr>
                  <w:tcW w:w="1022" w:type="dxa"/>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t</w:t>
                  </w:r>
                </w:p>
              </w:tc>
              <w:tc>
                <w:tcPr>
                  <w:tcW w:w="3238" w:type="dxa"/>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2300</w:t>
                  </w:r>
                </w:p>
              </w:tc>
            </w:tr>
          </w:tbl>
          <w:p>
            <w:pPr>
              <w:bidi w:val="0"/>
              <w:rPr>
                <w:rFonts w:hint="default"/>
                <w:color w:val="auto"/>
                <w:lang w:val="en-US" w:eastAsia="zh-CN"/>
              </w:rPr>
            </w:pPr>
            <w:r>
              <w:rPr>
                <w:rFonts w:hint="eastAsia"/>
                <w:color w:val="auto"/>
                <w:lang w:val="en-US" w:eastAsia="zh-CN"/>
              </w:rPr>
              <w:t>现有工程物料平衡内容见下表。</w:t>
            </w:r>
          </w:p>
          <w:p>
            <w:pPr>
              <w:bidi w:val="0"/>
              <w:rPr>
                <w:rFonts w:hint="default"/>
                <w:color w:val="auto"/>
                <w:lang w:val="en-US" w:eastAsia="zh-CN"/>
              </w:rPr>
            </w:pPr>
            <w:r>
              <w:rPr>
                <w:rFonts w:hint="eastAsia"/>
                <w:color w:val="auto"/>
                <w:lang w:val="en-US" w:eastAsia="zh-CN"/>
              </w:rPr>
              <w:t>（1）再生胶物料平衡内容</w:t>
            </w:r>
          </w:p>
          <w:p>
            <w:pPr>
              <w:bidi w:val="0"/>
              <w:jc w:val="center"/>
              <w:rPr>
                <w:rFonts w:hint="default"/>
                <w:b/>
                <w:bCs/>
                <w:color w:val="auto"/>
                <w:lang w:val="en-US" w:eastAsia="zh-CN"/>
              </w:rPr>
            </w:pPr>
            <w:r>
              <w:rPr>
                <w:rFonts w:hint="eastAsia"/>
                <w:b/>
                <w:bCs/>
                <w:color w:val="auto"/>
                <w:lang w:val="en-US" w:eastAsia="zh-CN"/>
              </w:rPr>
              <w:t>表9  现有工程再生胶生产线物料平衡内容一览表</w:t>
            </w:r>
          </w:p>
          <w:tbl>
            <w:tblPr>
              <w:tblStyle w:val="34"/>
              <w:tblW w:w="7999" w:type="dxa"/>
              <w:tblInd w:w="-11"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550"/>
              <w:gridCol w:w="1703"/>
              <w:gridCol w:w="2018"/>
              <w:gridCol w:w="1792"/>
              <w:gridCol w:w="1936"/>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271" w:type="dxa"/>
                  <w:gridSpan w:val="3"/>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color w:val="auto"/>
                      <w:sz w:val="21"/>
                      <w:szCs w:val="21"/>
                    </w:rPr>
                  </w:pPr>
                  <w:r>
                    <w:rPr>
                      <w:b/>
                      <w:bCs/>
                      <w:color w:val="auto"/>
                      <w:sz w:val="21"/>
                      <w:szCs w:val="21"/>
                    </w:rPr>
                    <w:t>投入</w:t>
                  </w:r>
                </w:p>
              </w:tc>
              <w:tc>
                <w:tcPr>
                  <w:tcW w:w="3728"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color w:val="auto"/>
                      <w:sz w:val="21"/>
                      <w:szCs w:val="21"/>
                    </w:rPr>
                  </w:pPr>
                  <w:r>
                    <w:rPr>
                      <w:b/>
                      <w:bCs/>
                      <w:color w:val="auto"/>
                      <w:sz w:val="21"/>
                      <w:szCs w:val="21"/>
                    </w:rPr>
                    <w:t>产出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序号</w:t>
                  </w:r>
                </w:p>
              </w:tc>
              <w:tc>
                <w:tcPr>
                  <w:tcW w:w="170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项目</w:t>
                  </w:r>
                </w:p>
              </w:tc>
              <w:tc>
                <w:tcPr>
                  <w:tcW w:w="20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投入量(t/a)</w:t>
                  </w:r>
                </w:p>
              </w:tc>
              <w:tc>
                <w:tcPr>
                  <w:tcW w:w="179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项目</w:t>
                  </w:r>
                </w:p>
              </w:tc>
              <w:tc>
                <w:tcPr>
                  <w:tcW w:w="193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产量(t/a)</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1</w:t>
                  </w:r>
                </w:p>
              </w:tc>
              <w:tc>
                <w:tcPr>
                  <w:tcW w:w="170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胶粉</w:t>
                  </w:r>
                </w:p>
              </w:tc>
              <w:tc>
                <w:tcPr>
                  <w:tcW w:w="20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60000</w:t>
                  </w:r>
                </w:p>
              </w:tc>
              <w:tc>
                <w:tcPr>
                  <w:tcW w:w="179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再生胶</w:t>
                  </w:r>
                </w:p>
              </w:tc>
              <w:tc>
                <w:tcPr>
                  <w:tcW w:w="193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60000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2</w:t>
                  </w:r>
                </w:p>
              </w:tc>
              <w:tc>
                <w:tcPr>
                  <w:tcW w:w="170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活化剂</w:t>
                  </w:r>
                </w:p>
              </w:tc>
              <w:tc>
                <w:tcPr>
                  <w:tcW w:w="20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60</w:t>
                  </w:r>
                </w:p>
              </w:tc>
              <w:tc>
                <w:tcPr>
                  <w:tcW w:w="179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颗粒物</w:t>
                  </w:r>
                </w:p>
              </w:tc>
              <w:tc>
                <w:tcPr>
                  <w:tcW w:w="193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3</w:t>
                  </w:r>
                </w:p>
              </w:tc>
              <w:tc>
                <w:tcPr>
                  <w:tcW w:w="170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导热油</w:t>
                  </w:r>
                </w:p>
              </w:tc>
              <w:tc>
                <w:tcPr>
                  <w:tcW w:w="20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10</w:t>
                  </w:r>
                </w:p>
              </w:tc>
              <w:tc>
                <w:tcPr>
                  <w:tcW w:w="179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脱硫尾气</w:t>
                  </w:r>
                </w:p>
              </w:tc>
              <w:tc>
                <w:tcPr>
                  <w:tcW w:w="193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13.54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4</w:t>
                  </w:r>
                </w:p>
              </w:tc>
              <w:tc>
                <w:tcPr>
                  <w:tcW w:w="170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植物油</w:t>
                  </w:r>
                </w:p>
              </w:tc>
              <w:tc>
                <w:tcPr>
                  <w:tcW w:w="20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12000</w:t>
                  </w:r>
                </w:p>
              </w:tc>
              <w:tc>
                <w:tcPr>
                  <w:tcW w:w="179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压胶废气</w:t>
                  </w:r>
                </w:p>
              </w:tc>
              <w:tc>
                <w:tcPr>
                  <w:tcW w:w="193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4.67</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5</w:t>
                  </w:r>
                </w:p>
              </w:tc>
              <w:tc>
                <w:tcPr>
                  <w:tcW w:w="170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新鲜水</w:t>
                  </w:r>
                </w:p>
              </w:tc>
              <w:tc>
                <w:tcPr>
                  <w:tcW w:w="20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7200</w:t>
                  </w:r>
                </w:p>
              </w:tc>
              <w:tc>
                <w:tcPr>
                  <w:tcW w:w="179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水蒸气</w:t>
                  </w:r>
                </w:p>
              </w:tc>
              <w:tc>
                <w:tcPr>
                  <w:tcW w:w="193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19191.79</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rFonts w:hint="eastAsia"/>
                      <w:color w:val="auto"/>
                      <w:sz w:val="21"/>
                      <w:szCs w:val="21"/>
                      <w:lang w:eastAsia="zh-CN"/>
                    </w:rPr>
                    <w:t>合</w:t>
                  </w:r>
                  <w:r>
                    <w:rPr>
                      <w:color w:val="auto"/>
                      <w:sz w:val="21"/>
                      <w:szCs w:val="21"/>
                    </w:rPr>
                    <w:t>计</w:t>
                  </w:r>
                </w:p>
              </w:tc>
              <w:tc>
                <w:tcPr>
                  <w:tcW w:w="170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p>
              </w:tc>
              <w:tc>
                <w:tcPr>
                  <w:tcW w:w="20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79270</w:t>
                  </w:r>
                </w:p>
              </w:tc>
              <w:tc>
                <w:tcPr>
                  <w:tcW w:w="179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rFonts w:hint="eastAsia"/>
                      <w:color w:val="auto"/>
                      <w:sz w:val="21"/>
                      <w:szCs w:val="21"/>
                      <w:lang w:eastAsia="zh-CN"/>
                    </w:rPr>
                    <w:t>合</w:t>
                  </w:r>
                  <w:r>
                    <w:rPr>
                      <w:color w:val="auto"/>
                      <w:sz w:val="21"/>
                      <w:szCs w:val="21"/>
                    </w:rPr>
                    <w:t>计</w:t>
                  </w:r>
                </w:p>
              </w:tc>
              <w:tc>
                <w:tcPr>
                  <w:tcW w:w="193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79270</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lang w:val="en-US" w:eastAsia="zh-CN"/>
              </w:rPr>
            </w:pPr>
            <w:r>
              <w:rPr>
                <w:rFonts w:hint="eastAsia"/>
                <w:b/>
                <w:bCs/>
                <w:color w:val="auto"/>
                <w:lang w:val="en-US" w:eastAsia="zh-CN"/>
              </w:rPr>
              <w:object>
                <v:shape id="_x0000_i1025" o:spt="75" type="#_x0000_t75" style="height:189.75pt;width:279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pPr>
              <w:bidi w:val="0"/>
              <w:jc w:val="center"/>
              <w:rPr>
                <w:rFonts w:hint="default"/>
                <w:b/>
                <w:bCs/>
                <w:color w:val="auto"/>
                <w:lang w:val="en-US" w:eastAsia="zh-CN"/>
              </w:rPr>
            </w:pPr>
            <w:r>
              <w:rPr>
                <w:rFonts w:hint="eastAsia"/>
                <w:b/>
                <w:bCs/>
                <w:color w:val="auto"/>
                <w:lang w:val="en-US" w:eastAsia="zh-CN"/>
              </w:rPr>
              <w:t>图1  现有工程再生胶物料平衡图</w:t>
            </w:r>
          </w:p>
          <w:p>
            <w:pPr>
              <w:bidi w:val="0"/>
              <w:rPr>
                <w:rFonts w:hint="default"/>
                <w:b w:val="0"/>
                <w:bCs w:val="0"/>
                <w:color w:val="auto"/>
                <w:lang w:val="en-US" w:eastAsia="zh-CN"/>
              </w:rPr>
            </w:pPr>
            <w:r>
              <w:rPr>
                <w:rFonts w:hint="eastAsia"/>
                <w:b w:val="0"/>
                <w:bCs w:val="0"/>
                <w:color w:val="auto"/>
                <w:lang w:val="en-US" w:eastAsia="zh-CN"/>
              </w:rPr>
              <w:t>（2）胶板物料平衡内容</w:t>
            </w:r>
          </w:p>
          <w:p>
            <w:pPr>
              <w:bidi w:val="0"/>
              <w:jc w:val="center"/>
              <w:rPr>
                <w:rFonts w:hint="default"/>
                <w:b/>
                <w:bCs/>
                <w:color w:val="auto"/>
                <w:lang w:val="en-US" w:eastAsia="zh-CN"/>
              </w:rPr>
            </w:pPr>
            <w:r>
              <w:rPr>
                <w:rFonts w:hint="eastAsia"/>
                <w:b/>
                <w:bCs/>
                <w:color w:val="auto"/>
                <w:lang w:val="en-US" w:eastAsia="zh-CN"/>
              </w:rPr>
              <w:t>表10  现有工程胶板生产线物料平衡内容一览表</w:t>
            </w:r>
          </w:p>
          <w:tbl>
            <w:tblPr>
              <w:tblStyle w:val="34"/>
              <w:tblW w:w="7999" w:type="dxa"/>
              <w:tblInd w:w="-11"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962"/>
              <w:gridCol w:w="2267"/>
              <w:gridCol w:w="2878"/>
              <w:gridCol w:w="1248"/>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3873" w:type="dxa"/>
                  <w:gridSpan w:val="3"/>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投入</w:t>
                  </w:r>
                </w:p>
              </w:tc>
              <w:tc>
                <w:tcPr>
                  <w:tcW w:w="4126"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产出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4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序号</w:t>
                  </w:r>
                </w:p>
              </w:tc>
              <w:tc>
                <w:tcPr>
                  <w:tcW w:w="96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项目</w:t>
                  </w:r>
                </w:p>
              </w:tc>
              <w:tc>
                <w:tcPr>
                  <w:tcW w:w="226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投入量(t/a)</w:t>
                  </w:r>
                </w:p>
              </w:tc>
              <w:tc>
                <w:tcPr>
                  <w:tcW w:w="287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项目</w:t>
                  </w:r>
                </w:p>
              </w:tc>
              <w:tc>
                <w:tcPr>
                  <w:tcW w:w="124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产量(t/a)</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4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1</w:t>
                  </w:r>
                </w:p>
              </w:tc>
              <w:tc>
                <w:tcPr>
                  <w:tcW w:w="96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再生胶</w:t>
                  </w:r>
                </w:p>
              </w:tc>
              <w:tc>
                <w:tcPr>
                  <w:tcW w:w="226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olor w:val="auto"/>
                      <w:sz w:val="21"/>
                      <w:szCs w:val="21"/>
                      <w:lang w:val="en-US" w:eastAsia="zh-CN"/>
                    </w:rPr>
                  </w:pPr>
                  <w:r>
                    <w:rPr>
                      <w:rFonts w:ascii="Times New Roman" w:hAnsi="Times New Roman" w:eastAsia="宋体"/>
                      <w:color w:val="auto"/>
                      <w:sz w:val="21"/>
                      <w:szCs w:val="21"/>
                    </w:rPr>
                    <w:t>10633</w:t>
                  </w:r>
                  <w:r>
                    <w:rPr>
                      <w:rFonts w:hint="eastAsia"/>
                      <w:color w:val="auto"/>
                      <w:sz w:val="21"/>
                      <w:szCs w:val="21"/>
                      <w:lang w:val="en-US" w:eastAsia="zh-CN"/>
                    </w:rPr>
                    <w:t>.7</w:t>
                  </w:r>
                </w:p>
              </w:tc>
              <w:tc>
                <w:tcPr>
                  <w:tcW w:w="287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胶板</w:t>
                  </w:r>
                </w:p>
              </w:tc>
              <w:tc>
                <w:tcPr>
                  <w:tcW w:w="124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20000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4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2</w:t>
                  </w:r>
                </w:p>
              </w:tc>
              <w:tc>
                <w:tcPr>
                  <w:tcW w:w="96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陶土</w:t>
                  </w:r>
                </w:p>
              </w:tc>
              <w:tc>
                <w:tcPr>
                  <w:tcW w:w="226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8700</w:t>
                  </w:r>
                </w:p>
              </w:tc>
              <w:tc>
                <w:tcPr>
                  <w:tcW w:w="287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废气</w:t>
                  </w:r>
                </w:p>
              </w:tc>
              <w:tc>
                <w:tcPr>
                  <w:tcW w:w="124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12.39</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4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w:t>
                  </w:r>
                </w:p>
              </w:tc>
              <w:tc>
                <w:tcPr>
                  <w:tcW w:w="96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促进剂</w:t>
                  </w:r>
                </w:p>
              </w:tc>
              <w:tc>
                <w:tcPr>
                  <w:tcW w:w="226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690</w:t>
                  </w:r>
                </w:p>
              </w:tc>
              <w:tc>
                <w:tcPr>
                  <w:tcW w:w="287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废边角料 (包含不合格产品)</w:t>
                  </w:r>
                </w:p>
              </w:tc>
              <w:tc>
                <w:tcPr>
                  <w:tcW w:w="124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11.31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64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lang w:eastAsia="zh-CN"/>
                    </w:rPr>
                    <w:t>合</w:t>
                  </w:r>
                  <w:r>
                    <w:rPr>
                      <w:rFonts w:ascii="Times New Roman" w:hAnsi="Times New Roman" w:eastAsia="宋体"/>
                      <w:color w:val="auto"/>
                      <w:sz w:val="21"/>
                      <w:szCs w:val="21"/>
                    </w:rPr>
                    <w:t>计</w:t>
                  </w:r>
                </w:p>
              </w:tc>
              <w:tc>
                <w:tcPr>
                  <w:tcW w:w="962"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p>
              </w:tc>
              <w:tc>
                <w:tcPr>
                  <w:tcW w:w="226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20023.7</w:t>
                  </w:r>
                </w:p>
              </w:tc>
              <w:tc>
                <w:tcPr>
                  <w:tcW w:w="287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hint="eastAsia"/>
                      <w:color w:val="auto"/>
                      <w:sz w:val="21"/>
                      <w:szCs w:val="21"/>
                      <w:lang w:eastAsia="zh-CN"/>
                    </w:rPr>
                    <w:t>合</w:t>
                  </w:r>
                  <w:r>
                    <w:rPr>
                      <w:rFonts w:ascii="Times New Roman" w:hAnsi="Times New Roman" w:eastAsia="宋体"/>
                      <w:color w:val="auto"/>
                      <w:sz w:val="21"/>
                      <w:szCs w:val="21"/>
                    </w:rPr>
                    <w:t>计</w:t>
                  </w:r>
                </w:p>
              </w:tc>
              <w:tc>
                <w:tcPr>
                  <w:tcW w:w="124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20023.7</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lang w:val="en-US" w:eastAsia="zh-CN"/>
              </w:rPr>
            </w:pPr>
            <w:r>
              <w:rPr>
                <w:rFonts w:hint="eastAsia"/>
                <w:b/>
                <w:bCs/>
                <w:color w:val="auto"/>
                <w:lang w:val="en-US" w:eastAsia="zh-CN"/>
              </w:rPr>
              <w:object>
                <v:shape id="_x0000_i1026" o:spt="75" type="#_x0000_t75" style="height:271.2pt;width:266.4pt;" o:ole="t" filled="f" o:preferrelative="t" stroked="f" coordsize="21600,21600">
                  <v:path/>
                  <v:fill on="f" focussize="0,0"/>
                  <v:stroke on="f"/>
                  <v:imagedata r:id="rId13" o:title=""/>
                  <o:lock v:ext="edit" aspectratio="f"/>
                  <w10:wrap type="none"/>
                  <w10:anchorlock/>
                </v:shape>
                <o:OLEObject Type="Embed" ProgID="Visio.Drawing.11" ShapeID="_x0000_i1026" DrawAspect="Content" ObjectID="_1468075726" r:id="rId12">
                  <o:LockedField>false</o:LockedField>
                </o:OLEObject>
              </w:object>
            </w:r>
          </w:p>
          <w:p>
            <w:pPr>
              <w:bidi w:val="0"/>
              <w:jc w:val="center"/>
              <w:rPr>
                <w:rFonts w:hint="default"/>
                <w:b/>
                <w:bCs/>
                <w:color w:val="auto"/>
                <w:lang w:val="en-US" w:eastAsia="zh-CN"/>
              </w:rPr>
            </w:pPr>
            <w:r>
              <w:rPr>
                <w:rFonts w:hint="eastAsia"/>
                <w:b/>
                <w:bCs/>
                <w:color w:val="auto"/>
                <w:lang w:val="en-US" w:eastAsia="zh-CN"/>
              </w:rPr>
              <w:t>图2  现有工程胶板物料平衡图</w:t>
            </w:r>
          </w:p>
          <w:p>
            <w:pPr>
              <w:bidi w:val="0"/>
              <w:rPr>
                <w:rFonts w:hint="eastAsia"/>
                <w:b/>
                <w:bCs/>
                <w:color w:val="auto"/>
                <w:lang w:eastAsia="zh-CN"/>
              </w:rPr>
            </w:pPr>
            <w:r>
              <w:rPr>
                <w:rFonts w:hint="eastAsia"/>
                <w:b/>
                <w:bCs/>
                <w:color w:val="auto"/>
                <w:lang w:val="en-US" w:eastAsia="zh-CN"/>
              </w:rPr>
              <w:t>2.3</w:t>
            </w:r>
            <w:r>
              <w:rPr>
                <w:rFonts w:hint="eastAsia"/>
                <w:b/>
                <w:bCs/>
                <w:color w:val="auto"/>
                <w:lang w:eastAsia="zh-CN"/>
              </w:rPr>
              <w:t>现有工程生产设备</w:t>
            </w:r>
          </w:p>
          <w:p>
            <w:pPr>
              <w:bidi w:val="0"/>
              <w:rPr>
                <w:rFonts w:hint="default"/>
                <w:color w:val="auto"/>
                <w:lang w:val="en-US" w:eastAsia="zh-CN"/>
              </w:rPr>
            </w:pPr>
            <w:r>
              <w:rPr>
                <w:rFonts w:hint="eastAsia"/>
                <w:color w:val="auto"/>
                <w:lang w:eastAsia="zh-CN"/>
              </w:rPr>
              <w:t>现有工程主要生产设备见下表</w:t>
            </w:r>
            <w:r>
              <w:rPr>
                <w:rFonts w:hint="eastAsia"/>
                <w:color w:val="auto"/>
                <w:lang w:val="en-US" w:eastAsia="zh-CN"/>
              </w:rPr>
              <w:t>11。</w:t>
            </w:r>
          </w:p>
          <w:p>
            <w:pPr>
              <w:bidi w:val="0"/>
              <w:jc w:val="center"/>
              <w:rPr>
                <w:rFonts w:hint="default" w:eastAsia="宋体"/>
                <w:b/>
                <w:bCs/>
                <w:color w:val="auto"/>
                <w:lang w:val="en-US" w:eastAsia="zh-CN"/>
              </w:rPr>
            </w:pPr>
            <w:r>
              <w:rPr>
                <w:rFonts w:hint="eastAsia"/>
                <w:b/>
                <w:bCs/>
                <w:color w:val="auto"/>
                <w:lang w:eastAsia="zh-CN"/>
              </w:rPr>
              <w:t>表</w:t>
            </w:r>
            <w:r>
              <w:rPr>
                <w:rFonts w:hint="eastAsia"/>
                <w:b/>
                <w:bCs/>
                <w:color w:val="auto"/>
                <w:lang w:val="en-US" w:eastAsia="zh-CN"/>
              </w:rPr>
              <w:t>11  现有工程生产设备一览表</w:t>
            </w:r>
          </w:p>
          <w:tbl>
            <w:tblPr>
              <w:tblStyle w:val="18"/>
              <w:tblW w:w="7961"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90"/>
              <w:gridCol w:w="1438"/>
              <w:gridCol w:w="1077"/>
              <w:gridCol w:w="345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1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vertAlign w:val="baseline"/>
                      <w:lang w:eastAsia="zh-CN"/>
                    </w:rPr>
                  </w:pPr>
                  <w:r>
                    <w:rPr>
                      <w:rFonts w:hint="eastAsia"/>
                      <w:b/>
                      <w:bCs/>
                      <w:color w:val="auto"/>
                      <w:sz w:val="21"/>
                      <w:szCs w:val="21"/>
                      <w:vertAlign w:val="baseline"/>
                      <w:lang w:eastAsia="zh-CN"/>
                    </w:rPr>
                    <w:t>设备名称</w:t>
                  </w:r>
                </w:p>
              </w:tc>
              <w:tc>
                <w:tcPr>
                  <w:tcW w:w="14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vertAlign w:val="baseline"/>
                      <w:lang w:eastAsia="zh-CN"/>
                    </w:rPr>
                  </w:pPr>
                  <w:r>
                    <w:rPr>
                      <w:rFonts w:hint="eastAsia"/>
                      <w:b/>
                      <w:bCs/>
                      <w:color w:val="auto"/>
                      <w:sz w:val="21"/>
                      <w:szCs w:val="21"/>
                      <w:vertAlign w:val="baseline"/>
                      <w:lang w:eastAsia="zh-CN"/>
                    </w:rPr>
                    <w:t>型号或尺寸</w:t>
                  </w:r>
                </w:p>
              </w:tc>
              <w:tc>
                <w:tcPr>
                  <w:tcW w:w="10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vertAlign w:val="baseline"/>
                      <w:lang w:eastAsia="zh-CN"/>
                    </w:rPr>
                  </w:pPr>
                  <w:r>
                    <w:rPr>
                      <w:rFonts w:hint="eastAsia"/>
                      <w:b/>
                      <w:bCs/>
                      <w:color w:val="auto"/>
                      <w:sz w:val="21"/>
                      <w:szCs w:val="21"/>
                      <w:vertAlign w:val="baseline"/>
                      <w:lang w:eastAsia="zh-CN"/>
                    </w:rPr>
                    <w:t>数量</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bCs/>
                      <w:color w:val="auto"/>
                      <w:sz w:val="21"/>
                      <w:szCs w:val="21"/>
                      <w:vertAlign w:val="baseline"/>
                      <w:lang w:eastAsia="zh-CN"/>
                    </w:rPr>
                  </w:pPr>
                  <w:r>
                    <w:rPr>
                      <w:rFonts w:hint="eastAsia"/>
                      <w:b/>
                      <w:bCs/>
                      <w:color w:val="auto"/>
                      <w:sz w:val="21"/>
                      <w:szCs w:val="21"/>
                      <w:vertAlign w:val="baseline"/>
                      <w:lang w:eastAsia="zh-CN"/>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961"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sz w:val="21"/>
                      <w:szCs w:val="21"/>
                      <w:vertAlign w:val="baseline"/>
                      <w:lang w:eastAsia="zh-CN"/>
                    </w:rPr>
                  </w:pPr>
                  <w:r>
                    <w:rPr>
                      <w:rFonts w:hint="eastAsia"/>
                      <w:b w:val="0"/>
                      <w:bCs w:val="0"/>
                      <w:color w:val="auto"/>
                      <w:sz w:val="21"/>
                      <w:szCs w:val="21"/>
                      <w:vertAlign w:val="baseline"/>
                      <w:lang w:eastAsia="zh-CN"/>
                    </w:rPr>
                    <w:t>再生胶生产线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开炼机</w:t>
                  </w:r>
                </w:p>
              </w:tc>
              <w:tc>
                <w:tcPr>
                  <w:tcW w:w="14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辊径 450m</w:t>
                  </w:r>
                </w:p>
              </w:tc>
              <w:tc>
                <w:tcPr>
                  <w:tcW w:w="10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12</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7" w:hRule="atLeast"/>
              </w:trPr>
              <w:tc>
                <w:tcPr>
                  <w:tcW w:w="1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精炼机</w:t>
                  </w:r>
                </w:p>
              </w:tc>
              <w:tc>
                <w:tcPr>
                  <w:tcW w:w="14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辊径 480m</w:t>
                  </w:r>
                </w:p>
              </w:tc>
              <w:tc>
                <w:tcPr>
                  <w:tcW w:w="10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8</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硫化罐</w:t>
                  </w:r>
                </w:p>
              </w:tc>
              <w:tc>
                <w:tcPr>
                  <w:tcW w:w="14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9.6m³</w:t>
                  </w:r>
                </w:p>
              </w:tc>
              <w:tc>
                <w:tcPr>
                  <w:tcW w:w="10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8</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硫化罐为主要决定 产能的设备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961"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b w:val="0"/>
                      <w:bCs w:val="0"/>
                      <w:color w:val="auto"/>
                      <w:sz w:val="21"/>
                      <w:szCs w:val="21"/>
                      <w:vertAlign w:val="baseline"/>
                      <w:lang w:eastAsia="zh-CN"/>
                    </w:rPr>
                  </w:pPr>
                  <w:r>
                    <w:rPr>
                      <w:rFonts w:hint="eastAsia"/>
                      <w:b w:val="0"/>
                      <w:bCs w:val="0"/>
                      <w:color w:val="auto"/>
                      <w:sz w:val="21"/>
                      <w:szCs w:val="21"/>
                      <w:vertAlign w:val="baseline"/>
                      <w:lang w:eastAsia="zh-CN"/>
                    </w:rPr>
                    <w:t>胶板生产线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硫化机</w:t>
                  </w:r>
                </w:p>
              </w:tc>
              <w:tc>
                <w:tcPr>
                  <w:tcW w:w="14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b w:val="0"/>
                      <w:bCs w:val="0"/>
                      <w:color w:val="auto"/>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b w:val="0"/>
                      <w:bCs w:val="0"/>
                      <w:color w:val="auto"/>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w:t>
                  </w:r>
                </w:p>
              </w:tc>
              <w:tc>
                <w:tcPr>
                  <w:tcW w:w="10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b w:val="0"/>
                      <w:bCs w:val="0"/>
                      <w:color w:val="auto"/>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b w:val="0"/>
                      <w:bCs w:val="0"/>
                      <w:color w:val="auto"/>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8</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硫化机根据产品市场销量优化调整，提高生产效率，非控制生产规模关键设备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压胶机</w:t>
                  </w:r>
                </w:p>
              </w:tc>
              <w:tc>
                <w:tcPr>
                  <w:tcW w:w="14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辊径 560m</w:t>
                  </w:r>
                </w:p>
              </w:tc>
              <w:tc>
                <w:tcPr>
                  <w:tcW w:w="10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15</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密炼机</w:t>
                  </w:r>
                </w:p>
              </w:tc>
              <w:tc>
                <w:tcPr>
                  <w:tcW w:w="14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容积 110L</w:t>
                  </w:r>
                </w:p>
              </w:tc>
              <w:tc>
                <w:tcPr>
                  <w:tcW w:w="10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5</w:t>
                  </w:r>
                </w:p>
              </w:tc>
              <w:tc>
                <w:tcPr>
                  <w:tcW w:w="34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密炼机为主要决定 产能的设备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平板硫化机</w:t>
                  </w:r>
                </w:p>
              </w:tc>
              <w:tc>
                <w:tcPr>
                  <w:tcW w:w="14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w:t>
                  </w:r>
                </w:p>
              </w:tc>
              <w:tc>
                <w:tcPr>
                  <w:tcW w:w="107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10</w:t>
                  </w:r>
                </w:p>
              </w:tc>
              <w:tc>
                <w:tcPr>
                  <w:tcW w:w="345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eastAsia="zh-CN"/>
                    </w:rPr>
                    <w:t>硫化机根据产品市场销量优化调整，提高生产效率，非控制生产规模关键设备</w:t>
                  </w:r>
                </w:p>
              </w:tc>
            </w:tr>
          </w:tbl>
          <w:p>
            <w:pPr>
              <w:bidi w:val="0"/>
              <w:rPr>
                <w:rFonts w:hint="eastAsia"/>
                <w:b/>
                <w:bCs/>
                <w:color w:val="auto"/>
                <w:lang w:eastAsia="zh-CN"/>
              </w:rPr>
            </w:pPr>
            <w:r>
              <w:rPr>
                <w:rFonts w:hint="eastAsia"/>
                <w:b/>
                <w:bCs/>
                <w:color w:val="auto"/>
                <w:lang w:val="en-US" w:eastAsia="zh-CN"/>
              </w:rPr>
              <w:t>2.4</w:t>
            </w:r>
            <w:r>
              <w:rPr>
                <w:rFonts w:hint="eastAsia"/>
                <w:b/>
                <w:bCs/>
                <w:color w:val="auto"/>
                <w:lang w:eastAsia="zh-CN"/>
              </w:rPr>
              <w:t>公用工程</w:t>
            </w:r>
          </w:p>
          <w:p>
            <w:pPr>
              <w:bidi w:val="0"/>
              <w:rPr>
                <w:rFonts w:hint="default" w:eastAsia="宋体"/>
                <w:b/>
                <w:bCs/>
                <w:color w:val="auto"/>
                <w:lang w:val="en-US" w:eastAsia="zh-CN"/>
              </w:rPr>
            </w:pPr>
            <w:r>
              <w:rPr>
                <w:rFonts w:hint="eastAsia"/>
                <w:b/>
                <w:bCs/>
                <w:color w:val="auto"/>
                <w:lang w:val="en-US" w:eastAsia="zh-CN"/>
              </w:rPr>
              <w:t>2.4.1给水</w:t>
            </w:r>
          </w:p>
          <w:p>
            <w:pPr>
              <w:bidi w:val="0"/>
              <w:rPr>
                <w:color w:val="auto"/>
              </w:rPr>
            </w:pPr>
            <w:r>
              <w:rPr>
                <w:color w:val="auto"/>
              </w:rPr>
              <w:t>项目供水由工业园区供水管网供给，用水部位为车间地面冲洗用水、循环冷却系统用水、喷淋用水、余热炉补水及职工生活用水。项目建成后总用水量为</w:t>
            </w:r>
            <w:r>
              <w:rPr>
                <w:rFonts w:hint="eastAsia"/>
                <w:color w:val="auto"/>
                <w:lang w:val="en-US" w:eastAsia="zh-CN"/>
              </w:rPr>
              <w:t>43809</w:t>
            </w:r>
            <w:r>
              <w:rPr>
                <w:color w:val="auto"/>
              </w:rPr>
              <w:t>m³/a。</w:t>
            </w:r>
          </w:p>
          <w:p>
            <w:pPr>
              <w:bidi w:val="0"/>
              <w:rPr>
                <w:rFonts w:hint="default" w:eastAsia="宋体"/>
                <w:b/>
                <w:bCs/>
                <w:color w:val="auto"/>
                <w:lang w:val="en-US" w:eastAsia="zh-CN"/>
              </w:rPr>
            </w:pPr>
            <w:r>
              <w:rPr>
                <w:rFonts w:hint="eastAsia"/>
                <w:b/>
                <w:bCs/>
                <w:color w:val="auto"/>
                <w:lang w:val="en-US" w:eastAsia="zh-CN"/>
              </w:rPr>
              <w:t>2.4.2排水</w:t>
            </w:r>
          </w:p>
          <w:p>
            <w:pPr>
              <w:bidi w:val="0"/>
              <w:rPr>
                <w:rFonts w:hint="eastAsia" w:eastAsia="宋体"/>
                <w:color w:val="auto"/>
                <w:lang w:eastAsia="zh-CN"/>
              </w:rPr>
            </w:pPr>
            <w:r>
              <w:rPr>
                <w:color w:val="auto"/>
              </w:rPr>
              <w:t>本项目生产废水有地面冲洗废水、余热炉废水及生活污水等，均排入园区污水管网，年排水量为4099.2m³/a。</w:t>
            </w:r>
            <w:r>
              <w:rPr>
                <w:rFonts w:hint="eastAsia"/>
                <w:color w:val="auto"/>
                <w:lang w:eastAsia="zh-CN"/>
              </w:rPr>
              <w:t>现有工程水平衡内容见下表</w:t>
            </w:r>
            <w:r>
              <w:rPr>
                <w:rFonts w:hint="eastAsia"/>
                <w:color w:val="auto"/>
                <w:lang w:val="en-US" w:eastAsia="zh-CN"/>
              </w:rPr>
              <w:t>10</w:t>
            </w:r>
            <w:r>
              <w:rPr>
                <w:rFonts w:hint="eastAsia"/>
                <w:color w:val="auto"/>
                <w:lang w:eastAsia="zh-CN"/>
              </w:rPr>
              <w:t>，水平衡图见下图</w:t>
            </w:r>
            <w:r>
              <w:rPr>
                <w:rFonts w:hint="eastAsia"/>
                <w:color w:val="auto"/>
                <w:lang w:val="en-US" w:eastAsia="zh-CN"/>
              </w:rPr>
              <w:t>3</w:t>
            </w:r>
            <w:r>
              <w:rPr>
                <w:rFonts w:hint="eastAsia"/>
                <w:color w:val="auto"/>
                <w:lang w:eastAsia="zh-CN"/>
              </w:rPr>
              <w:t>。</w:t>
            </w:r>
          </w:p>
          <w:p>
            <w:pPr>
              <w:bidi w:val="0"/>
              <w:jc w:val="center"/>
              <w:rPr>
                <w:rFonts w:hint="default"/>
                <w:b/>
                <w:bCs/>
                <w:color w:val="auto"/>
                <w:lang w:val="en-US" w:eastAsia="zh-CN"/>
              </w:rPr>
            </w:pPr>
            <w:r>
              <w:rPr>
                <w:rFonts w:hint="eastAsia"/>
                <w:b/>
                <w:bCs/>
                <w:color w:val="auto"/>
                <w:lang w:val="en-US" w:eastAsia="zh-CN"/>
              </w:rPr>
              <w:t>表12   现有工程水平衡一览表</w:t>
            </w:r>
          </w:p>
          <w:tbl>
            <w:tblPr>
              <w:tblStyle w:val="34"/>
              <w:tblW w:w="7836" w:type="dxa"/>
              <w:tblInd w:w="126"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1188"/>
              <w:gridCol w:w="1239"/>
              <w:gridCol w:w="1288"/>
              <w:gridCol w:w="1046"/>
              <w:gridCol w:w="1717"/>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用水项目</w:t>
                  </w:r>
                </w:p>
              </w:tc>
              <w:tc>
                <w:tcPr>
                  <w:tcW w:w="11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用水定额</w:t>
                  </w:r>
                </w:p>
              </w:tc>
              <w:tc>
                <w:tcPr>
                  <w:tcW w:w="12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数量</w:t>
                  </w: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用水量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(m³/d)</w:t>
                  </w:r>
                </w:p>
              </w:tc>
              <w:tc>
                <w:tcPr>
                  <w:tcW w:w="10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消耗量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(m³/d)</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排水量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(m³/d)</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循环冷却系统</w:t>
                  </w:r>
                </w:p>
              </w:tc>
              <w:tc>
                <w:tcPr>
                  <w:tcW w:w="11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4.5m³/h</w:t>
                  </w:r>
                </w:p>
              </w:tc>
              <w:tc>
                <w:tcPr>
                  <w:tcW w:w="12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24h</w:t>
                  </w: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108</w:t>
                  </w:r>
                </w:p>
              </w:tc>
              <w:tc>
                <w:tcPr>
                  <w:tcW w:w="10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108</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车间地面冲洗水</w:t>
                  </w:r>
                </w:p>
              </w:tc>
              <w:tc>
                <w:tcPr>
                  <w:tcW w:w="11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rFonts w:hint="eastAsia"/>
                      <w:color w:val="auto"/>
                      <w:sz w:val="21"/>
                      <w:szCs w:val="21"/>
                      <w:lang w:val="en-US" w:eastAsia="zh-CN"/>
                    </w:rPr>
                    <w:t>0.0</w:t>
                  </w:r>
                  <w:r>
                    <w:rPr>
                      <w:color w:val="auto"/>
                      <w:sz w:val="21"/>
                      <w:szCs w:val="21"/>
                    </w:rPr>
                    <w:t>2L/m</w:t>
                  </w:r>
                  <w:r>
                    <w:rPr>
                      <w:color w:val="auto"/>
                      <w:sz w:val="21"/>
                      <w:szCs w:val="21"/>
                      <w:vertAlign w:val="superscript"/>
                    </w:rPr>
                    <w:t>2</w:t>
                  </w:r>
                  <w:r>
                    <w:rPr>
                      <w:color w:val="auto"/>
                      <w:sz w:val="21"/>
                      <w:szCs w:val="21"/>
                    </w:rPr>
                    <w:t xml:space="preserve"> · 次</w:t>
                  </w:r>
                </w:p>
              </w:tc>
              <w:tc>
                <w:tcPr>
                  <w:tcW w:w="12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16686m</w:t>
                  </w:r>
                  <w:r>
                    <w:rPr>
                      <w:color w:val="auto"/>
                      <w:sz w:val="21"/>
                      <w:szCs w:val="21"/>
                      <w:vertAlign w:val="superscript"/>
                    </w:rPr>
                    <w:t>2</w:t>
                  </w: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0.33</w:t>
                  </w:r>
                </w:p>
              </w:tc>
              <w:tc>
                <w:tcPr>
                  <w:tcW w:w="10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0.02</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0.31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碱喷淋塔补水</w:t>
                  </w:r>
                </w:p>
              </w:tc>
              <w:tc>
                <w:tcPr>
                  <w:tcW w:w="242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喷淋塔循环水量为 5000m³</w:t>
                  </w: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0.8</w:t>
                  </w:r>
                </w:p>
              </w:tc>
              <w:tc>
                <w:tcPr>
                  <w:tcW w:w="10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0. 16</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0.64  (回用于硫化罐)</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硫化罐加水</w:t>
                  </w:r>
                </w:p>
              </w:tc>
              <w:tc>
                <w:tcPr>
                  <w:tcW w:w="11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3m³/个 ·d</w:t>
                  </w:r>
                </w:p>
              </w:tc>
              <w:tc>
                <w:tcPr>
                  <w:tcW w:w="12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8 个</w:t>
                  </w: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24</w:t>
                  </w:r>
                </w:p>
              </w:tc>
              <w:tc>
                <w:tcPr>
                  <w:tcW w:w="10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23.28</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0.72  (冷凝液回用)</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绿化用水</w:t>
                  </w:r>
                </w:p>
              </w:tc>
              <w:tc>
                <w:tcPr>
                  <w:tcW w:w="11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1.5L/m</w:t>
                  </w:r>
                  <w:r>
                    <w:rPr>
                      <w:color w:val="auto"/>
                      <w:sz w:val="21"/>
                      <w:szCs w:val="21"/>
                      <w:vertAlign w:val="superscript"/>
                    </w:rPr>
                    <w:t>2</w:t>
                  </w:r>
                  <w:r>
                    <w:rPr>
                      <w:color w:val="auto"/>
                      <w:sz w:val="21"/>
                      <w:szCs w:val="21"/>
                    </w:rPr>
                    <w:t xml:space="preserve"> ·d</w:t>
                  </w:r>
                </w:p>
              </w:tc>
              <w:tc>
                <w:tcPr>
                  <w:tcW w:w="12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100m</w:t>
                  </w:r>
                  <w:r>
                    <w:rPr>
                      <w:color w:val="auto"/>
                      <w:sz w:val="21"/>
                      <w:szCs w:val="21"/>
                      <w:vertAlign w:val="superscript"/>
                    </w:rPr>
                    <w:t>2</w:t>
                  </w: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0. 15</w:t>
                  </w:r>
                </w:p>
              </w:tc>
              <w:tc>
                <w:tcPr>
                  <w:tcW w:w="10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0. 15</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生活用水</w:t>
                  </w:r>
                </w:p>
              </w:tc>
              <w:tc>
                <w:tcPr>
                  <w:tcW w:w="11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80L/d· 人</w:t>
                  </w:r>
                </w:p>
              </w:tc>
              <w:tc>
                <w:tcPr>
                  <w:tcW w:w="12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75 人</w:t>
                  </w: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6</w:t>
                  </w:r>
                </w:p>
              </w:tc>
              <w:tc>
                <w:tcPr>
                  <w:tcW w:w="10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1.2</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4.8</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余热炉补水</w:t>
                  </w:r>
                </w:p>
              </w:tc>
              <w:tc>
                <w:tcPr>
                  <w:tcW w:w="242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年供水时间按 300  日计</w:t>
                  </w: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7.5</w:t>
                  </w:r>
                </w:p>
              </w:tc>
              <w:tc>
                <w:tcPr>
                  <w:tcW w:w="10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1.5</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785"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合计</w:t>
                  </w:r>
                </w:p>
              </w:tc>
              <w:tc>
                <w:tcPr>
                  <w:tcW w:w="12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color w:val="auto"/>
                      <w:sz w:val="21"/>
                      <w:szCs w:val="21"/>
                    </w:rPr>
                    <w:t>146.</w:t>
                  </w:r>
                  <w:r>
                    <w:rPr>
                      <w:rFonts w:hint="eastAsia"/>
                      <w:color w:val="auto"/>
                      <w:sz w:val="21"/>
                      <w:szCs w:val="21"/>
                      <w:lang w:val="en-US" w:eastAsia="zh-CN"/>
                    </w:rPr>
                    <w:t>78</w:t>
                  </w:r>
                </w:p>
              </w:tc>
              <w:tc>
                <w:tcPr>
                  <w:tcW w:w="10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1"/>
                      <w:szCs w:val="21"/>
                    </w:rPr>
                  </w:pPr>
                  <w:r>
                    <w:rPr>
                      <w:color w:val="auto"/>
                      <w:sz w:val="21"/>
                      <w:szCs w:val="21"/>
                    </w:rPr>
                    <w:t>134.31</w:t>
                  </w:r>
                </w:p>
              </w:tc>
              <w:tc>
                <w:tcPr>
                  <w:tcW w:w="17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color w:val="auto"/>
                      <w:sz w:val="21"/>
                      <w:szCs w:val="21"/>
                    </w:rPr>
                    <w:t>12.</w:t>
                  </w:r>
                  <w:r>
                    <w:rPr>
                      <w:rFonts w:hint="eastAsia"/>
                      <w:color w:val="auto"/>
                      <w:sz w:val="21"/>
                      <w:szCs w:val="21"/>
                      <w:lang w:val="en-US" w:eastAsia="zh-CN"/>
                    </w:rPr>
                    <w:t>47</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lang w:val="en-US" w:eastAsia="zh-CN"/>
              </w:rPr>
            </w:pPr>
            <w:r>
              <w:rPr>
                <w:rFonts w:hint="eastAsia"/>
                <w:b/>
                <w:bCs/>
                <w:color w:val="auto"/>
                <w:lang w:val="en-US" w:eastAsia="zh-CN"/>
              </w:rPr>
              <w:object>
                <v:shape id="_x0000_i1027" o:spt="75" type="#_x0000_t75" style="height:343.9pt;width:398.05pt;" o:ole="t" filled="f" o:preferrelative="t" stroked="f" coordsize="21600,21600">
                  <v:path/>
                  <v:fill on="f" focussize="0,0"/>
                  <v:stroke on="f"/>
                  <v:imagedata r:id="rId15" o:title=""/>
                  <o:lock v:ext="edit" aspectratio="f"/>
                  <w10:wrap type="none"/>
                  <w10:anchorlock/>
                </v:shape>
                <o:OLEObject Type="Embed" ProgID="Visio.Drawing.11" ShapeID="_x0000_i1027" DrawAspect="Content" ObjectID="_1468075727" r:id="rId14">
                  <o:LockedField>false</o:LockedField>
                </o:OLEObject>
              </w:object>
            </w:r>
          </w:p>
          <w:p>
            <w:pPr>
              <w:bidi w:val="0"/>
              <w:jc w:val="center"/>
              <w:rPr>
                <w:rFonts w:hint="default"/>
                <w:b/>
                <w:bCs/>
                <w:color w:val="auto"/>
                <w:lang w:val="en-US" w:eastAsia="zh-CN"/>
              </w:rPr>
            </w:pPr>
            <w:r>
              <w:rPr>
                <w:rFonts w:hint="eastAsia"/>
                <w:b/>
                <w:bCs/>
                <w:color w:val="auto"/>
                <w:lang w:val="en-US" w:eastAsia="zh-CN"/>
              </w:rPr>
              <w:t>图3  现有工程水平衡图   单位m</w:t>
            </w:r>
            <w:r>
              <w:rPr>
                <w:rFonts w:hint="eastAsia"/>
                <w:b/>
                <w:bCs/>
                <w:color w:val="auto"/>
                <w:vertAlign w:val="superscript"/>
                <w:lang w:val="en-US" w:eastAsia="zh-CN"/>
              </w:rPr>
              <w:t>3</w:t>
            </w:r>
            <w:r>
              <w:rPr>
                <w:rFonts w:hint="eastAsia"/>
                <w:b/>
                <w:bCs/>
                <w:color w:val="auto"/>
                <w:lang w:val="en-US" w:eastAsia="zh-CN"/>
              </w:rPr>
              <w:t>/d</w:t>
            </w:r>
          </w:p>
          <w:p>
            <w:pPr>
              <w:bidi w:val="0"/>
              <w:rPr>
                <w:rFonts w:hint="default" w:eastAsia="宋体"/>
                <w:b/>
                <w:bCs/>
                <w:color w:val="auto"/>
                <w:lang w:val="en-US" w:eastAsia="zh-CN"/>
              </w:rPr>
            </w:pPr>
            <w:r>
              <w:rPr>
                <w:rFonts w:hint="eastAsia"/>
                <w:b/>
                <w:bCs/>
                <w:color w:val="auto"/>
                <w:lang w:val="en-US" w:eastAsia="zh-CN"/>
              </w:rPr>
              <w:t>2.4.3供电</w:t>
            </w:r>
          </w:p>
          <w:p>
            <w:pPr>
              <w:bidi w:val="0"/>
              <w:rPr>
                <w:color w:val="auto"/>
              </w:rPr>
            </w:pPr>
            <w:r>
              <w:rPr>
                <w:color w:val="auto"/>
              </w:rPr>
              <w:t>本项目年用电量约为 1000万kWh 。电源由园区供电网络引入。</w:t>
            </w:r>
          </w:p>
          <w:p>
            <w:pPr>
              <w:bidi w:val="0"/>
              <w:rPr>
                <w:rFonts w:hint="default" w:eastAsia="宋体"/>
                <w:b/>
                <w:bCs/>
                <w:color w:val="auto"/>
                <w:lang w:val="en-US" w:eastAsia="zh-CN"/>
              </w:rPr>
            </w:pPr>
            <w:r>
              <w:rPr>
                <w:rFonts w:hint="eastAsia"/>
                <w:b/>
                <w:bCs/>
                <w:color w:val="auto"/>
                <w:lang w:val="en-US" w:eastAsia="zh-CN"/>
              </w:rPr>
              <w:t>2.4.4供暖</w:t>
            </w:r>
          </w:p>
          <w:p>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jc w:val="left"/>
              <w:textAlignment w:val="auto"/>
              <w:rPr>
                <w:rFonts w:ascii="Times New Roman" w:hAnsi="Times New Roman"/>
                <w:bCs/>
                <w:color w:val="auto"/>
                <w:sz w:val="24"/>
                <w:szCs w:val="24"/>
                <w:highlight w:val="none"/>
              </w:rPr>
            </w:pPr>
            <w:r>
              <w:rPr>
                <w:rFonts w:hint="eastAsia"/>
                <w:color w:val="auto"/>
                <w:kern w:val="0"/>
                <w:sz w:val="24"/>
                <w:szCs w:val="24"/>
                <w:highlight w:val="none"/>
                <w:lang w:val="en-US" w:eastAsia="zh-CN"/>
              </w:rPr>
              <w:t>现有工程</w:t>
            </w:r>
            <w:r>
              <w:rPr>
                <w:rFonts w:hint="eastAsia" w:ascii="Times New Roman" w:hAnsi="Times New Roman"/>
                <w:color w:val="auto"/>
                <w:kern w:val="0"/>
                <w:sz w:val="24"/>
                <w:szCs w:val="24"/>
                <w:highlight w:val="none"/>
              </w:rPr>
              <w:t>冬季</w:t>
            </w:r>
            <w:r>
              <w:rPr>
                <w:rFonts w:hint="eastAsia"/>
                <w:color w:val="auto"/>
                <w:kern w:val="0"/>
                <w:sz w:val="24"/>
                <w:szCs w:val="24"/>
                <w:highlight w:val="none"/>
                <w:lang w:eastAsia="zh-CN"/>
              </w:rPr>
              <w:t>生活区</w:t>
            </w:r>
            <w:r>
              <w:rPr>
                <w:rFonts w:ascii="Times New Roman" w:hAnsi="Times New Roman"/>
                <w:color w:val="auto"/>
                <w:kern w:val="0"/>
                <w:sz w:val="24"/>
                <w:szCs w:val="24"/>
                <w:highlight w:val="none"/>
              </w:rPr>
              <w:t>取暖</w:t>
            </w:r>
            <w:r>
              <w:rPr>
                <w:rFonts w:hint="eastAsia" w:ascii="Times New Roman" w:hAnsi="Times New Roman"/>
                <w:color w:val="auto"/>
                <w:kern w:val="0"/>
                <w:sz w:val="24"/>
                <w:szCs w:val="24"/>
                <w:highlight w:val="none"/>
              </w:rPr>
              <w:t>采</w:t>
            </w:r>
            <w:r>
              <w:rPr>
                <w:rFonts w:ascii="Times New Roman" w:hAnsi="Times New Roman"/>
                <w:color w:val="auto"/>
                <w:kern w:val="0"/>
                <w:sz w:val="24"/>
                <w:szCs w:val="24"/>
                <w:highlight w:val="none"/>
              </w:rPr>
              <w:t>用电暖气取暖</w:t>
            </w:r>
            <w:r>
              <w:rPr>
                <w:rFonts w:hint="eastAsia"/>
                <w:color w:val="auto"/>
                <w:kern w:val="0"/>
                <w:sz w:val="24"/>
                <w:szCs w:val="24"/>
                <w:highlight w:val="none"/>
                <w:lang w:eastAsia="zh-CN"/>
              </w:rPr>
              <w:t>，厂房不供暖</w:t>
            </w:r>
            <w:r>
              <w:rPr>
                <w:rFonts w:ascii="Times New Roman" w:hAnsi="Times New Roman"/>
                <w:color w:val="auto"/>
                <w:kern w:val="0"/>
                <w:sz w:val="24"/>
                <w:szCs w:val="24"/>
                <w:highlight w:val="none"/>
              </w:rPr>
              <w:t>。</w:t>
            </w:r>
          </w:p>
          <w:p>
            <w:pPr>
              <w:bidi w:val="0"/>
              <w:rPr>
                <w:rFonts w:hint="default" w:eastAsia="宋体"/>
                <w:b/>
                <w:bCs/>
                <w:color w:val="auto"/>
                <w:lang w:val="en-US" w:eastAsia="zh-CN"/>
              </w:rPr>
            </w:pPr>
            <w:r>
              <w:rPr>
                <w:rFonts w:hint="eastAsia"/>
                <w:b/>
                <w:bCs/>
                <w:color w:val="auto"/>
                <w:lang w:val="en-US" w:eastAsia="zh-CN"/>
              </w:rPr>
              <w:t>2.5现有工程生产工艺流程及产排污环节</w:t>
            </w:r>
          </w:p>
          <w:p>
            <w:pPr>
              <w:bidi w:val="0"/>
              <w:rPr>
                <w:rFonts w:hint="default"/>
                <w:b/>
                <w:bCs/>
                <w:color w:val="auto"/>
                <w:lang w:val="en-US" w:eastAsia="zh-CN"/>
              </w:rPr>
            </w:pPr>
            <w:r>
              <w:rPr>
                <w:rFonts w:hint="eastAsia"/>
                <w:b/>
                <w:bCs/>
                <w:color w:val="auto"/>
                <w:lang w:val="en-US" w:eastAsia="zh-CN"/>
              </w:rPr>
              <w:t>2.5.1再生胶生产工艺简述</w:t>
            </w:r>
          </w:p>
          <w:p>
            <w:pPr>
              <w:bidi w:val="0"/>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脱硫</w:t>
            </w:r>
          </w:p>
          <w:p>
            <w:pPr>
              <w:bidi w:val="0"/>
              <w:rPr>
                <w:color w:val="auto"/>
              </w:rPr>
            </w:pPr>
            <w:r>
              <w:rPr>
                <w:color w:val="auto"/>
              </w:rPr>
              <w:t>将胶粉及活化剂等按比例混合后由加料口人工倒入到硫化罐中，并加入一定量的温水，关闭进料口</w:t>
            </w:r>
            <w:r>
              <w:rPr>
                <w:rFonts w:hint="eastAsia"/>
                <w:color w:val="auto"/>
                <w:lang w:eastAsia="zh-CN"/>
              </w:rPr>
              <w:t>；</w:t>
            </w:r>
            <w:r>
              <w:rPr>
                <w:color w:val="auto"/>
              </w:rPr>
              <w:t>在罐体夹套或加热管系统中通入经生物质锅炉加热后的高温导热油，进行间接加热，温度逐渐升至规定温度和压力要求，此时罐内注入水汽化，罐内气压逐渐升高至2.0~2.3Mpa，温度升至 150~200℃</w:t>
            </w:r>
            <w:r>
              <w:rPr>
                <w:rFonts w:hint="eastAsia"/>
                <w:color w:val="auto"/>
                <w:lang w:eastAsia="zh-CN"/>
              </w:rPr>
              <w:t>，使胶粉在热、氧、机械力和化学再升级的综合反应下发生降解反应</w:t>
            </w:r>
            <w:r>
              <w:rPr>
                <w:color w:val="auto"/>
              </w:rPr>
              <w:t>。脱硫完毕后，经低温减压设施后放空蒸汽，胶料为固态，直接从卸料口排出由输送带输送至开炼机。进入开练工段。</w:t>
            </w:r>
          </w:p>
          <w:p>
            <w:pPr>
              <w:bidi w:val="0"/>
              <w:rPr>
                <w:color w:val="auto"/>
              </w:rPr>
            </w:pPr>
            <w:r>
              <w:rPr>
                <w:rFonts w:hint="eastAsia"/>
                <w:color w:val="auto"/>
                <w:lang w:val="en-US" w:eastAsia="zh-CN"/>
              </w:rPr>
              <w:t>（2）</w:t>
            </w:r>
            <w:r>
              <w:rPr>
                <w:color w:val="auto"/>
              </w:rPr>
              <w:t>压胶及出成品</w:t>
            </w:r>
          </w:p>
          <w:p>
            <w:pPr>
              <w:bidi w:val="0"/>
              <w:rPr>
                <w:color w:val="auto"/>
              </w:rPr>
            </w:pPr>
            <w:r>
              <w:rPr>
                <w:color w:val="auto"/>
              </w:rPr>
              <w:t>经过脱硫工段出来的固态胶料具有较低的可塑性，为了提高塑性必须进行压胶。压胶工段经过开炼、 精炼两部分，开炼是橡胶加工重要的生产工艺，其过程本质来说是借助于开练炼机的强烈机械剪切作用， 使配料在生胶中均匀分散的过程。经过反复多次开炼，直到达到所要求的可塑性；再进入精炼工段。</w:t>
            </w:r>
          </w:p>
          <w:p>
            <w:pPr>
              <w:bidi w:val="0"/>
              <w:rPr>
                <w:rFonts w:ascii="宋体" w:hAnsi="宋体" w:eastAsia="宋体" w:cs="宋体"/>
                <w:color w:val="auto"/>
                <w:szCs w:val="20"/>
              </w:rPr>
            </w:pPr>
            <w:r>
              <w:rPr>
                <w:color w:val="auto"/>
              </w:rPr>
              <w:t>精炼机棍筒中间直径稍大，呈腰鼓状，在小滚距下能碾碎未脱硫完全的硬胶粒，另一方面精炼机的转 速比较快可使胶料进一步塑化。精炼时，棍距 0.2~0.4mm ，辊温 90℃以下，胶料通过精炼次数一般为 1~ 3 次，可塑度达到标准后将薄胶片绕到一个标有厂名、品名、 日期的转轴上，达到一定数量后将轴上的胶料割开，拿下即得片状再生胶成品，化验合格后包装入库保存。</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rPr>
            </w:pPr>
            <w:r>
              <w:rPr>
                <w:rFonts w:hint="default"/>
                <w:b/>
                <w:bCs/>
                <w:color w:val="auto"/>
              </w:rPr>
              <w:object>
                <v:shape id="_x0000_i1028" o:spt="75" type="#_x0000_t75" style="height:219.2pt;width:397.9pt;" o:ole="t" filled="f" o:preferrelative="t" stroked="f" coordsize="21600,21600">
                  <v:path/>
                  <v:fill on="f" focussize="0,0"/>
                  <v:stroke on="f"/>
                  <v:imagedata r:id="rId17" o:title=""/>
                  <o:lock v:ext="edit" aspectratio="f"/>
                  <w10:wrap type="none"/>
                  <w10:anchorlock/>
                </v:shape>
                <o:OLEObject Type="Embed" ProgID="Visio.Drawing.11" ShapeID="_x0000_i1028" DrawAspect="Content" ObjectID="_1468075728" r:id="rId16">
                  <o:LockedField>false</o:LockedField>
                </o:OLEObject>
              </w:object>
            </w:r>
          </w:p>
          <w:p>
            <w:pPr>
              <w:bidi w:val="0"/>
              <w:jc w:val="center"/>
              <w:rPr>
                <w:rFonts w:hint="default" w:eastAsia="宋体"/>
                <w:b/>
                <w:bCs/>
                <w:color w:val="auto"/>
                <w:lang w:val="en-US" w:eastAsia="zh-CN"/>
              </w:rPr>
            </w:pPr>
            <w:r>
              <w:rPr>
                <w:rFonts w:hint="eastAsia"/>
                <w:b/>
                <w:bCs/>
                <w:color w:val="auto"/>
                <w:lang w:eastAsia="zh-CN"/>
              </w:rPr>
              <w:t>图</w:t>
            </w:r>
            <w:r>
              <w:rPr>
                <w:rFonts w:hint="eastAsia"/>
                <w:b/>
                <w:bCs/>
                <w:color w:val="auto"/>
                <w:lang w:val="en-US" w:eastAsia="zh-CN"/>
              </w:rPr>
              <w:t>4 再生胶生产工艺流程及产排污节点图</w:t>
            </w:r>
          </w:p>
          <w:p>
            <w:pPr>
              <w:bidi w:val="0"/>
              <w:rPr>
                <w:rFonts w:hint="default" w:eastAsia="宋体"/>
                <w:b/>
                <w:bCs/>
                <w:color w:val="auto"/>
                <w:lang w:val="en-US" w:eastAsia="zh-CN"/>
              </w:rPr>
            </w:pPr>
            <w:r>
              <w:rPr>
                <w:rFonts w:hint="eastAsia"/>
                <w:b/>
                <w:bCs/>
                <w:color w:val="auto"/>
                <w:lang w:val="en-US" w:eastAsia="zh-CN"/>
              </w:rPr>
              <w:t>2.5.2胶板生产工艺简述</w:t>
            </w:r>
          </w:p>
          <w:p>
            <w:pPr>
              <w:bidi w:val="0"/>
              <w:rPr>
                <w:color w:val="auto"/>
              </w:rPr>
            </w:pPr>
            <w:r>
              <w:rPr>
                <w:color w:val="auto"/>
              </w:rPr>
              <w:t>本项目胶板的生产工艺为密炼→开炼→挤出→压延→硫化→修整→检验包装→入库。</w:t>
            </w:r>
          </w:p>
          <w:p>
            <w:pPr>
              <w:bidi w:val="0"/>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密炼：密炼是再生胶加工重要的生产工艺，密炼过程就其本质来说是借助于密炼机的强烈机械剪 切作用，使配料在生胶中均匀分散的过程。本项目将称量好的胶料和配比好的陶土及促进剂人工一次性投入加密炼机。</w:t>
            </w:r>
          </w:p>
          <w:p>
            <w:pPr>
              <w:bidi w:val="0"/>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开炼：将密炼好的半成品用叉车送入开炼机，利用开炼机辊筒的机械摩擦，将胶料和促进剂进一 步混合。密炼过程产生的污染物为废气，主要有非甲烷总烃和臭气。</w:t>
            </w:r>
          </w:p>
          <w:p>
            <w:pPr>
              <w:bidi w:val="0"/>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color w:val="auto"/>
              </w:rPr>
              <w:t>挤出：用输送带将胶体送入设备，根据产品要求加工出指定形状的符合要求的半成品。</w:t>
            </w:r>
          </w:p>
          <w:p>
            <w:pPr>
              <w:bidi w:val="0"/>
              <w:rPr>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color w:val="auto"/>
              </w:rPr>
              <w:t>压延：将胶体送入压延机中，根据产品要求加工出厚度、宽度符合要求的半成品。</w:t>
            </w:r>
          </w:p>
          <w:p>
            <w:pPr>
              <w:bidi w:val="0"/>
              <w:rPr>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color w:val="auto"/>
              </w:rPr>
              <w:t>硫化：将成型的胶体送入平板硫化机中，在规定的温度下加热、保温，在压力和温度的作用下， 促进剂中的硫磺与再生胶发生反应，使再生胶具备了一定伸强度、弹性、硬度、拉伸强度等一系列物理机 械性能。供热热源使用生物质锅炉，加热管系统中通入生物质锅炉加热后的高温导热油，进行间接加热，温度逐渐升至规定温度 160℃。</w:t>
            </w:r>
          </w:p>
          <w:p>
            <w:pPr>
              <w:bidi w:val="0"/>
              <w:rPr>
                <w:color w:val="auto"/>
              </w:rPr>
            </w:pPr>
            <w:r>
              <w:rPr>
                <w:rFonts w:hint="eastAsia"/>
                <w:color w:val="auto"/>
                <w:lang w:eastAsia="zh-CN"/>
              </w:rPr>
              <w:t>（</w:t>
            </w:r>
            <w:r>
              <w:rPr>
                <w:rFonts w:hint="eastAsia"/>
                <w:color w:val="auto"/>
                <w:lang w:val="en-US" w:eastAsia="zh-CN"/>
              </w:rPr>
              <w:t>6</w:t>
            </w:r>
            <w:r>
              <w:rPr>
                <w:rFonts w:hint="eastAsia"/>
                <w:color w:val="auto"/>
                <w:lang w:eastAsia="zh-CN"/>
              </w:rPr>
              <w:t>）</w:t>
            </w:r>
            <w:r>
              <w:rPr>
                <w:color w:val="auto"/>
              </w:rPr>
              <w:t>修整：用钢板尺按成品规格截取宽度及长度，顺纹理裁剪边。修整过程中的固体废物为再生胶板 下脚料，收集后作为再生胶的原料。</w:t>
            </w:r>
          </w:p>
          <w:p>
            <w:pPr>
              <w:bidi w:val="0"/>
              <w:rPr>
                <w:color w:val="auto"/>
              </w:rPr>
            </w:pPr>
            <w:r>
              <w:rPr>
                <w:rFonts w:hint="eastAsia"/>
                <w:color w:val="auto"/>
                <w:lang w:eastAsia="zh-CN"/>
              </w:rPr>
              <w:t>（</w:t>
            </w:r>
            <w:r>
              <w:rPr>
                <w:rFonts w:hint="eastAsia"/>
                <w:color w:val="auto"/>
                <w:lang w:val="en-US" w:eastAsia="zh-CN"/>
              </w:rPr>
              <w:t>7</w:t>
            </w:r>
            <w:r>
              <w:rPr>
                <w:rFonts w:hint="eastAsia"/>
                <w:color w:val="auto"/>
                <w:lang w:eastAsia="zh-CN"/>
              </w:rPr>
              <w:t>）</w:t>
            </w:r>
            <w:r>
              <w:rPr>
                <w:color w:val="auto"/>
              </w:rPr>
              <w:t>检验包装：按产品的质量标准验收把关，用塑料薄膜包好并贴好产品标志。检验过程中会产生不合格的产品，收集后重新返回工艺进行加工。</w:t>
            </w:r>
          </w:p>
          <w:p>
            <w:pPr>
              <w:bidi w:val="0"/>
              <w:rPr>
                <w:color w:val="auto"/>
              </w:rPr>
            </w:pPr>
            <w:r>
              <w:rPr>
                <w:rFonts w:hint="eastAsia"/>
                <w:color w:val="auto"/>
                <w:lang w:eastAsia="zh-CN"/>
              </w:rPr>
              <w:t>（</w:t>
            </w:r>
            <w:r>
              <w:rPr>
                <w:rFonts w:hint="eastAsia"/>
                <w:color w:val="auto"/>
                <w:lang w:val="en-US" w:eastAsia="zh-CN"/>
              </w:rPr>
              <w:t>8</w:t>
            </w:r>
            <w:r>
              <w:rPr>
                <w:rFonts w:hint="eastAsia"/>
                <w:color w:val="auto"/>
                <w:lang w:eastAsia="zh-CN"/>
              </w:rPr>
              <w:t>）</w:t>
            </w:r>
            <w:r>
              <w:rPr>
                <w:color w:val="auto"/>
              </w:rPr>
              <w:t>入库：最终产品入库待售。</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rPr>
            </w:pPr>
            <w:r>
              <w:rPr>
                <w:rFonts w:hint="default"/>
                <w:color w:val="auto"/>
              </w:rPr>
              <w:object>
                <v:shape id="_x0000_i1029" o:spt="75" type="#_x0000_t75" style="height:385.55pt;width:397.8pt;" o:ole="t" filled="f" o:preferrelative="t" stroked="f" coordsize="21600,21600">
                  <v:path/>
                  <v:fill on="f" focussize="0,0"/>
                  <v:stroke on="f"/>
                  <v:imagedata r:id="rId19" o:title=""/>
                  <o:lock v:ext="edit" aspectratio="f"/>
                  <w10:wrap type="none"/>
                  <w10:anchorlock/>
                </v:shape>
                <o:OLEObject Type="Embed" ProgID="Visio.Drawing.11" ShapeID="_x0000_i1029" DrawAspect="Content" ObjectID="_1468075729" r:id="rId18">
                  <o:LockedField>false</o:LockedField>
                </o:OLEObject>
              </w:object>
            </w:r>
          </w:p>
          <w:p>
            <w:pPr>
              <w:bidi w:val="0"/>
              <w:jc w:val="center"/>
              <w:rPr>
                <w:rFonts w:hint="default" w:eastAsia="宋体"/>
                <w:b/>
                <w:bCs/>
                <w:color w:val="auto"/>
                <w:lang w:val="en-US" w:eastAsia="zh-CN"/>
              </w:rPr>
            </w:pPr>
            <w:r>
              <w:rPr>
                <w:rFonts w:hint="eastAsia"/>
                <w:b/>
                <w:bCs/>
                <w:color w:val="auto"/>
                <w:lang w:eastAsia="zh-CN"/>
              </w:rPr>
              <w:t>图</w:t>
            </w:r>
            <w:r>
              <w:rPr>
                <w:rFonts w:hint="eastAsia"/>
                <w:b/>
                <w:bCs/>
                <w:color w:val="auto"/>
                <w:lang w:val="en-US" w:eastAsia="zh-CN"/>
              </w:rPr>
              <w:t>5 胶板生产工艺流程及产排污节点图</w:t>
            </w:r>
          </w:p>
          <w:p>
            <w:pPr>
              <w:bidi w:val="0"/>
              <w:rPr>
                <w:rFonts w:hint="eastAsia" w:eastAsia="宋体"/>
                <w:b/>
                <w:bCs/>
                <w:color w:val="auto"/>
                <w:lang w:eastAsia="zh-CN"/>
              </w:rPr>
            </w:pPr>
            <w:r>
              <w:rPr>
                <w:rFonts w:hint="eastAsia"/>
                <w:b/>
                <w:bCs/>
                <w:color w:val="auto"/>
                <w:lang w:val="en-US" w:eastAsia="zh-CN"/>
              </w:rPr>
              <w:t>3、扩建</w:t>
            </w:r>
            <w:r>
              <w:rPr>
                <w:rFonts w:hint="eastAsia"/>
                <w:b/>
                <w:bCs/>
                <w:color w:val="auto"/>
                <w:lang w:eastAsia="zh-CN"/>
              </w:rPr>
              <w:t>项目基本情况</w:t>
            </w:r>
          </w:p>
          <w:p>
            <w:pPr>
              <w:bidi w:val="0"/>
              <w:rPr>
                <w:rFonts w:hint="default"/>
                <w:b/>
                <w:bCs/>
                <w:color w:val="auto"/>
                <w:lang w:val="en-US" w:eastAsia="zh-CN"/>
              </w:rPr>
            </w:pPr>
            <w:r>
              <w:rPr>
                <w:rFonts w:hint="eastAsia"/>
                <w:b/>
                <w:bCs/>
                <w:color w:val="auto"/>
                <w:lang w:val="en-US" w:eastAsia="zh-CN"/>
              </w:rPr>
              <w:t>3.1扩建项目建设内容及规模</w:t>
            </w:r>
          </w:p>
          <w:p>
            <w:pPr>
              <w:bidi w:val="0"/>
              <w:rPr>
                <w:rFonts w:hint="default" w:eastAsia="宋体"/>
                <w:color w:val="auto"/>
                <w:lang w:val="en-US" w:eastAsia="zh-CN"/>
              </w:rPr>
            </w:pPr>
            <w:r>
              <w:rPr>
                <w:rFonts w:hint="eastAsia"/>
                <w:color w:val="auto"/>
                <w:lang w:val="en-US" w:eastAsia="zh-CN"/>
              </w:rPr>
              <w:t>（1）建设规模</w:t>
            </w:r>
          </w:p>
          <w:p>
            <w:pPr>
              <w:bidi w:val="0"/>
              <w:rPr>
                <w:rFonts w:hint="default" w:eastAsia="宋体"/>
                <w:color w:val="auto"/>
                <w:lang w:val="en-US" w:eastAsia="zh-CN"/>
              </w:rPr>
            </w:pPr>
            <w:r>
              <w:rPr>
                <w:rFonts w:hint="eastAsia"/>
                <w:color w:val="auto"/>
                <w:lang w:val="en-US" w:eastAsia="zh-CN"/>
              </w:rPr>
              <w:t>扩建项目产品为胶粉，年产量为2万吨。其原材料为废旧轮胎，主要成分为橡胶。项目共设置4条胶粉生产线。具体产品方案见下表16。</w:t>
            </w:r>
          </w:p>
          <w:p>
            <w:pPr>
              <w:bidi w:val="0"/>
              <w:jc w:val="center"/>
              <w:rPr>
                <w:rFonts w:hint="default"/>
                <w:b/>
                <w:bCs/>
                <w:color w:val="auto"/>
                <w:lang w:val="en-US" w:eastAsia="zh-CN"/>
              </w:rPr>
            </w:pPr>
            <w:r>
              <w:rPr>
                <w:rFonts w:hint="eastAsia"/>
                <w:b/>
                <w:bCs/>
                <w:color w:val="auto"/>
                <w:lang w:val="en-US" w:eastAsia="zh-CN"/>
              </w:rPr>
              <w:t>表16   产品方案一览表</w:t>
            </w:r>
          </w:p>
          <w:tbl>
            <w:tblPr>
              <w:tblStyle w:val="18"/>
              <w:tblW w:w="7983" w:type="dxa"/>
              <w:tblInd w:w="-4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23"/>
              <w:gridCol w:w="1154"/>
              <w:gridCol w:w="1755"/>
              <w:gridCol w:w="1149"/>
              <w:gridCol w:w="31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82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序号</w:t>
                  </w:r>
                </w:p>
              </w:tc>
              <w:tc>
                <w:tcPr>
                  <w:tcW w:w="115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名称</w:t>
                  </w:r>
                </w:p>
              </w:tc>
              <w:tc>
                <w:tcPr>
                  <w:tcW w:w="175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规格</w:t>
                  </w:r>
                </w:p>
              </w:tc>
              <w:tc>
                <w:tcPr>
                  <w:tcW w:w="1149" w:type="dxa"/>
                  <w:tcBorders>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产量</w:t>
                  </w:r>
                </w:p>
              </w:tc>
              <w:tc>
                <w:tcPr>
                  <w:tcW w:w="3102" w:type="dxa"/>
                  <w:tcBorders>
                    <w:lef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厂区最大储存量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82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1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再生胶</w:t>
                  </w:r>
                  <w:r>
                    <w:rPr>
                      <w:rFonts w:hint="eastAsia" w:cs="Times New Roman"/>
                      <w:color w:val="auto"/>
                      <w:sz w:val="21"/>
                      <w:szCs w:val="21"/>
                      <w:lang w:val="en-US" w:eastAsia="zh-CN"/>
                    </w:rPr>
                    <w:t>粉</w:t>
                  </w:r>
                </w:p>
              </w:tc>
              <w:tc>
                <w:tcPr>
                  <w:tcW w:w="17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8目~10目</w:t>
                  </w:r>
                </w:p>
              </w:tc>
              <w:tc>
                <w:tcPr>
                  <w:tcW w:w="1149" w:type="dxa"/>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20000</w:t>
                  </w:r>
                  <w:r>
                    <w:rPr>
                      <w:rFonts w:hint="eastAsia" w:ascii="Times New Roman" w:hAnsi="Times New Roman" w:cs="Times New Roman"/>
                      <w:color w:val="auto"/>
                      <w:sz w:val="21"/>
                      <w:szCs w:val="21"/>
                      <w:lang w:val="en-US" w:eastAsia="zh-CN"/>
                    </w:rPr>
                    <w:t xml:space="preserve">t/a </w:t>
                  </w:r>
                </w:p>
              </w:tc>
              <w:tc>
                <w:tcPr>
                  <w:tcW w:w="3102" w:type="dxa"/>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1万t</w:t>
                  </w:r>
                </w:p>
              </w:tc>
            </w:tr>
          </w:tbl>
          <w:p>
            <w:pPr>
              <w:bidi w:val="0"/>
              <w:rPr>
                <w:rFonts w:hint="default" w:eastAsia="宋体"/>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建设内容</w:t>
            </w:r>
          </w:p>
          <w:p>
            <w:pPr>
              <w:bidi w:val="0"/>
              <w:rPr>
                <w:rFonts w:hint="default" w:eastAsia="宋体"/>
                <w:color w:val="auto"/>
                <w:lang w:val="en-US" w:eastAsia="zh-CN"/>
              </w:rPr>
            </w:pPr>
            <w:r>
              <w:rPr>
                <w:rFonts w:hint="eastAsia"/>
                <w:color w:val="auto"/>
                <w:lang w:val="en-US" w:eastAsia="zh-CN"/>
              </w:rPr>
              <w:t>本项目为扩建项目，主要建设内容为4条胶粉生产线的主体工程，并建设配套的环保设施，其他公辅工程依托现有工程。项目组成内容见下表17。</w:t>
            </w:r>
          </w:p>
          <w:p>
            <w:pPr>
              <w:tabs>
                <w:tab w:val="left" w:pos="0"/>
                <w:tab w:val="left" w:pos="1784"/>
              </w:tabs>
              <w:adjustRightInd w:val="0"/>
              <w:snapToGrid w:val="0"/>
              <w:ind w:firstLine="0" w:firstLineChars="0"/>
              <w:jc w:val="center"/>
              <w:rPr>
                <w:rFonts w:hint="default" w:ascii="Times New Roman" w:hAnsi="Times New Roman" w:eastAsia="宋体" w:cs="Times New Roman"/>
                <w:b/>
                <w:bCs/>
                <w:color w:val="auto"/>
                <w:sz w:val="24"/>
                <w:szCs w:val="32"/>
                <w:lang w:val="en-US" w:eastAsia="zh-CN"/>
              </w:rPr>
            </w:pPr>
            <w:r>
              <w:rPr>
                <w:rFonts w:hint="eastAsia" w:ascii="Times New Roman" w:hAnsi="Times New Roman" w:eastAsia="宋体" w:cs="Times New Roman"/>
                <w:b/>
                <w:bCs/>
                <w:color w:val="auto"/>
                <w:sz w:val="24"/>
                <w:szCs w:val="32"/>
                <w:lang w:val="en-US" w:eastAsia="zh-CN"/>
              </w:rPr>
              <w:t>表</w:t>
            </w:r>
            <w:r>
              <w:rPr>
                <w:rFonts w:hint="eastAsia" w:cs="Times New Roman"/>
                <w:b/>
                <w:bCs/>
                <w:color w:val="auto"/>
                <w:sz w:val="24"/>
                <w:szCs w:val="32"/>
                <w:lang w:val="en-US" w:eastAsia="zh-CN"/>
              </w:rPr>
              <w:t>17</w:t>
            </w:r>
            <w:r>
              <w:rPr>
                <w:rFonts w:hint="eastAsia" w:ascii="Times New Roman" w:hAnsi="Times New Roman" w:eastAsia="宋体" w:cs="Times New Roman"/>
                <w:b/>
                <w:bCs/>
                <w:color w:val="auto"/>
                <w:sz w:val="24"/>
                <w:szCs w:val="32"/>
                <w:lang w:val="en-US" w:eastAsia="zh-CN"/>
              </w:rPr>
              <w:t xml:space="preserve"> 本项目组成一览表</w:t>
            </w:r>
          </w:p>
          <w:tbl>
            <w:tblPr>
              <w:tblStyle w:val="18"/>
              <w:tblW w:w="80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368"/>
              <w:gridCol w:w="274"/>
              <w:gridCol w:w="362"/>
              <w:gridCol w:w="2411"/>
              <w:gridCol w:w="1365"/>
              <w:gridCol w:w="2535"/>
              <w:gridCol w:w="74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695" w:hRule="atLeast"/>
                <w:jc w:val="center"/>
              </w:trPr>
              <w:tc>
                <w:tcPr>
                  <w:tcW w:w="3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Hans"/>
                    </w:rPr>
                  </w:pPr>
                  <w:r>
                    <w:rPr>
                      <w:rFonts w:hint="default"/>
                      <w:b/>
                      <w:bCs/>
                      <w:color w:val="auto"/>
                      <w:sz w:val="21"/>
                      <w:szCs w:val="21"/>
                      <w:lang w:eastAsia="zh-Hans"/>
                    </w:rPr>
                    <w:t>类别</w:t>
                  </w: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1"/>
                      <w:szCs w:val="21"/>
                      <w:lang w:eastAsia="zh-CN"/>
                    </w:rPr>
                  </w:pPr>
                  <w:r>
                    <w:rPr>
                      <w:rFonts w:hint="eastAsia"/>
                      <w:b/>
                      <w:bCs/>
                      <w:color w:val="auto"/>
                      <w:sz w:val="21"/>
                      <w:szCs w:val="21"/>
                      <w:lang w:eastAsia="zh-CN"/>
                    </w:rPr>
                    <w:t>名称</w:t>
                  </w:r>
                </w:p>
              </w:tc>
              <w:tc>
                <w:tcPr>
                  <w:tcW w:w="24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1"/>
                      <w:szCs w:val="21"/>
                      <w:lang w:eastAsia="zh-CN"/>
                    </w:rPr>
                  </w:pPr>
                  <w:r>
                    <w:rPr>
                      <w:rFonts w:hint="eastAsia"/>
                      <w:b/>
                      <w:bCs/>
                      <w:color w:val="auto"/>
                      <w:sz w:val="21"/>
                      <w:szCs w:val="21"/>
                      <w:lang w:eastAsia="zh-CN"/>
                    </w:rPr>
                    <w:t>现有工程建设内容</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1"/>
                      <w:szCs w:val="21"/>
                      <w:lang w:eastAsia="zh-CN"/>
                    </w:rPr>
                  </w:pPr>
                  <w:r>
                    <w:rPr>
                      <w:rFonts w:hint="eastAsia"/>
                      <w:b/>
                      <w:bCs/>
                      <w:color w:val="auto"/>
                      <w:sz w:val="21"/>
                      <w:szCs w:val="21"/>
                      <w:lang w:eastAsia="zh-CN"/>
                    </w:rPr>
                    <w:t>扩建工程建设内容</w:t>
                  </w:r>
                </w:p>
              </w:tc>
              <w:tc>
                <w:tcPr>
                  <w:tcW w:w="25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1"/>
                      <w:szCs w:val="21"/>
                      <w:lang w:eastAsia="zh-CN"/>
                    </w:rPr>
                  </w:pPr>
                  <w:r>
                    <w:rPr>
                      <w:rFonts w:hint="eastAsia"/>
                      <w:b/>
                      <w:bCs/>
                      <w:color w:val="auto"/>
                      <w:sz w:val="21"/>
                      <w:szCs w:val="21"/>
                      <w:lang w:eastAsia="zh-CN"/>
                    </w:rPr>
                    <w:t>扩建后全厂建设内容</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z w:val="21"/>
                      <w:szCs w:val="21"/>
                      <w:lang w:eastAsia="zh-CN"/>
                    </w:rPr>
                  </w:pPr>
                  <w:r>
                    <w:rPr>
                      <w:rFonts w:hint="eastAsia"/>
                      <w:b/>
                      <w:bCs/>
                      <w:color w:val="auto"/>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5" w:hRule="atLeast"/>
                <w:jc w:val="center"/>
              </w:trPr>
              <w:tc>
                <w:tcPr>
                  <w:tcW w:w="36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eastAsia="zh-Hans"/>
                    </w:rPr>
                    <w:t>主体工程</w:t>
                  </w: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lang w:val="en-US" w:eastAsia="zh-CN"/>
                    </w:rPr>
                    <w:t>再生胶车间</w:t>
                  </w:r>
                </w:p>
              </w:tc>
              <w:tc>
                <w:tcPr>
                  <w:tcW w:w="2411" w:type="dxa"/>
                  <w:tcBorders>
                    <w:tl2br w:val="nil"/>
                    <w:tr2bl w:val="nil"/>
                  </w:tcBorders>
                  <w:noWrap w:val="0"/>
                  <w:vAlign w:val="center"/>
                </w:tcPr>
                <w:p>
                  <w:pPr>
                    <w:bidi w:val="0"/>
                    <w:spacing w:line="240" w:lineRule="auto"/>
                    <w:rPr>
                      <w:rFonts w:hint="default"/>
                      <w:color w:val="auto"/>
                      <w:sz w:val="21"/>
                      <w:szCs w:val="21"/>
                    </w:rPr>
                  </w:pPr>
                  <w:r>
                    <w:rPr>
                      <w:color w:val="auto"/>
                      <w:sz w:val="21"/>
                      <w:szCs w:val="21"/>
                    </w:rPr>
                    <w:t>一期工程建设1 座5184m</w:t>
                  </w:r>
                  <w:r>
                    <w:rPr>
                      <w:rFonts w:hint="eastAsia"/>
                      <w:color w:val="auto"/>
                      <w:sz w:val="21"/>
                      <w:szCs w:val="21"/>
                      <w:vertAlign w:val="superscript"/>
                      <w:lang w:val="en-US" w:eastAsia="zh-CN"/>
                    </w:rPr>
                    <w:t>2</w:t>
                  </w:r>
                  <w:r>
                    <w:rPr>
                      <w:color w:val="auto"/>
                      <w:sz w:val="21"/>
                      <w:szCs w:val="21"/>
                    </w:rPr>
                    <w:t xml:space="preserve">  (72×72m) ，高9. 3m 钢结构再生胶车间，位于厂区东侧，生产设备包括开炼机12 台、精炼机8台、硫化罐8个。</w:t>
                  </w:r>
                </w:p>
              </w:tc>
              <w:tc>
                <w:tcPr>
                  <w:tcW w:w="1365" w:type="dxa"/>
                  <w:tcBorders>
                    <w:tl2br w:val="nil"/>
                    <w:tr2bl w:val="nil"/>
                  </w:tcBorders>
                  <w:noWrap w:val="0"/>
                  <w:vAlign w:val="center"/>
                </w:tcPr>
                <w:p>
                  <w:pPr>
                    <w:bidi w:val="0"/>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依托再生胶车间，</w:t>
                  </w:r>
                </w:p>
                <w:p>
                  <w:pPr>
                    <w:bidi w:val="0"/>
                    <w:spacing w:line="240" w:lineRule="auto"/>
                    <w:rPr>
                      <w:rFonts w:hint="default"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本项目在该车间东侧新增</w:t>
                  </w:r>
                  <w:r>
                    <w:rPr>
                      <w:rFonts w:hint="eastAsia"/>
                      <w:color w:val="auto"/>
                      <w:sz w:val="21"/>
                      <w:szCs w:val="21"/>
                      <w:lang w:val="en-US" w:eastAsia="zh-CN"/>
                    </w:rPr>
                    <w:t>4</w:t>
                  </w:r>
                  <w:r>
                    <w:rPr>
                      <w:rFonts w:hint="eastAsia" w:ascii="Times New Roman" w:hAnsi="Times New Roman" w:eastAsia="宋体"/>
                      <w:color w:val="auto"/>
                      <w:sz w:val="21"/>
                      <w:szCs w:val="21"/>
                      <w:lang w:val="en-US" w:eastAsia="zh-CN"/>
                    </w:rPr>
                    <w:t>条胶粉生产线，用于</w:t>
                  </w:r>
                  <w:r>
                    <w:rPr>
                      <w:rFonts w:hint="eastAsia"/>
                      <w:color w:val="auto"/>
                      <w:sz w:val="21"/>
                      <w:szCs w:val="21"/>
                      <w:lang w:val="en-US" w:eastAsia="zh-CN"/>
                    </w:rPr>
                    <w:t>提供再</w:t>
                  </w:r>
                  <w:r>
                    <w:rPr>
                      <w:rFonts w:hint="eastAsia" w:ascii="Times New Roman" w:hAnsi="Times New Roman" w:eastAsia="宋体"/>
                      <w:color w:val="auto"/>
                      <w:sz w:val="21"/>
                      <w:szCs w:val="21"/>
                      <w:lang w:val="en-US" w:eastAsia="zh-CN"/>
                    </w:rPr>
                    <w:t>生胶</w:t>
                  </w:r>
                  <w:r>
                    <w:rPr>
                      <w:rFonts w:hint="eastAsia"/>
                      <w:color w:val="auto"/>
                      <w:sz w:val="21"/>
                      <w:szCs w:val="21"/>
                      <w:lang w:val="en-US" w:eastAsia="zh-CN"/>
                    </w:rPr>
                    <w:t>生产线</w:t>
                  </w:r>
                  <w:r>
                    <w:rPr>
                      <w:rFonts w:hint="eastAsia" w:ascii="Times New Roman" w:hAnsi="Times New Roman" w:eastAsia="宋体"/>
                      <w:color w:val="auto"/>
                      <w:sz w:val="21"/>
                      <w:szCs w:val="21"/>
                      <w:lang w:val="en-US" w:eastAsia="zh-CN"/>
                    </w:rPr>
                    <w:t>原材料，内设切胶机5套，粉胶机5套等设备。</w:t>
                  </w:r>
                </w:p>
              </w:tc>
              <w:tc>
                <w:tcPr>
                  <w:tcW w:w="2535" w:type="dxa"/>
                  <w:tcBorders>
                    <w:tl2br w:val="nil"/>
                    <w:tr2bl w:val="nil"/>
                  </w:tcBorders>
                  <w:noWrap w:val="0"/>
                  <w:vAlign w:val="center"/>
                </w:tcPr>
                <w:p>
                  <w:pPr>
                    <w:bidi w:val="0"/>
                    <w:spacing w:line="240" w:lineRule="auto"/>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eastAsia="zh-CN"/>
                    </w:rPr>
                    <w:t>占地面积为5184m</w:t>
                  </w:r>
                  <w:r>
                    <w:rPr>
                      <w:rFonts w:hint="eastAsia" w:ascii="Times New Roman" w:hAnsi="Times New Roman" w:eastAsia="宋体"/>
                      <w:color w:val="auto"/>
                      <w:sz w:val="21"/>
                      <w:szCs w:val="21"/>
                      <w:vertAlign w:val="superscript"/>
                      <w:lang w:val="en-US" w:eastAsia="zh-CN"/>
                    </w:rPr>
                    <w:t>2</w:t>
                  </w:r>
                  <w:r>
                    <w:rPr>
                      <w:rFonts w:hint="eastAsia" w:ascii="Times New Roman" w:hAnsi="Times New Roman" w:eastAsia="宋体"/>
                      <w:color w:val="auto"/>
                      <w:sz w:val="21"/>
                      <w:szCs w:val="21"/>
                      <w:lang w:eastAsia="zh-CN"/>
                    </w:rPr>
                    <w:t>，位于厂区东侧，车间内共设置再生胶粉生产线</w:t>
                  </w:r>
                  <w:r>
                    <w:rPr>
                      <w:rFonts w:hint="eastAsia" w:ascii="Times New Roman" w:hAnsi="Times New Roman" w:eastAsia="宋体"/>
                      <w:color w:val="auto"/>
                      <w:sz w:val="21"/>
                      <w:szCs w:val="21"/>
                      <w:lang w:val="en-US" w:eastAsia="zh-CN"/>
                    </w:rPr>
                    <w:t>4条，再生胶</w:t>
                  </w:r>
                  <w:r>
                    <w:rPr>
                      <w:rFonts w:hint="eastAsia" w:ascii="Times New Roman" w:hAnsi="Times New Roman" w:eastAsia="宋体"/>
                      <w:color w:val="auto"/>
                      <w:sz w:val="21"/>
                      <w:szCs w:val="21"/>
                      <w:lang w:eastAsia="zh-CN"/>
                    </w:rPr>
                    <w:t>生产线</w:t>
                  </w:r>
                  <w:r>
                    <w:rPr>
                      <w:rFonts w:hint="eastAsia" w:ascii="Times New Roman" w:hAnsi="Times New Roman" w:eastAsia="宋体"/>
                      <w:color w:val="auto"/>
                      <w:sz w:val="21"/>
                      <w:szCs w:val="21"/>
                      <w:lang w:val="en-US" w:eastAsia="zh-CN"/>
                    </w:rPr>
                    <w:t>8条。</w:t>
                  </w:r>
                  <w:r>
                    <w:rPr>
                      <w:rFonts w:hint="eastAsia" w:ascii="Times New Roman" w:hAnsi="Times New Roman" w:eastAsia="宋体"/>
                      <w:color w:val="auto"/>
                      <w:sz w:val="21"/>
                      <w:szCs w:val="21"/>
                      <w:lang w:eastAsia="zh-CN"/>
                    </w:rPr>
                    <w:t>生产设备包括开炼机</w:t>
                  </w:r>
                  <w:r>
                    <w:rPr>
                      <w:rFonts w:hint="eastAsia" w:ascii="Times New Roman" w:hAnsi="Times New Roman" w:eastAsia="宋体"/>
                      <w:color w:val="auto"/>
                      <w:sz w:val="21"/>
                      <w:szCs w:val="21"/>
                      <w:lang w:val="en-US" w:eastAsia="zh-CN"/>
                    </w:rPr>
                    <w:t>12台</w:t>
                  </w:r>
                  <w:r>
                    <w:rPr>
                      <w:rFonts w:hint="eastAsia" w:ascii="Times New Roman" w:hAnsi="Times New Roman" w:eastAsia="宋体"/>
                      <w:color w:val="auto"/>
                      <w:sz w:val="21"/>
                      <w:szCs w:val="21"/>
                      <w:lang w:eastAsia="zh-CN"/>
                    </w:rPr>
                    <w:t>、精炼机 8 台、硫化罐 8 个、</w:t>
                  </w:r>
                  <w:r>
                    <w:rPr>
                      <w:rFonts w:hint="eastAsia" w:ascii="Times New Roman" w:hAnsi="Times New Roman" w:eastAsia="宋体"/>
                      <w:color w:val="auto"/>
                      <w:sz w:val="21"/>
                      <w:szCs w:val="21"/>
                      <w:lang w:val="en-US" w:eastAsia="zh-CN"/>
                    </w:rPr>
                    <w:t>内设切胶机5套、粉胶机5套。</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依托</w:t>
                  </w:r>
                  <w:r>
                    <w:rPr>
                      <w:rFonts w:hint="eastAsia" w:ascii="Times New Roman" w:hAnsi="Times New Roman" w:eastAsia="宋体"/>
                      <w:color w:val="auto"/>
                      <w:sz w:val="21"/>
                      <w:szCs w:val="21"/>
                      <w:lang w:val="en-US" w:eastAsia="zh-CN"/>
                    </w:rPr>
                    <w:t>再生胶车间</w:t>
                  </w:r>
                  <w:r>
                    <w:rPr>
                      <w:rFonts w:hint="eastAsia" w:ascii="Times New Roman" w:hAnsi="Times New Roman" w:eastAsia="宋体"/>
                      <w:color w:val="auto"/>
                      <w:sz w:val="21"/>
                      <w:szCs w:val="21"/>
                      <w:lang w:eastAsia="zh-CN"/>
                    </w:rPr>
                    <w:t>，新增生产设备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20"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val="en-US" w:eastAsia="zh-CN"/>
                    </w:rPr>
                    <w:t>胶板</w:t>
                  </w:r>
                  <w:r>
                    <w:rPr>
                      <w:rFonts w:hint="default"/>
                      <w:color w:val="auto"/>
                      <w:sz w:val="21"/>
                      <w:szCs w:val="21"/>
                      <w:lang w:eastAsia="zh-CN"/>
                    </w:rPr>
                    <w:t>车间</w:t>
                  </w:r>
                </w:p>
              </w:tc>
              <w:tc>
                <w:tcPr>
                  <w:tcW w:w="2411" w:type="dxa"/>
                  <w:tcBorders>
                    <w:tl2br w:val="nil"/>
                    <w:tr2bl w:val="nil"/>
                  </w:tcBorders>
                  <w:noWrap w:val="0"/>
                  <w:vAlign w:val="center"/>
                </w:tcPr>
                <w:p>
                  <w:pPr>
                    <w:bidi w:val="0"/>
                    <w:spacing w:line="240" w:lineRule="auto"/>
                    <w:rPr>
                      <w:rFonts w:hint="default"/>
                      <w:color w:val="auto"/>
                      <w:sz w:val="21"/>
                      <w:szCs w:val="21"/>
                      <w:lang w:eastAsia="zh-Hans"/>
                    </w:rPr>
                  </w:pPr>
                  <w:r>
                    <w:rPr>
                      <w:rFonts w:hint="default"/>
                      <w:color w:val="auto"/>
                      <w:sz w:val="21"/>
                      <w:szCs w:val="21"/>
                    </w:rPr>
                    <w:t>建设1座 11502m</w:t>
                  </w:r>
                  <w:r>
                    <w:rPr>
                      <w:rFonts w:hint="default"/>
                      <w:color w:val="auto"/>
                      <w:sz w:val="21"/>
                      <w:szCs w:val="21"/>
                      <w:vertAlign w:val="superscript"/>
                    </w:rPr>
                    <w:t xml:space="preserve">2 </w:t>
                  </w:r>
                  <w:r>
                    <w:rPr>
                      <w:rFonts w:hint="default"/>
                      <w:color w:val="auto"/>
                      <w:sz w:val="21"/>
                      <w:szCs w:val="21"/>
                    </w:rPr>
                    <w:t xml:space="preserve"> (162×72m) ，高 9.3m 钢结构胶板车间，位于厂区中部，内设 5 条胶板生产线，生产设备包括密炼机、开炼机、硫化机、 出型线、平板硫化机等，生产规模为年产 2 万吨胶板。</w:t>
                  </w:r>
                </w:p>
              </w:tc>
              <w:tc>
                <w:tcPr>
                  <w:tcW w:w="1365" w:type="dxa"/>
                  <w:tcBorders>
                    <w:tl2br w:val="nil"/>
                    <w:tr2bl w:val="nil"/>
                  </w:tcBorders>
                  <w:noWrap w:val="0"/>
                  <w:vAlign w:val="center"/>
                </w:tcPr>
                <w:p>
                  <w:pPr>
                    <w:bidi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w:t>
                  </w:r>
                </w:p>
              </w:tc>
              <w:tc>
                <w:tcPr>
                  <w:tcW w:w="2535" w:type="dxa"/>
                  <w:tcBorders>
                    <w:tl2br w:val="nil"/>
                    <w:tr2bl w:val="nil"/>
                  </w:tcBorders>
                  <w:noWrap w:val="0"/>
                  <w:vAlign w:val="center"/>
                </w:tcPr>
                <w:p>
                  <w:pPr>
                    <w:bidi w:val="0"/>
                    <w:spacing w:line="240" w:lineRule="auto"/>
                    <w:rPr>
                      <w:rFonts w:hint="eastAsia" w:ascii="Times New Roman" w:hAnsi="Times New Roman" w:eastAsia="宋体"/>
                      <w:color w:val="auto"/>
                      <w:sz w:val="21"/>
                      <w:szCs w:val="21"/>
                      <w:lang w:eastAsia="zh-CN"/>
                    </w:rPr>
                  </w:pPr>
                  <w:r>
                    <w:rPr>
                      <w:rFonts w:hint="default" w:ascii="Times New Roman" w:hAnsi="Times New Roman" w:eastAsia="宋体"/>
                      <w:color w:val="auto"/>
                      <w:sz w:val="21"/>
                      <w:szCs w:val="21"/>
                    </w:rPr>
                    <w:t>建设1座 11502m</w:t>
                  </w:r>
                  <w:r>
                    <w:rPr>
                      <w:rFonts w:hint="default" w:ascii="Times New Roman" w:hAnsi="Times New Roman" w:eastAsia="宋体"/>
                      <w:color w:val="auto"/>
                      <w:sz w:val="21"/>
                      <w:szCs w:val="21"/>
                      <w:vertAlign w:val="superscript"/>
                    </w:rPr>
                    <w:t xml:space="preserve">2 </w:t>
                  </w:r>
                  <w:r>
                    <w:rPr>
                      <w:rFonts w:hint="default" w:ascii="Times New Roman" w:hAnsi="Times New Roman" w:eastAsia="宋体"/>
                      <w:color w:val="auto"/>
                      <w:sz w:val="21"/>
                      <w:szCs w:val="21"/>
                    </w:rPr>
                    <w:t xml:space="preserve"> (162×72m)，高 9.3m 钢结构胶板车间，位于厂区中部，内设5 条胶板生产线，生产设备包括密炼机、开炼机、硫化机、 出型线、平板硫化机等，生产规模为年产2 万吨胶板。</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本项目不涉及胶板车间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23" w:hRule="atLeast"/>
                <w:jc w:val="center"/>
              </w:trPr>
              <w:tc>
                <w:tcPr>
                  <w:tcW w:w="36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辅助工程</w:t>
                  </w: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default"/>
                      <w:color w:val="auto"/>
                      <w:sz w:val="21"/>
                      <w:szCs w:val="21"/>
                    </w:rPr>
                    <w:t>原料</w:t>
                  </w:r>
                  <w:r>
                    <w:rPr>
                      <w:rFonts w:hint="eastAsia"/>
                      <w:color w:val="auto"/>
                      <w:sz w:val="21"/>
                      <w:szCs w:val="21"/>
                      <w:lang w:eastAsia="zh-CN"/>
                    </w:rPr>
                    <w:t>储存区</w:t>
                  </w:r>
                </w:p>
              </w:tc>
              <w:tc>
                <w:tcPr>
                  <w:tcW w:w="2411" w:type="dxa"/>
                  <w:tcBorders>
                    <w:tl2br w:val="nil"/>
                    <w:tr2bl w:val="nil"/>
                  </w:tcBorders>
                  <w:noWrap w:val="0"/>
                  <w:vAlign w:val="center"/>
                </w:tcPr>
                <w:p>
                  <w:pPr>
                    <w:bidi w:val="0"/>
                    <w:spacing w:line="240" w:lineRule="auto"/>
                    <w:rPr>
                      <w:rFonts w:hint="default"/>
                      <w:color w:val="auto"/>
                      <w:sz w:val="21"/>
                      <w:szCs w:val="21"/>
                    </w:rPr>
                  </w:pPr>
                  <w:r>
                    <w:rPr>
                      <w:rFonts w:hint="default"/>
                      <w:color w:val="auto"/>
                      <w:sz w:val="21"/>
                      <w:szCs w:val="21"/>
                    </w:rPr>
                    <w:t>再生胶车间原料</w:t>
                  </w:r>
                  <w:r>
                    <w:rPr>
                      <w:rFonts w:hint="eastAsia"/>
                      <w:color w:val="auto"/>
                      <w:sz w:val="21"/>
                      <w:szCs w:val="21"/>
                      <w:lang w:eastAsia="zh-CN"/>
                    </w:rPr>
                    <w:t>储存区</w:t>
                  </w:r>
                  <w:r>
                    <w:rPr>
                      <w:rFonts w:hint="default"/>
                      <w:color w:val="auto"/>
                      <w:sz w:val="21"/>
                      <w:szCs w:val="21"/>
                    </w:rPr>
                    <w:t>紧邻再生胶车间东侧，</w:t>
                  </w:r>
                  <w:r>
                    <w:rPr>
                      <w:rFonts w:hint="eastAsia"/>
                      <w:color w:val="auto"/>
                      <w:sz w:val="21"/>
                      <w:szCs w:val="21"/>
                      <w:lang w:eastAsia="zh-CN"/>
                    </w:rPr>
                    <w:t>不在生产车间内。</w:t>
                  </w:r>
                  <w:r>
                    <w:rPr>
                      <w:rFonts w:hint="default"/>
                      <w:color w:val="auto"/>
                      <w:sz w:val="21"/>
                      <w:szCs w:val="21"/>
                    </w:rPr>
                    <w:t>胶板车间原料</w:t>
                  </w:r>
                  <w:r>
                    <w:rPr>
                      <w:rFonts w:hint="eastAsia"/>
                      <w:color w:val="auto"/>
                      <w:sz w:val="21"/>
                      <w:szCs w:val="21"/>
                      <w:lang w:eastAsia="zh-CN"/>
                    </w:rPr>
                    <w:t>储存区</w:t>
                  </w:r>
                  <w:r>
                    <w:rPr>
                      <w:rFonts w:hint="default"/>
                      <w:color w:val="auto"/>
                      <w:sz w:val="21"/>
                      <w:szCs w:val="21"/>
                    </w:rPr>
                    <w:t>位于胶板车间东南侧。</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eastAsia"/>
                      <w:color w:val="auto"/>
                      <w:sz w:val="21"/>
                      <w:szCs w:val="21"/>
                      <w:lang w:eastAsia="zh-CN"/>
                    </w:rPr>
                    <w:t>依托再生胶车间原料储存区。现有的原料储存区可以满足扩建项目的储存需求。</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default"/>
                      <w:color w:val="auto"/>
                      <w:sz w:val="21"/>
                      <w:szCs w:val="21"/>
                    </w:rPr>
                    <w:t>再生胶车间原料</w:t>
                  </w:r>
                  <w:r>
                    <w:rPr>
                      <w:rFonts w:hint="eastAsia"/>
                      <w:color w:val="auto"/>
                      <w:sz w:val="21"/>
                      <w:szCs w:val="21"/>
                      <w:lang w:eastAsia="zh-CN"/>
                    </w:rPr>
                    <w:t>储存区</w:t>
                  </w:r>
                  <w:r>
                    <w:rPr>
                      <w:rFonts w:hint="default"/>
                      <w:color w:val="auto"/>
                      <w:sz w:val="21"/>
                      <w:szCs w:val="21"/>
                    </w:rPr>
                    <w:t>紧邻再生胶车间东侧，胶板车间原料</w:t>
                  </w:r>
                  <w:r>
                    <w:rPr>
                      <w:rFonts w:hint="eastAsia"/>
                      <w:color w:val="auto"/>
                      <w:sz w:val="21"/>
                      <w:szCs w:val="21"/>
                      <w:lang w:eastAsia="zh-CN"/>
                    </w:rPr>
                    <w:t>储存区</w:t>
                  </w:r>
                  <w:r>
                    <w:rPr>
                      <w:rFonts w:hint="default"/>
                      <w:color w:val="auto"/>
                      <w:sz w:val="21"/>
                      <w:szCs w:val="21"/>
                    </w:rPr>
                    <w:t>位于胶板车间东南侧。</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34"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default"/>
                      <w:color w:val="auto"/>
                      <w:sz w:val="21"/>
                      <w:szCs w:val="21"/>
                    </w:rPr>
                    <w:t>成品</w:t>
                  </w:r>
                  <w:r>
                    <w:rPr>
                      <w:rFonts w:hint="eastAsia"/>
                      <w:color w:val="auto"/>
                      <w:sz w:val="21"/>
                      <w:szCs w:val="21"/>
                      <w:lang w:eastAsia="zh-CN"/>
                    </w:rPr>
                    <w:t>区</w:t>
                  </w:r>
                </w:p>
              </w:tc>
              <w:tc>
                <w:tcPr>
                  <w:tcW w:w="2411" w:type="dxa"/>
                  <w:tcBorders>
                    <w:tl2br w:val="nil"/>
                    <w:tr2bl w:val="nil"/>
                  </w:tcBorders>
                  <w:noWrap w:val="0"/>
                  <w:vAlign w:val="center"/>
                </w:tcPr>
                <w:p>
                  <w:pPr>
                    <w:bidi w:val="0"/>
                    <w:spacing w:line="240" w:lineRule="auto"/>
                    <w:rPr>
                      <w:rFonts w:hint="eastAsia"/>
                      <w:color w:val="auto"/>
                      <w:sz w:val="21"/>
                      <w:szCs w:val="21"/>
                      <w:lang w:eastAsia="zh-CN"/>
                    </w:rPr>
                  </w:pPr>
                  <w:r>
                    <w:rPr>
                      <w:rFonts w:hint="eastAsia"/>
                      <w:color w:val="auto"/>
                      <w:sz w:val="21"/>
                      <w:szCs w:val="21"/>
                      <w:lang w:eastAsia="zh-CN"/>
                    </w:rPr>
                    <w:t>在各个车间布置相应的成品存放区</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eastAsia"/>
                      <w:color w:val="auto"/>
                      <w:sz w:val="21"/>
                      <w:szCs w:val="21"/>
                      <w:lang w:eastAsia="zh-CN"/>
                    </w:rPr>
                    <w:t>依托现有工程再生胶车间成品存放区</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eastAsia"/>
                      <w:color w:val="auto"/>
                      <w:sz w:val="21"/>
                      <w:szCs w:val="21"/>
                      <w:lang w:eastAsia="zh-CN"/>
                    </w:rPr>
                    <w:t>在各个车间布置相应的成品存放区</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83"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循环冷却水池</w:t>
                  </w:r>
                </w:p>
              </w:tc>
              <w:tc>
                <w:tcPr>
                  <w:tcW w:w="2411" w:type="dxa"/>
                  <w:tcBorders>
                    <w:tl2br w:val="nil"/>
                    <w:tr2bl w:val="nil"/>
                  </w:tcBorders>
                  <w:noWrap w:val="0"/>
                  <w:vAlign w:val="center"/>
                </w:tcPr>
                <w:p>
                  <w:pPr>
                    <w:bidi w:val="0"/>
                    <w:spacing w:line="240" w:lineRule="auto"/>
                    <w:rPr>
                      <w:rFonts w:hint="default"/>
                      <w:color w:val="auto"/>
                      <w:sz w:val="21"/>
                      <w:szCs w:val="21"/>
                      <w:lang w:val="en-US" w:eastAsia="zh-CN"/>
                    </w:rPr>
                  </w:pPr>
                  <w:r>
                    <w:rPr>
                      <w:rFonts w:hint="default"/>
                      <w:color w:val="auto"/>
                      <w:sz w:val="21"/>
                      <w:szCs w:val="21"/>
                    </w:rPr>
                    <w:t>设置 2 座冷却水池</w:t>
                  </w:r>
                  <w:r>
                    <w:rPr>
                      <w:rFonts w:hint="eastAsia"/>
                      <w:color w:val="auto"/>
                      <w:sz w:val="21"/>
                      <w:szCs w:val="21"/>
                      <w:lang w:eastAsia="zh-CN"/>
                    </w:rPr>
                    <w:t>，</w:t>
                  </w:r>
                  <w:r>
                    <w:rPr>
                      <w:rFonts w:hint="default"/>
                      <w:color w:val="auto"/>
                      <w:sz w:val="21"/>
                      <w:szCs w:val="21"/>
                    </w:rPr>
                    <w:t>1 座位于再生胶厂房南侧(3 6m×7m×2m ，有效容积 504m³) ，另一座位于再生胶厂房东侧 (有效容积 150m³) 作为生产线冷却用水。冷却水系统采用自然冷却方式</w:t>
                  </w:r>
                  <w:r>
                    <w:rPr>
                      <w:rFonts w:hint="eastAsia"/>
                      <w:color w:val="auto"/>
                      <w:sz w:val="21"/>
                      <w:szCs w:val="21"/>
                      <w:lang w:eastAsia="zh-CN"/>
                    </w:rPr>
                    <w:t>。采用防渗混凝土防渗，防渗系数可以满足≤</w:t>
                  </w:r>
                  <w:r>
                    <w:rPr>
                      <w:rFonts w:hint="eastAsia"/>
                      <w:color w:val="auto"/>
                      <w:sz w:val="21"/>
                      <w:szCs w:val="21"/>
                      <w:lang w:val="en-US" w:eastAsia="zh-CN"/>
                    </w:rPr>
                    <w:t>1</w:t>
                  </w:r>
                  <w:r>
                    <w:rPr>
                      <w:rFonts w:hint="default" w:ascii="Arial" w:hAnsi="Arial" w:eastAsia="宋体" w:cs="Arial"/>
                      <w:color w:val="auto"/>
                      <w:sz w:val="21"/>
                      <w:szCs w:val="21"/>
                      <w:lang w:val="en-US" w:eastAsia="zh-CN"/>
                    </w:rPr>
                    <w:t>×</w:t>
                  </w:r>
                  <w:r>
                    <w:rPr>
                      <w:rFonts w:hint="eastAsia"/>
                      <w:color w:val="auto"/>
                      <w:sz w:val="21"/>
                      <w:szCs w:val="21"/>
                      <w:lang w:val="en-US" w:eastAsia="zh-CN"/>
                    </w:rPr>
                    <w:t>10</w:t>
                  </w:r>
                  <w:r>
                    <w:rPr>
                      <w:rFonts w:hint="eastAsia"/>
                      <w:color w:val="auto"/>
                      <w:sz w:val="21"/>
                      <w:szCs w:val="21"/>
                      <w:vertAlign w:val="superscript"/>
                      <w:lang w:val="en-US" w:eastAsia="zh-CN"/>
                    </w:rPr>
                    <w:t>-7</w:t>
                  </w:r>
                  <w:r>
                    <w:rPr>
                      <w:rFonts w:hint="eastAsia"/>
                      <w:color w:val="auto"/>
                      <w:sz w:val="21"/>
                      <w:szCs w:val="21"/>
                      <w:lang w:val="en-US" w:eastAsia="zh-CN"/>
                    </w:rPr>
                    <w:t>。</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扩建项目设备冷却用水依托现有工程再生胶车间南侧的循环水池。</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default"/>
                      <w:color w:val="auto"/>
                      <w:sz w:val="21"/>
                      <w:szCs w:val="21"/>
                    </w:rPr>
                    <w:t>设置2座冷却水池</w:t>
                  </w:r>
                  <w:r>
                    <w:rPr>
                      <w:rFonts w:hint="eastAsia"/>
                      <w:color w:val="auto"/>
                      <w:sz w:val="21"/>
                      <w:szCs w:val="21"/>
                      <w:lang w:eastAsia="zh-CN"/>
                    </w:rPr>
                    <w:t>，</w:t>
                  </w:r>
                  <w:r>
                    <w:rPr>
                      <w:rFonts w:hint="default"/>
                      <w:color w:val="auto"/>
                      <w:sz w:val="21"/>
                      <w:szCs w:val="21"/>
                    </w:rPr>
                    <w:t>1座位于再生胶厂房南侧(3 6m×7m×2m ，有效容积 504m³) ，另一座位于再生胶厂房东侧 (有效容积 150m³) 作为生产线冷却用水。冷却水系统采用自然冷却方式</w:t>
                  </w:r>
                  <w:r>
                    <w:rPr>
                      <w:rFonts w:hint="eastAsia"/>
                      <w:color w:val="auto"/>
                      <w:sz w:val="21"/>
                      <w:szCs w:val="21"/>
                      <w:lang w:eastAsia="zh-CN"/>
                    </w:rPr>
                    <w:t>。采用防渗混凝土防渗，防渗系数可以满足≤</w:t>
                  </w:r>
                  <w:r>
                    <w:rPr>
                      <w:rFonts w:hint="eastAsia"/>
                      <w:color w:val="auto"/>
                      <w:sz w:val="21"/>
                      <w:szCs w:val="21"/>
                      <w:lang w:val="en-US" w:eastAsia="zh-CN"/>
                    </w:rPr>
                    <w:t>1</w:t>
                  </w:r>
                  <w:r>
                    <w:rPr>
                      <w:rFonts w:hint="default" w:ascii="Arial" w:hAnsi="Arial" w:eastAsia="宋体" w:cs="Arial"/>
                      <w:color w:val="auto"/>
                      <w:sz w:val="21"/>
                      <w:szCs w:val="21"/>
                      <w:lang w:val="en-US" w:eastAsia="zh-CN"/>
                    </w:rPr>
                    <w:t>×</w:t>
                  </w:r>
                  <w:r>
                    <w:rPr>
                      <w:rFonts w:hint="eastAsia"/>
                      <w:color w:val="auto"/>
                      <w:sz w:val="21"/>
                      <w:szCs w:val="21"/>
                      <w:lang w:val="en-US" w:eastAsia="zh-CN"/>
                    </w:rPr>
                    <w:t>10</w:t>
                  </w:r>
                  <w:r>
                    <w:rPr>
                      <w:rFonts w:hint="eastAsia"/>
                      <w:color w:val="auto"/>
                      <w:sz w:val="21"/>
                      <w:szCs w:val="21"/>
                      <w:vertAlign w:val="superscript"/>
                      <w:lang w:val="en-US" w:eastAsia="zh-CN"/>
                    </w:rPr>
                    <w:t>-7</w:t>
                  </w:r>
                  <w:r>
                    <w:rPr>
                      <w:rFonts w:hint="eastAsia"/>
                      <w:color w:val="auto"/>
                      <w:sz w:val="21"/>
                      <w:szCs w:val="21"/>
                      <w:lang w:val="en-US" w:eastAsia="zh-CN"/>
                    </w:rPr>
                    <w:t>。</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eastAsia="宋体"/>
                      <w:color w:val="auto"/>
                      <w:sz w:val="21"/>
                      <w:szCs w:val="21"/>
                      <w:lang w:val="en-US" w:eastAsia="zh-CN"/>
                    </w:rPr>
                    <w:t>依托。扩建项目设备冷却用水依托现有工程再生胶车间南侧的循环水池。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办公楼</w:t>
                  </w:r>
                </w:p>
              </w:tc>
              <w:tc>
                <w:tcPr>
                  <w:tcW w:w="2411" w:type="dxa"/>
                  <w:tcBorders>
                    <w:tl2br w:val="nil"/>
                    <w:tr2bl w:val="nil"/>
                  </w:tcBorders>
                  <w:noWrap w:val="0"/>
                  <w:vAlign w:val="center"/>
                </w:tcPr>
                <w:p>
                  <w:pPr>
                    <w:bidi w:val="0"/>
                    <w:spacing w:line="240" w:lineRule="auto"/>
                    <w:rPr>
                      <w:rFonts w:hint="default"/>
                      <w:color w:val="auto"/>
                      <w:sz w:val="21"/>
                      <w:szCs w:val="21"/>
                    </w:rPr>
                  </w:pPr>
                  <w:r>
                    <w:rPr>
                      <w:rFonts w:hint="default"/>
                      <w:color w:val="auto"/>
                      <w:sz w:val="21"/>
                      <w:szCs w:val="21"/>
                    </w:rPr>
                    <w:t xml:space="preserve">三层办公楼，建筑面积为 </w:t>
                  </w:r>
                  <w:r>
                    <w:rPr>
                      <w:rFonts w:hint="eastAsia"/>
                      <w:color w:val="auto"/>
                      <w:sz w:val="21"/>
                      <w:szCs w:val="21"/>
                      <w:lang w:val="en-US" w:eastAsia="zh-CN"/>
                    </w:rPr>
                    <w:t>1131</w:t>
                  </w:r>
                  <w:r>
                    <w:rPr>
                      <w:rFonts w:hint="default"/>
                      <w:color w:val="auto"/>
                      <w:sz w:val="21"/>
                      <w:szCs w:val="21"/>
                    </w:rPr>
                    <w:t>m</w:t>
                  </w:r>
                  <w:r>
                    <w:rPr>
                      <w:rFonts w:hint="default"/>
                      <w:color w:val="auto"/>
                      <w:sz w:val="21"/>
                      <w:szCs w:val="21"/>
                      <w:vertAlign w:val="superscript"/>
                      <w:lang w:val="en-US" w:eastAsia="zh-CN"/>
                    </w:rPr>
                    <w:t>2</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eastAsia"/>
                      <w:color w:val="auto"/>
                      <w:sz w:val="21"/>
                      <w:szCs w:val="21"/>
                      <w:lang w:eastAsia="zh-CN"/>
                    </w:rPr>
                    <w:t>依托</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default"/>
                      <w:color w:val="auto"/>
                      <w:sz w:val="21"/>
                      <w:szCs w:val="21"/>
                    </w:rPr>
                    <w:t xml:space="preserve">三层办公楼，建筑面积为 </w:t>
                  </w:r>
                  <w:r>
                    <w:rPr>
                      <w:rFonts w:hint="eastAsia"/>
                      <w:color w:val="auto"/>
                      <w:sz w:val="21"/>
                      <w:szCs w:val="21"/>
                      <w:lang w:val="en-US" w:eastAsia="zh-CN"/>
                    </w:rPr>
                    <w:t>1131</w:t>
                  </w:r>
                  <w:r>
                    <w:rPr>
                      <w:rFonts w:hint="default"/>
                      <w:color w:val="auto"/>
                      <w:sz w:val="21"/>
                      <w:szCs w:val="21"/>
                    </w:rPr>
                    <w:t>m</w:t>
                  </w:r>
                  <w:r>
                    <w:rPr>
                      <w:rFonts w:hint="default"/>
                      <w:color w:val="auto"/>
                      <w:sz w:val="21"/>
                      <w:szCs w:val="21"/>
                      <w:vertAlign w:val="superscript"/>
                      <w:lang w:val="en-US" w:eastAsia="zh-CN"/>
                    </w:rPr>
                    <w:t>2</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eastAsia"/>
                      <w:color w:val="auto"/>
                      <w:sz w:val="21"/>
                      <w:szCs w:val="21"/>
                      <w:lang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92"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锅炉房</w:t>
                  </w:r>
                </w:p>
              </w:tc>
              <w:tc>
                <w:tcPr>
                  <w:tcW w:w="2411" w:type="dxa"/>
                  <w:tcBorders>
                    <w:tl2br w:val="nil"/>
                    <w:tr2bl w:val="nil"/>
                  </w:tcBorders>
                  <w:noWrap w:val="0"/>
                  <w:vAlign w:val="center"/>
                </w:tcPr>
                <w:p>
                  <w:pPr>
                    <w:bidi w:val="0"/>
                    <w:spacing w:line="240" w:lineRule="auto"/>
                    <w:rPr>
                      <w:rFonts w:hint="default"/>
                      <w:color w:val="auto"/>
                      <w:sz w:val="21"/>
                      <w:szCs w:val="21"/>
                      <w:lang w:eastAsia="zh-CN"/>
                    </w:rPr>
                  </w:pPr>
                  <w:r>
                    <w:rPr>
                      <w:rFonts w:hint="eastAsia"/>
                      <w:color w:val="auto"/>
                      <w:sz w:val="21"/>
                      <w:szCs w:val="21"/>
                      <w:lang w:eastAsia="zh-CN"/>
                    </w:rPr>
                    <w:t>建设了</w:t>
                  </w:r>
                  <w:r>
                    <w:rPr>
                      <w:rFonts w:hint="default"/>
                      <w:color w:val="auto"/>
                      <w:sz w:val="21"/>
                      <w:szCs w:val="21"/>
                      <w:lang w:eastAsia="zh-CN"/>
                    </w:rPr>
                    <w:t>一台额定热功率 4000kw 生物质锅炉，位 于厂区东侧，锅炉房建筑面积为 504m</w:t>
                  </w:r>
                  <w:r>
                    <w:rPr>
                      <w:rFonts w:hint="default"/>
                      <w:color w:val="auto"/>
                      <w:sz w:val="21"/>
                      <w:szCs w:val="21"/>
                      <w:vertAlign w:val="superscript"/>
                      <w:lang w:eastAsia="zh-CN"/>
                    </w:rPr>
                    <w:t xml:space="preserve">2 </w:t>
                  </w:r>
                  <w:r>
                    <w:rPr>
                      <w:rFonts w:hint="default"/>
                      <w:color w:val="auto"/>
                      <w:sz w:val="21"/>
                      <w:szCs w:val="21"/>
                      <w:lang w:eastAsia="zh-CN"/>
                    </w:rPr>
                    <w:t>，年耗 生物质燃料约2300t ，用于生产再生胶脱硫及胶板硫化的过程供热。</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eastAsia"/>
                      <w:color w:val="auto"/>
                      <w:sz w:val="21"/>
                      <w:szCs w:val="21"/>
                      <w:lang w:eastAsia="zh-CN"/>
                    </w:rPr>
                    <w:t>——</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eastAsia"/>
                      <w:color w:val="auto"/>
                      <w:sz w:val="21"/>
                      <w:szCs w:val="21"/>
                      <w:lang w:eastAsia="zh-CN"/>
                    </w:rPr>
                    <w:t>建设了</w:t>
                  </w:r>
                  <w:r>
                    <w:rPr>
                      <w:rFonts w:hint="default"/>
                      <w:color w:val="auto"/>
                      <w:sz w:val="21"/>
                      <w:szCs w:val="21"/>
                      <w:lang w:eastAsia="zh-CN"/>
                    </w:rPr>
                    <w:t>一台额定热功率 4000kw 生物质锅炉，位 于厂区东侧，锅炉房建筑面积为 504m</w:t>
                  </w:r>
                  <w:r>
                    <w:rPr>
                      <w:rFonts w:hint="default"/>
                      <w:color w:val="auto"/>
                      <w:sz w:val="21"/>
                      <w:szCs w:val="21"/>
                      <w:vertAlign w:val="superscript"/>
                      <w:lang w:eastAsia="zh-CN"/>
                    </w:rPr>
                    <w:t xml:space="preserve">2 </w:t>
                  </w:r>
                  <w:r>
                    <w:rPr>
                      <w:rFonts w:hint="default"/>
                      <w:color w:val="auto"/>
                      <w:sz w:val="21"/>
                      <w:szCs w:val="21"/>
                      <w:lang w:eastAsia="zh-CN"/>
                    </w:rPr>
                    <w:t>，年耗 生物质燃料约2300t ，用于生产再生胶脱硫及胶板硫化的过程供热。</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69"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危废暂存间</w:t>
                  </w:r>
                </w:p>
              </w:tc>
              <w:tc>
                <w:tcPr>
                  <w:tcW w:w="2411" w:type="dxa"/>
                  <w:tcBorders>
                    <w:tl2br w:val="nil"/>
                    <w:tr2bl w:val="nil"/>
                  </w:tcBorders>
                  <w:noWrap w:val="0"/>
                  <w:vAlign w:val="center"/>
                </w:tcPr>
                <w:p>
                  <w:pPr>
                    <w:bidi w:val="0"/>
                    <w:spacing w:line="240" w:lineRule="auto"/>
                    <w:rPr>
                      <w:rFonts w:hint="default"/>
                      <w:color w:val="auto"/>
                      <w:sz w:val="21"/>
                      <w:szCs w:val="21"/>
                      <w:lang w:eastAsia="zh-CN"/>
                    </w:rPr>
                  </w:pPr>
                  <w:r>
                    <w:rPr>
                      <w:rFonts w:hint="eastAsia"/>
                      <w:color w:val="auto"/>
                      <w:sz w:val="21"/>
                      <w:szCs w:val="21"/>
                      <w:lang w:eastAsia="zh-CN"/>
                    </w:rPr>
                    <w:t>建设危废暂存间 1 座，位于厂区东南侧，建筑面积为30m</w:t>
                  </w:r>
                  <w:r>
                    <w:rPr>
                      <w:rFonts w:hint="eastAsia"/>
                      <w:color w:val="auto"/>
                      <w:sz w:val="21"/>
                      <w:szCs w:val="21"/>
                      <w:vertAlign w:val="superscript"/>
                      <w:lang w:eastAsia="zh-CN"/>
                    </w:rPr>
                    <w:t>2</w:t>
                  </w:r>
                  <w:r>
                    <w:rPr>
                      <w:rFonts w:hint="eastAsia"/>
                      <w:color w:val="auto"/>
                      <w:sz w:val="21"/>
                      <w:szCs w:val="21"/>
                      <w:lang w:eastAsia="zh-CN"/>
                    </w:rPr>
                    <w:t>，内部做重点防渗处理，用于存放废活性炭、废导热油等危险废物，防渗系数满足≤1.0×10</w:t>
                  </w:r>
                  <w:r>
                    <w:rPr>
                      <w:rFonts w:hint="eastAsia"/>
                      <w:color w:val="auto"/>
                      <w:sz w:val="21"/>
                      <w:szCs w:val="21"/>
                      <w:vertAlign w:val="superscript"/>
                      <w:lang w:eastAsia="zh-CN"/>
                    </w:rPr>
                    <w:t>- 10</w:t>
                  </w:r>
                  <w:r>
                    <w:rPr>
                      <w:rFonts w:hint="eastAsia"/>
                      <w:color w:val="auto"/>
                      <w:sz w:val="21"/>
                      <w:szCs w:val="21"/>
                      <w:lang w:eastAsia="zh-CN"/>
                    </w:rPr>
                    <w:t>cm/s。</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eastAsia"/>
                      <w:color w:val="auto"/>
                      <w:sz w:val="21"/>
                      <w:szCs w:val="21"/>
                      <w:lang w:eastAsia="zh-CN"/>
                    </w:rPr>
                    <w:t>扩建工程产生废机油的储存依托现有工程建设的危废暂存间。</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eastAsia"/>
                      <w:color w:val="auto"/>
                      <w:sz w:val="21"/>
                      <w:szCs w:val="21"/>
                      <w:lang w:eastAsia="zh-CN"/>
                    </w:rPr>
                    <w:t>建设危废暂存间 1 座，位于厂区东南侧，建筑面积为30m</w:t>
                  </w:r>
                  <w:r>
                    <w:rPr>
                      <w:rFonts w:hint="eastAsia"/>
                      <w:color w:val="auto"/>
                      <w:sz w:val="21"/>
                      <w:szCs w:val="21"/>
                      <w:vertAlign w:val="superscript"/>
                      <w:lang w:eastAsia="zh-CN"/>
                    </w:rPr>
                    <w:t>2</w:t>
                  </w:r>
                  <w:r>
                    <w:rPr>
                      <w:rFonts w:hint="eastAsia"/>
                      <w:color w:val="auto"/>
                      <w:sz w:val="21"/>
                      <w:szCs w:val="21"/>
                      <w:lang w:eastAsia="zh-CN"/>
                    </w:rPr>
                    <w:t>，内部做重点防渗处理，用于存放废活性炭、废导热油等危险废物，防渗系数满足≤1.0×10</w:t>
                  </w:r>
                  <w:r>
                    <w:rPr>
                      <w:rFonts w:hint="eastAsia"/>
                      <w:color w:val="auto"/>
                      <w:sz w:val="21"/>
                      <w:szCs w:val="21"/>
                      <w:vertAlign w:val="superscript"/>
                      <w:lang w:eastAsia="zh-CN"/>
                    </w:rPr>
                    <w:t>- 10</w:t>
                  </w:r>
                  <w:r>
                    <w:rPr>
                      <w:rFonts w:hint="eastAsia"/>
                      <w:color w:val="auto"/>
                      <w:sz w:val="21"/>
                      <w:szCs w:val="21"/>
                      <w:lang w:eastAsia="zh-CN"/>
                    </w:rPr>
                    <w:t>cm/s。</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依托。扩建工程产生废机油的储存依托现有工程建设的危废暂存间。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69"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eastAsia="zh-CN"/>
                    </w:rPr>
                    <w:t>一般固废暂存区</w:t>
                  </w:r>
                </w:p>
              </w:tc>
              <w:tc>
                <w:tcPr>
                  <w:tcW w:w="2411" w:type="dxa"/>
                  <w:tcBorders>
                    <w:tl2br w:val="nil"/>
                    <w:tr2bl w:val="nil"/>
                  </w:tcBorders>
                  <w:noWrap w:val="0"/>
                  <w:vAlign w:val="center"/>
                </w:tcPr>
                <w:p>
                  <w:pPr>
                    <w:bidi w:val="0"/>
                    <w:spacing w:line="240" w:lineRule="auto"/>
                    <w:rPr>
                      <w:rFonts w:hint="eastAsia"/>
                      <w:color w:val="auto"/>
                      <w:sz w:val="21"/>
                      <w:szCs w:val="21"/>
                      <w:lang w:eastAsia="zh-CN"/>
                    </w:rPr>
                  </w:pPr>
                  <w:r>
                    <w:rPr>
                      <w:rFonts w:hint="eastAsia"/>
                      <w:color w:val="auto"/>
                      <w:sz w:val="21"/>
                      <w:szCs w:val="21"/>
                      <w:lang w:eastAsia="zh-CN"/>
                    </w:rPr>
                    <w:t>建设一般固废暂存区</w:t>
                  </w:r>
                  <w:r>
                    <w:rPr>
                      <w:rFonts w:hint="eastAsia"/>
                      <w:color w:val="auto"/>
                      <w:sz w:val="21"/>
                      <w:szCs w:val="21"/>
                      <w:lang w:val="en-US" w:eastAsia="zh-CN"/>
                    </w:rPr>
                    <w:t>1处，位于胶板生产车间内，占地面积为20m</w:t>
                  </w:r>
                  <w:r>
                    <w:rPr>
                      <w:rFonts w:hint="eastAsia"/>
                      <w:color w:val="auto"/>
                      <w:sz w:val="21"/>
                      <w:szCs w:val="21"/>
                      <w:vertAlign w:val="superscript"/>
                      <w:lang w:val="en-US" w:eastAsia="zh-CN"/>
                    </w:rPr>
                    <w:t>2</w:t>
                  </w:r>
                  <w:r>
                    <w:rPr>
                      <w:rFonts w:hint="eastAsia"/>
                      <w:color w:val="auto"/>
                      <w:sz w:val="21"/>
                      <w:szCs w:val="21"/>
                      <w:lang w:val="en-US" w:eastAsia="zh-CN"/>
                    </w:rPr>
                    <w:t>，地面做一般防渗处理，用于存放除尘灰、边角料和不合格品，防渗系数满足</w:t>
                  </w:r>
                  <w:r>
                    <w:rPr>
                      <w:rFonts w:hint="eastAsia"/>
                      <w:color w:val="auto"/>
                      <w:sz w:val="21"/>
                      <w:szCs w:val="21"/>
                      <w:lang w:eastAsia="zh-CN"/>
                    </w:rPr>
                    <w:t>≤1.0×10</w:t>
                  </w:r>
                  <w:r>
                    <w:rPr>
                      <w:rFonts w:hint="eastAsia"/>
                      <w:color w:val="auto"/>
                      <w:sz w:val="21"/>
                      <w:szCs w:val="21"/>
                      <w:vertAlign w:val="superscript"/>
                      <w:lang w:eastAsia="zh-CN"/>
                    </w:rPr>
                    <w:t xml:space="preserve">- </w:t>
                  </w:r>
                  <w:r>
                    <w:rPr>
                      <w:rFonts w:hint="eastAsia"/>
                      <w:color w:val="auto"/>
                      <w:sz w:val="21"/>
                      <w:szCs w:val="21"/>
                      <w:vertAlign w:val="superscript"/>
                      <w:lang w:val="en-US" w:eastAsia="zh-CN"/>
                    </w:rPr>
                    <w:t>7</w:t>
                  </w:r>
                  <w:r>
                    <w:rPr>
                      <w:rFonts w:hint="eastAsia"/>
                      <w:color w:val="auto"/>
                      <w:sz w:val="21"/>
                      <w:szCs w:val="21"/>
                      <w:lang w:eastAsia="zh-CN"/>
                    </w:rPr>
                    <w:t>cm/s。</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依托现有工程一般固废暂存区，用于存放扩建项目产生的废钢丝及废纤维。</w:t>
                  </w:r>
                </w:p>
              </w:tc>
              <w:tc>
                <w:tcPr>
                  <w:tcW w:w="2535" w:type="dxa"/>
                  <w:tcBorders>
                    <w:tl2br w:val="nil"/>
                    <w:tr2bl w:val="nil"/>
                  </w:tcBorders>
                  <w:noWrap w:val="0"/>
                  <w:vAlign w:val="center"/>
                </w:tcPr>
                <w:p>
                  <w:pPr>
                    <w:bidi w:val="0"/>
                    <w:spacing w:line="240" w:lineRule="auto"/>
                    <w:rPr>
                      <w:rFonts w:hint="eastAsia"/>
                      <w:color w:val="auto"/>
                      <w:sz w:val="21"/>
                      <w:szCs w:val="21"/>
                      <w:lang w:eastAsia="zh-CN"/>
                    </w:rPr>
                  </w:pPr>
                  <w:r>
                    <w:rPr>
                      <w:rFonts w:hint="eastAsia"/>
                      <w:color w:val="auto"/>
                      <w:sz w:val="21"/>
                      <w:szCs w:val="21"/>
                      <w:lang w:eastAsia="zh-CN"/>
                    </w:rPr>
                    <w:t>建设一般固废暂存区</w:t>
                  </w:r>
                  <w:r>
                    <w:rPr>
                      <w:rFonts w:hint="eastAsia"/>
                      <w:color w:val="auto"/>
                      <w:sz w:val="21"/>
                      <w:szCs w:val="21"/>
                      <w:lang w:val="en-US" w:eastAsia="zh-CN"/>
                    </w:rPr>
                    <w:t>1处，位于胶板生产车间内，占地面积为20m</w:t>
                  </w:r>
                  <w:r>
                    <w:rPr>
                      <w:rFonts w:hint="eastAsia"/>
                      <w:color w:val="auto"/>
                      <w:sz w:val="21"/>
                      <w:szCs w:val="21"/>
                      <w:vertAlign w:val="superscript"/>
                      <w:lang w:val="en-US" w:eastAsia="zh-CN"/>
                    </w:rPr>
                    <w:t>2</w:t>
                  </w:r>
                  <w:r>
                    <w:rPr>
                      <w:rFonts w:hint="eastAsia"/>
                      <w:color w:val="auto"/>
                      <w:sz w:val="21"/>
                      <w:szCs w:val="21"/>
                      <w:lang w:val="en-US" w:eastAsia="zh-CN"/>
                    </w:rPr>
                    <w:t>，地面做一般防渗处理，用于存放除尘灰、边角料和不合格品，防渗系数满足</w:t>
                  </w:r>
                  <w:r>
                    <w:rPr>
                      <w:rFonts w:hint="eastAsia"/>
                      <w:color w:val="auto"/>
                      <w:sz w:val="21"/>
                      <w:szCs w:val="21"/>
                      <w:lang w:eastAsia="zh-CN"/>
                    </w:rPr>
                    <w:t>≤1.0×10</w:t>
                  </w:r>
                  <w:r>
                    <w:rPr>
                      <w:rFonts w:hint="eastAsia"/>
                      <w:color w:val="auto"/>
                      <w:sz w:val="21"/>
                      <w:szCs w:val="21"/>
                      <w:vertAlign w:val="superscript"/>
                      <w:lang w:eastAsia="zh-CN"/>
                    </w:rPr>
                    <w:t xml:space="preserve">- </w:t>
                  </w:r>
                  <w:r>
                    <w:rPr>
                      <w:rFonts w:hint="eastAsia"/>
                      <w:color w:val="auto"/>
                      <w:sz w:val="21"/>
                      <w:szCs w:val="21"/>
                      <w:vertAlign w:val="superscript"/>
                      <w:lang w:val="en-US" w:eastAsia="zh-CN"/>
                    </w:rPr>
                    <w:t>7</w:t>
                  </w:r>
                  <w:r>
                    <w:rPr>
                      <w:rFonts w:hint="eastAsia"/>
                      <w:color w:val="auto"/>
                      <w:sz w:val="21"/>
                      <w:szCs w:val="21"/>
                      <w:lang w:eastAsia="zh-CN"/>
                    </w:rPr>
                    <w:t>cm/s。</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17" w:hRule="atLeast"/>
                <w:jc w:val="center"/>
              </w:trPr>
              <w:tc>
                <w:tcPr>
                  <w:tcW w:w="36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公用工程</w:t>
                  </w: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供电</w:t>
                  </w:r>
                </w:p>
              </w:tc>
              <w:tc>
                <w:tcPr>
                  <w:tcW w:w="2411" w:type="dxa"/>
                  <w:tcBorders>
                    <w:tl2br w:val="nil"/>
                    <w:tr2bl w:val="nil"/>
                  </w:tcBorders>
                  <w:noWrap w:val="0"/>
                  <w:vAlign w:val="center"/>
                </w:tcPr>
                <w:p>
                  <w:pPr>
                    <w:bidi w:val="0"/>
                    <w:spacing w:line="240" w:lineRule="auto"/>
                    <w:rPr>
                      <w:rFonts w:hint="default"/>
                      <w:color w:val="auto"/>
                      <w:sz w:val="21"/>
                      <w:szCs w:val="21"/>
                      <w:lang w:eastAsia="zh-CN"/>
                    </w:rPr>
                  </w:pPr>
                  <w:r>
                    <w:rPr>
                      <w:rFonts w:hint="default"/>
                      <w:color w:val="auto"/>
                      <w:sz w:val="21"/>
                      <w:szCs w:val="21"/>
                      <w:lang w:eastAsia="zh-CN"/>
                    </w:rPr>
                    <w:t>项目用电接自园区供电线路，年用电量为 1000 万kw·h</w:t>
                  </w:r>
                  <w:r>
                    <w:rPr>
                      <w:rFonts w:hint="eastAsia"/>
                      <w:color w:val="auto"/>
                      <w:sz w:val="21"/>
                      <w:szCs w:val="21"/>
                      <w:lang w:eastAsia="zh-CN"/>
                    </w:rPr>
                    <w:t>。</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eastAsia="zh-CN"/>
                    </w:rPr>
                    <w:t>扩建项目年用电量为</w:t>
                  </w:r>
                  <w:r>
                    <w:rPr>
                      <w:rFonts w:hint="eastAsia"/>
                      <w:color w:val="auto"/>
                      <w:sz w:val="21"/>
                      <w:szCs w:val="21"/>
                      <w:lang w:val="en-US" w:eastAsia="zh-CN"/>
                    </w:rPr>
                    <w:t>283.61万</w:t>
                  </w:r>
                  <w:r>
                    <w:rPr>
                      <w:rFonts w:hint="default"/>
                      <w:color w:val="auto"/>
                      <w:sz w:val="21"/>
                      <w:szCs w:val="21"/>
                      <w:lang w:eastAsia="zh-CN"/>
                    </w:rPr>
                    <w:t>kw·h</w:t>
                  </w:r>
                  <w:r>
                    <w:rPr>
                      <w:rFonts w:hint="eastAsia"/>
                      <w:color w:val="auto"/>
                      <w:sz w:val="21"/>
                      <w:szCs w:val="21"/>
                      <w:lang w:eastAsia="zh-CN"/>
                    </w:rPr>
                    <w:t>，供电系统依托现有工程。</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default"/>
                      <w:color w:val="auto"/>
                      <w:sz w:val="21"/>
                      <w:szCs w:val="21"/>
                      <w:lang w:eastAsia="zh-CN"/>
                    </w:rPr>
                    <w:t>项目用电接自园区供电线路，年用电量为</w:t>
                  </w:r>
                  <w:r>
                    <w:rPr>
                      <w:rFonts w:hint="eastAsia"/>
                      <w:color w:val="auto"/>
                      <w:sz w:val="21"/>
                      <w:szCs w:val="21"/>
                      <w:lang w:val="en-US" w:eastAsia="zh-CN"/>
                    </w:rPr>
                    <w:t>1283.61</w:t>
                  </w:r>
                  <w:r>
                    <w:rPr>
                      <w:rFonts w:hint="default"/>
                      <w:color w:val="auto"/>
                      <w:sz w:val="21"/>
                      <w:szCs w:val="21"/>
                      <w:lang w:eastAsia="zh-CN"/>
                    </w:rPr>
                    <w:t>万 kw·h</w:t>
                  </w:r>
                  <w:r>
                    <w:rPr>
                      <w:rFonts w:hint="eastAsia"/>
                      <w:color w:val="auto"/>
                      <w:sz w:val="21"/>
                      <w:szCs w:val="21"/>
                      <w:lang w:eastAsia="zh-CN"/>
                    </w:rPr>
                    <w:t>。</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eastAsia"/>
                      <w:color w:val="auto"/>
                      <w:sz w:val="21"/>
                      <w:szCs w:val="21"/>
                      <w:lang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9"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供水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2411" w:type="dxa"/>
                  <w:tcBorders>
                    <w:tl2br w:val="nil"/>
                    <w:tr2bl w:val="nil"/>
                  </w:tcBorders>
                  <w:noWrap w:val="0"/>
                  <w:vAlign w:val="center"/>
                </w:tcPr>
                <w:p>
                  <w:pPr>
                    <w:bidi w:val="0"/>
                    <w:spacing w:line="240" w:lineRule="auto"/>
                    <w:rPr>
                      <w:rFonts w:hint="default"/>
                      <w:color w:val="auto"/>
                      <w:sz w:val="21"/>
                      <w:szCs w:val="21"/>
                      <w:lang w:eastAsia="zh-CN"/>
                    </w:rPr>
                  </w:pPr>
                  <w:r>
                    <w:rPr>
                      <w:rFonts w:hint="default"/>
                      <w:color w:val="auto"/>
                      <w:sz w:val="21"/>
                      <w:szCs w:val="21"/>
                      <w:lang w:eastAsia="zh-CN"/>
                    </w:rPr>
                    <w:t>项目生产、生活及绿化用水由园区供水管网</w:t>
                  </w:r>
                  <w:r>
                    <w:rPr>
                      <w:rFonts w:hint="eastAsia"/>
                      <w:color w:val="auto"/>
                      <w:sz w:val="21"/>
                      <w:szCs w:val="21"/>
                      <w:lang w:eastAsia="zh-CN"/>
                    </w:rPr>
                    <w:t>供给，</w:t>
                  </w:r>
                  <w:r>
                    <w:rPr>
                      <w:rFonts w:hint="default"/>
                      <w:color w:val="auto"/>
                      <w:sz w:val="21"/>
                      <w:szCs w:val="21"/>
                      <w:lang w:eastAsia="zh-CN"/>
                    </w:rPr>
                    <w:t>总用水量为</w:t>
                  </w:r>
                  <w:r>
                    <w:rPr>
                      <w:rFonts w:hint="eastAsia"/>
                      <w:color w:val="auto"/>
                      <w:sz w:val="21"/>
                      <w:szCs w:val="21"/>
                      <w:lang w:val="en-US" w:eastAsia="zh-CN"/>
                    </w:rPr>
                    <w:t>44034</w:t>
                  </w:r>
                  <w:r>
                    <w:rPr>
                      <w:rFonts w:hint="default"/>
                      <w:color w:val="auto"/>
                      <w:sz w:val="21"/>
                      <w:szCs w:val="21"/>
                      <w:lang w:eastAsia="zh-CN"/>
                    </w:rPr>
                    <w:t>m</w:t>
                  </w:r>
                  <w:r>
                    <w:rPr>
                      <w:rFonts w:hint="default"/>
                      <w:color w:val="auto"/>
                      <w:sz w:val="21"/>
                      <w:szCs w:val="21"/>
                      <w:vertAlign w:val="superscript"/>
                      <w:lang w:val="en-US" w:eastAsia="zh-CN"/>
                    </w:rPr>
                    <w:t>3</w:t>
                  </w:r>
                  <w:r>
                    <w:rPr>
                      <w:rFonts w:hint="default"/>
                      <w:color w:val="auto"/>
                      <w:sz w:val="21"/>
                      <w:szCs w:val="21"/>
                      <w:lang w:eastAsia="zh-CN"/>
                    </w:rPr>
                    <w:t>/a</w:t>
                  </w:r>
                  <w:r>
                    <w:rPr>
                      <w:rFonts w:hint="eastAsia"/>
                      <w:color w:val="auto"/>
                      <w:sz w:val="21"/>
                      <w:szCs w:val="21"/>
                      <w:lang w:eastAsia="zh-CN"/>
                    </w:rPr>
                    <w:t>。</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eastAsia="zh-CN"/>
                    </w:rPr>
                    <w:t>扩建项目年用水量为</w:t>
                  </w:r>
                  <w:r>
                    <w:rPr>
                      <w:rFonts w:hint="eastAsia"/>
                      <w:color w:val="auto"/>
                      <w:sz w:val="21"/>
                      <w:szCs w:val="21"/>
                      <w:lang w:val="en-US" w:eastAsia="zh-CN"/>
                    </w:rPr>
                    <w:t>3000</w:t>
                  </w:r>
                  <w:r>
                    <w:rPr>
                      <w:rFonts w:hint="default"/>
                      <w:color w:val="auto"/>
                      <w:sz w:val="21"/>
                      <w:szCs w:val="21"/>
                      <w:lang w:eastAsia="zh-CN"/>
                    </w:rPr>
                    <w:t>m</w:t>
                  </w:r>
                  <w:r>
                    <w:rPr>
                      <w:rFonts w:hint="default"/>
                      <w:color w:val="auto"/>
                      <w:sz w:val="21"/>
                      <w:szCs w:val="21"/>
                      <w:vertAlign w:val="superscript"/>
                      <w:lang w:val="en-US" w:eastAsia="zh-CN"/>
                    </w:rPr>
                    <w:t>3</w:t>
                  </w:r>
                  <w:r>
                    <w:rPr>
                      <w:rFonts w:hint="default"/>
                      <w:color w:val="auto"/>
                      <w:sz w:val="21"/>
                      <w:szCs w:val="21"/>
                      <w:lang w:eastAsia="zh-CN"/>
                    </w:rPr>
                    <w:t>/a</w:t>
                  </w:r>
                  <w:r>
                    <w:rPr>
                      <w:rFonts w:hint="eastAsia"/>
                      <w:color w:val="auto"/>
                      <w:sz w:val="21"/>
                      <w:szCs w:val="21"/>
                      <w:lang w:eastAsia="zh-CN"/>
                    </w:rPr>
                    <w:t>，供水系统依托现有工程。</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default"/>
                      <w:color w:val="auto"/>
                      <w:sz w:val="21"/>
                      <w:szCs w:val="21"/>
                      <w:lang w:eastAsia="zh-CN"/>
                    </w:rPr>
                    <w:t>项目生产、生活及绿化用水由园区供水管网供给，总用水量为</w:t>
                  </w:r>
                  <w:r>
                    <w:rPr>
                      <w:rFonts w:hint="eastAsia"/>
                      <w:color w:val="auto"/>
                      <w:sz w:val="21"/>
                      <w:szCs w:val="21"/>
                      <w:lang w:val="en-US" w:eastAsia="zh-CN"/>
                    </w:rPr>
                    <w:t>47034</w:t>
                  </w:r>
                  <w:r>
                    <w:rPr>
                      <w:rFonts w:hint="default"/>
                      <w:color w:val="auto"/>
                      <w:sz w:val="21"/>
                      <w:szCs w:val="21"/>
                      <w:lang w:eastAsia="zh-CN"/>
                    </w:rPr>
                    <w:t>m</w:t>
                  </w:r>
                  <w:r>
                    <w:rPr>
                      <w:rFonts w:hint="default"/>
                      <w:color w:val="auto"/>
                      <w:sz w:val="21"/>
                      <w:szCs w:val="21"/>
                      <w:vertAlign w:val="superscript"/>
                      <w:lang w:val="en-US" w:eastAsia="zh-CN"/>
                    </w:rPr>
                    <w:t>3</w:t>
                  </w:r>
                  <w:r>
                    <w:rPr>
                      <w:rFonts w:hint="default"/>
                      <w:color w:val="auto"/>
                      <w:sz w:val="21"/>
                      <w:szCs w:val="21"/>
                      <w:lang w:eastAsia="zh-CN"/>
                    </w:rPr>
                    <w:t>/a</w:t>
                  </w:r>
                  <w:r>
                    <w:rPr>
                      <w:rFonts w:hint="eastAsia"/>
                      <w:color w:val="auto"/>
                      <w:sz w:val="21"/>
                      <w:szCs w:val="21"/>
                      <w:lang w:eastAsia="zh-CN"/>
                    </w:rPr>
                    <w:t>。</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eastAsia"/>
                      <w:color w:val="auto"/>
                      <w:sz w:val="21"/>
                      <w:szCs w:val="21"/>
                      <w:lang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50"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供暖</w:t>
                  </w:r>
                </w:p>
              </w:tc>
              <w:tc>
                <w:tcPr>
                  <w:tcW w:w="2411" w:type="dxa"/>
                  <w:tcBorders>
                    <w:tl2br w:val="nil"/>
                    <w:tr2bl w:val="nil"/>
                  </w:tcBorders>
                  <w:noWrap w:val="0"/>
                  <w:vAlign w:val="center"/>
                </w:tcPr>
                <w:p>
                  <w:pPr>
                    <w:bidi w:val="0"/>
                    <w:spacing w:line="240" w:lineRule="auto"/>
                    <w:rPr>
                      <w:rFonts w:hint="default"/>
                      <w:color w:val="auto"/>
                      <w:sz w:val="21"/>
                      <w:szCs w:val="21"/>
                      <w:lang w:eastAsia="zh-CN"/>
                    </w:rPr>
                  </w:pPr>
                  <w:r>
                    <w:rPr>
                      <w:rFonts w:hint="default"/>
                      <w:color w:val="auto"/>
                      <w:sz w:val="21"/>
                      <w:szCs w:val="21"/>
                      <w:lang w:eastAsia="zh-CN"/>
                    </w:rPr>
                    <w:t>冬季办公区采用</w:t>
                  </w:r>
                  <w:r>
                    <w:rPr>
                      <w:rFonts w:hint="eastAsia"/>
                      <w:color w:val="auto"/>
                      <w:sz w:val="21"/>
                      <w:szCs w:val="21"/>
                      <w:lang w:eastAsia="zh-CN"/>
                    </w:rPr>
                    <w:t>电暖气进行供暖，生产车间不进行供暖。</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eastAsia"/>
                      <w:color w:val="auto"/>
                      <w:sz w:val="21"/>
                      <w:szCs w:val="21"/>
                      <w:lang w:eastAsia="zh-CN"/>
                    </w:rPr>
                    <w:t>依托</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default"/>
                      <w:color w:val="auto"/>
                      <w:sz w:val="21"/>
                      <w:szCs w:val="21"/>
                      <w:lang w:eastAsia="zh-CN"/>
                    </w:rPr>
                    <w:t>冬季办公区采用</w:t>
                  </w:r>
                  <w:r>
                    <w:rPr>
                      <w:rFonts w:hint="eastAsia"/>
                      <w:color w:val="auto"/>
                      <w:sz w:val="21"/>
                      <w:szCs w:val="21"/>
                      <w:lang w:eastAsia="zh-CN"/>
                    </w:rPr>
                    <w:t>电暖气进行供暖，生产车间不进行供暖。</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eastAsia"/>
                      <w:color w:val="auto"/>
                      <w:sz w:val="21"/>
                      <w:szCs w:val="21"/>
                      <w:lang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08"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供热</w:t>
                  </w:r>
                </w:p>
              </w:tc>
              <w:tc>
                <w:tcPr>
                  <w:tcW w:w="2411" w:type="dxa"/>
                  <w:tcBorders>
                    <w:tl2br w:val="nil"/>
                    <w:tr2bl w:val="nil"/>
                  </w:tcBorders>
                  <w:noWrap w:val="0"/>
                  <w:vAlign w:val="center"/>
                </w:tcPr>
                <w:p>
                  <w:pPr>
                    <w:bidi w:val="0"/>
                    <w:spacing w:line="240" w:lineRule="auto"/>
                    <w:rPr>
                      <w:rFonts w:hint="default"/>
                      <w:color w:val="auto"/>
                      <w:sz w:val="21"/>
                      <w:szCs w:val="21"/>
                      <w:lang w:eastAsia="zh-CN"/>
                    </w:rPr>
                  </w:pPr>
                  <w:r>
                    <w:rPr>
                      <w:rFonts w:hint="default"/>
                      <w:color w:val="auto"/>
                      <w:sz w:val="21"/>
                      <w:szCs w:val="21"/>
                      <w:lang w:eastAsia="zh-CN"/>
                    </w:rPr>
                    <w:t>生产区采用一台额定热功率4000kW生物质锅 炉供热。余热炉利用生物质锅炉烟气余热用来加热水，对余热进行回收用于员工洗澡。</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eastAsia"/>
                      <w:color w:val="auto"/>
                      <w:sz w:val="21"/>
                      <w:szCs w:val="21"/>
                      <w:lang w:eastAsia="zh-CN"/>
                    </w:rPr>
                    <w:t>——</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default"/>
                      <w:color w:val="auto"/>
                      <w:sz w:val="21"/>
                      <w:szCs w:val="21"/>
                      <w:lang w:eastAsia="zh-CN"/>
                    </w:rPr>
                    <w:t>生产区采用一台额定热功率4000kW生物质锅 炉供热。余热炉利用生物质锅炉烟气余热用来加热水，对余热进行回收用于员工洗澡。</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eastAsia"/>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19"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default"/>
                      <w:color w:val="auto"/>
                      <w:sz w:val="21"/>
                      <w:szCs w:val="21"/>
                    </w:rPr>
                    <w:t>消防</w:t>
                  </w:r>
                </w:p>
              </w:tc>
              <w:tc>
                <w:tcPr>
                  <w:tcW w:w="2411" w:type="dxa"/>
                  <w:tcBorders>
                    <w:tl2br w:val="nil"/>
                    <w:tr2bl w:val="nil"/>
                  </w:tcBorders>
                  <w:noWrap w:val="0"/>
                  <w:vAlign w:val="center"/>
                </w:tcPr>
                <w:p>
                  <w:pPr>
                    <w:bidi w:val="0"/>
                    <w:spacing w:line="240" w:lineRule="auto"/>
                    <w:rPr>
                      <w:rFonts w:hint="default"/>
                      <w:color w:val="auto"/>
                      <w:sz w:val="21"/>
                      <w:szCs w:val="21"/>
                      <w:lang w:eastAsia="zh-CN"/>
                    </w:rPr>
                  </w:pPr>
                  <w:r>
                    <w:rPr>
                      <w:rFonts w:hint="default"/>
                      <w:color w:val="auto"/>
                      <w:sz w:val="21"/>
                      <w:szCs w:val="21"/>
                      <w:lang w:eastAsia="zh-CN"/>
                    </w:rPr>
                    <w:t>按消防相关规范配置消防灭火器材。同时配备 2m³消防沙及若干灭火毯。室外灭火器搁置在灭火箱内</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eastAsia"/>
                      <w:color w:val="auto"/>
                      <w:sz w:val="21"/>
                      <w:szCs w:val="21"/>
                      <w:lang w:eastAsia="zh-CN"/>
                    </w:rPr>
                    <w:t>依托</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default"/>
                      <w:color w:val="auto"/>
                      <w:sz w:val="21"/>
                      <w:szCs w:val="21"/>
                      <w:lang w:eastAsia="zh-CN"/>
                    </w:rPr>
                    <w:t>按消防相关规范配置消防灭火器材。同时配备 2m³消防沙及若干灭火毯。室外灭火器搁置在灭火箱内</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eastAsia"/>
                      <w:color w:val="auto"/>
                      <w:sz w:val="21"/>
                      <w:szCs w:val="21"/>
                      <w:lang w:eastAsia="zh-CN"/>
                    </w:rPr>
                    <w:t>依托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37" w:hRule="atLeast"/>
                <w:jc w:val="center"/>
              </w:trPr>
              <w:tc>
                <w:tcPr>
                  <w:tcW w:w="36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环保工程</w:t>
                  </w:r>
                </w:p>
              </w:tc>
              <w:tc>
                <w:tcPr>
                  <w:tcW w:w="2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废气</w:t>
                  </w:r>
                </w:p>
              </w:tc>
              <w:tc>
                <w:tcPr>
                  <w:tcW w:w="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再生胶生产车间</w:t>
                  </w:r>
                </w:p>
              </w:tc>
              <w:tc>
                <w:tcPr>
                  <w:tcW w:w="2411" w:type="dxa"/>
                  <w:tcBorders>
                    <w:tl2br w:val="nil"/>
                    <w:tr2bl w:val="nil"/>
                  </w:tcBorders>
                  <w:noWrap w:val="0"/>
                  <w:vAlign w:val="center"/>
                </w:tcPr>
                <w:p>
                  <w:pPr>
                    <w:bidi w:val="0"/>
                    <w:spacing w:line="240" w:lineRule="auto"/>
                    <w:rPr>
                      <w:rFonts w:hint="default"/>
                      <w:color w:val="auto"/>
                      <w:sz w:val="21"/>
                      <w:szCs w:val="21"/>
                      <w:lang w:val="en-US" w:eastAsia="zh-CN"/>
                    </w:rPr>
                  </w:pPr>
                  <w:r>
                    <w:rPr>
                      <w:rFonts w:hint="eastAsia"/>
                      <w:color w:val="auto"/>
                      <w:sz w:val="21"/>
                      <w:szCs w:val="21"/>
                      <w:lang w:eastAsia="zh-CN"/>
                    </w:rPr>
                    <w:t>现有工程再生胶车间脱硫工序产生的脱硫废气分为有压力废气和无压力废气。有压力废气经集气罩收集后，通过</w:t>
                  </w:r>
                  <w:r>
                    <w:rPr>
                      <w:rFonts w:hint="default"/>
                      <w:color w:val="auto"/>
                      <w:sz w:val="21"/>
                      <w:szCs w:val="21"/>
                      <w:lang w:eastAsia="zh-CN"/>
                    </w:rPr>
                    <w:t>1套“水气分离+燃烧器燃烧+二级碱喷淋+活性炭装置”用于处理有压力脱硫废气，无压力废气采取集气罩收集+1 套二级碱喷淋+活性炭装置</w:t>
                  </w:r>
                  <w:r>
                    <w:rPr>
                      <w:rFonts w:hint="eastAsia"/>
                      <w:color w:val="auto"/>
                      <w:sz w:val="21"/>
                      <w:szCs w:val="21"/>
                      <w:lang w:eastAsia="zh-CN"/>
                    </w:rPr>
                    <w:t>处置</w:t>
                  </w:r>
                  <w:r>
                    <w:rPr>
                      <w:rFonts w:hint="eastAsia"/>
                      <w:color w:val="auto"/>
                      <w:sz w:val="21"/>
                      <w:szCs w:val="21"/>
                      <w:lang w:val="en-US" w:eastAsia="zh-CN"/>
                    </w:rPr>
                    <w:t>；压胶工序产生的废气经集气罩收集后，通过“二级碱喷淋+活性炭吸附装置”处理。</w:t>
                  </w:r>
                </w:p>
                <w:p>
                  <w:pPr>
                    <w:bidi w:val="0"/>
                    <w:spacing w:line="240" w:lineRule="auto"/>
                    <w:rPr>
                      <w:rFonts w:hint="eastAsia"/>
                      <w:color w:val="auto"/>
                      <w:sz w:val="21"/>
                      <w:szCs w:val="21"/>
                      <w:lang w:eastAsia="zh-CN"/>
                    </w:rPr>
                  </w:pPr>
                  <w:r>
                    <w:rPr>
                      <w:rFonts w:hint="eastAsia"/>
                      <w:color w:val="auto"/>
                      <w:sz w:val="21"/>
                      <w:szCs w:val="21"/>
                      <w:lang w:val="en-US" w:eastAsia="zh-CN"/>
                    </w:rPr>
                    <w:t>投料废气经集气罩收集后，通过</w:t>
                  </w:r>
                  <w:r>
                    <w:rPr>
                      <w:rFonts w:hint="default"/>
                      <w:color w:val="auto"/>
                      <w:sz w:val="21"/>
                      <w:szCs w:val="21"/>
                      <w:lang w:eastAsia="zh-CN"/>
                    </w:rPr>
                    <w:t>1 套“布袋除尘器”</w:t>
                  </w:r>
                  <w:r>
                    <w:rPr>
                      <w:rFonts w:hint="eastAsia"/>
                      <w:color w:val="auto"/>
                      <w:sz w:val="21"/>
                      <w:szCs w:val="21"/>
                      <w:lang w:eastAsia="zh-CN"/>
                    </w:rPr>
                    <w:t>处理。</w:t>
                  </w:r>
                </w:p>
                <w:p>
                  <w:pPr>
                    <w:bidi w:val="0"/>
                    <w:spacing w:line="240" w:lineRule="auto"/>
                    <w:ind w:firstLine="420" w:firstLineChars="200"/>
                    <w:rPr>
                      <w:rFonts w:hint="default"/>
                      <w:color w:val="auto"/>
                      <w:sz w:val="21"/>
                      <w:szCs w:val="21"/>
                      <w:lang w:eastAsia="zh-CN"/>
                    </w:rPr>
                  </w:pPr>
                  <w:r>
                    <w:rPr>
                      <w:rFonts w:hint="eastAsia"/>
                      <w:color w:val="auto"/>
                      <w:sz w:val="21"/>
                      <w:szCs w:val="21"/>
                      <w:lang w:eastAsia="zh-CN"/>
                    </w:rPr>
                    <w:t>上述</w:t>
                  </w:r>
                  <w:r>
                    <w:rPr>
                      <w:rFonts w:hint="default"/>
                      <w:color w:val="auto"/>
                      <w:sz w:val="21"/>
                      <w:szCs w:val="21"/>
                      <w:lang w:eastAsia="zh-CN"/>
                    </w:rPr>
                    <w:t>废气均</w:t>
                  </w:r>
                  <w:r>
                    <w:rPr>
                      <w:rFonts w:hint="eastAsia"/>
                      <w:color w:val="auto"/>
                      <w:sz w:val="21"/>
                      <w:szCs w:val="21"/>
                      <w:lang w:val="en-US" w:eastAsia="zh-CN"/>
                    </w:rPr>
                    <w:t>通过1根15m高的排气筒（1#）进行排放。</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扩建项目产生的破碎筛分废气经集气罩收集后，通过水喷淋塔处理后，由1根15m高的排气筒（4#）进行排放。</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val="en-US" w:eastAsia="zh-CN"/>
                    </w:rPr>
                  </w:pPr>
                  <w:r>
                    <w:rPr>
                      <w:rFonts w:hint="default"/>
                      <w:color w:val="auto"/>
                      <w:sz w:val="21"/>
                      <w:szCs w:val="21"/>
                      <w:lang w:eastAsia="zh-CN"/>
                    </w:rPr>
                    <w:t>一期建设 1 套“水气分离+燃烧器燃烧+二级碱 喷淋+活性炭装置”用于处理有压力脱硫废气， 无压力废气采取集气罩收集+1 套二级碱喷淋+活性炭装置；颗粒物采用集气罩+1 套“布袋除 尘器”，压胶废气采用集气罩+1 套二级碱喷淋+ 活性炭装置，上述废气均通过 1 根 15m 排气筒 (1#) 排放。</w:t>
                  </w:r>
                  <w:r>
                    <w:rPr>
                      <w:rFonts w:hint="eastAsia"/>
                      <w:color w:val="auto"/>
                      <w:sz w:val="21"/>
                      <w:szCs w:val="21"/>
                      <w:lang w:val="en-US" w:eastAsia="zh-CN"/>
                    </w:rPr>
                    <w:t>改扩建后的破碎筛分废气经集气罩收集后，由水喷淋塔处理后，通过1根15m高的排气筒进行排放。</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eastAsia"/>
                      <w:color w:val="auto"/>
                      <w:sz w:val="21"/>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50"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2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胶板</w:t>
                  </w:r>
                  <w:r>
                    <w:rPr>
                      <w:rFonts w:hint="eastAsia"/>
                      <w:color w:val="auto"/>
                      <w:sz w:val="21"/>
                      <w:szCs w:val="21"/>
                      <w:lang w:eastAsia="zh-CN"/>
                    </w:rPr>
                    <w:t>生产</w:t>
                  </w:r>
                  <w:r>
                    <w:rPr>
                      <w:rFonts w:hint="default"/>
                      <w:color w:val="auto"/>
                      <w:sz w:val="21"/>
                      <w:szCs w:val="21"/>
                    </w:rPr>
                    <w:t>车间</w:t>
                  </w:r>
                </w:p>
              </w:tc>
              <w:tc>
                <w:tcPr>
                  <w:tcW w:w="2411" w:type="dxa"/>
                  <w:tcBorders>
                    <w:tl2br w:val="nil"/>
                    <w:tr2bl w:val="nil"/>
                  </w:tcBorders>
                  <w:noWrap w:val="0"/>
                  <w:vAlign w:val="center"/>
                </w:tcPr>
                <w:p>
                  <w:pPr>
                    <w:bidi w:val="0"/>
                    <w:spacing w:line="240" w:lineRule="auto"/>
                    <w:rPr>
                      <w:rFonts w:hint="default"/>
                      <w:color w:val="auto"/>
                      <w:sz w:val="21"/>
                      <w:szCs w:val="21"/>
                      <w:lang w:val="en-US" w:eastAsia="zh-CN"/>
                    </w:rPr>
                  </w:pPr>
                  <w:r>
                    <w:rPr>
                      <w:rFonts w:hint="eastAsia"/>
                      <w:color w:val="auto"/>
                      <w:sz w:val="21"/>
                      <w:szCs w:val="21"/>
                      <w:lang w:eastAsia="zh-CN"/>
                    </w:rPr>
                    <w:t>胶板生产线密炼机开炼工序的投料过程产生的颗粒物经集气罩收集后，通过</w:t>
                  </w:r>
                  <w:r>
                    <w:rPr>
                      <w:rFonts w:hint="eastAsia"/>
                      <w:color w:val="auto"/>
                      <w:sz w:val="21"/>
                      <w:szCs w:val="21"/>
                      <w:lang w:val="en-US" w:eastAsia="zh-CN"/>
                    </w:rPr>
                    <w:t>1套“布袋除尘器”处理</w:t>
                  </w:r>
                  <w:r>
                    <w:rPr>
                      <w:rFonts w:hint="default"/>
                      <w:color w:val="auto"/>
                      <w:sz w:val="21"/>
                      <w:szCs w:val="21"/>
                      <w:lang w:eastAsia="zh-CN"/>
                    </w:rPr>
                    <w:t>。</w:t>
                  </w:r>
                  <w:r>
                    <w:rPr>
                      <w:rFonts w:hint="eastAsia"/>
                      <w:color w:val="auto"/>
                      <w:sz w:val="21"/>
                      <w:szCs w:val="21"/>
                      <w:lang w:eastAsia="zh-CN"/>
                    </w:rPr>
                    <w:t>处理后经</w:t>
                  </w:r>
                  <w:r>
                    <w:rPr>
                      <w:rFonts w:hint="eastAsia"/>
                      <w:color w:val="auto"/>
                      <w:sz w:val="21"/>
                      <w:szCs w:val="21"/>
                      <w:lang w:val="en-US" w:eastAsia="zh-CN"/>
                    </w:rPr>
                    <w:t>1根15m高的排气筒（2#）进行排放。</w:t>
                  </w:r>
                </w:p>
                <w:p>
                  <w:pPr>
                    <w:bidi w:val="0"/>
                    <w:spacing w:line="240" w:lineRule="auto"/>
                    <w:ind w:firstLine="420" w:firstLineChars="200"/>
                    <w:rPr>
                      <w:rFonts w:hint="default"/>
                      <w:color w:val="auto"/>
                      <w:sz w:val="21"/>
                      <w:szCs w:val="21"/>
                      <w:lang w:eastAsia="zh-CN"/>
                    </w:rPr>
                  </w:pPr>
                  <w:r>
                    <w:rPr>
                      <w:rFonts w:hint="eastAsia"/>
                      <w:color w:val="auto"/>
                      <w:sz w:val="21"/>
                      <w:szCs w:val="21"/>
                      <w:lang w:eastAsia="zh-CN"/>
                    </w:rPr>
                    <w:t>密炼及开炼工序产生的废气经集气罩收集后，通过</w:t>
                  </w:r>
                  <w:r>
                    <w:rPr>
                      <w:rFonts w:hint="eastAsia"/>
                      <w:color w:val="auto"/>
                      <w:sz w:val="21"/>
                      <w:szCs w:val="21"/>
                      <w:lang w:val="en-US" w:eastAsia="zh-CN"/>
                    </w:rPr>
                    <w:t>1套</w:t>
                  </w:r>
                  <w:r>
                    <w:rPr>
                      <w:rFonts w:hint="eastAsia"/>
                      <w:color w:val="auto"/>
                      <w:sz w:val="21"/>
                      <w:szCs w:val="21"/>
                      <w:lang w:eastAsia="zh-CN"/>
                    </w:rPr>
                    <w:t>“二级碱喷淋</w:t>
                  </w:r>
                  <w:r>
                    <w:rPr>
                      <w:rFonts w:hint="eastAsia"/>
                      <w:color w:val="auto"/>
                      <w:sz w:val="21"/>
                      <w:szCs w:val="21"/>
                      <w:lang w:val="en-US" w:eastAsia="zh-CN"/>
                    </w:rPr>
                    <w:t>+活性炭吸附装置</w:t>
                  </w:r>
                  <w:r>
                    <w:rPr>
                      <w:rFonts w:hint="eastAsia"/>
                      <w:color w:val="auto"/>
                      <w:sz w:val="21"/>
                      <w:szCs w:val="21"/>
                      <w:lang w:eastAsia="zh-CN"/>
                    </w:rPr>
                    <w:t>”处理；压延工序产生的废气经集气罩收集后，通过</w:t>
                  </w:r>
                  <w:r>
                    <w:rPr>
                      <w:rFonts w:hint="eastAsia"/>
                      <w:color w:val="auto"/>
                      <w:sz w:val="21"/>
                      <w:szCs w:val="21"/>
                      <w:lang w:val="en-US" w:eastAsia="zh-CN"/>
                    </w:rPr>
                    <w:t>1套</w:t>
                  </w:r>
                  <w:r>
                    <w:rPr>
                      <w:rFonts w:hint="eastAsia"/>
                      <w:color w:val="auto"/>
                      <w:sz w:val="21"/>
                      <w:szCs w:val="21"/>
                      <w:lang w:eastAsia="zh-CN"/>
                    </w:rPr>
                    <w:t>“二级碱喷淋</w:t>
                  </w:r>
                  <w:r>
                    <w:rPr>
                      <w:rFonts w:hint="eastAsia"/>
                      <w:color w:val="auto"/>
                      <w:sz w:val="21"/>
                      <w:szCs w:val="21"/>
                      <w:lang w:val="en-US" w:eastAsia="zh-CN"/>
                    </w:rPr>
                    <w:t>+活性炭吸附装置</w:t>
                  </w:r>
                  <w:r>
                    <w:rPr>
                      <w:rFonts w:hint="eastAsia"/>
                      <w:color w:val="auto"/>
                      <w:sz w:val="21"/>
                      <w:szCs w:val="21"/>
                      <w:lang w:eastAsia="zh-CN"/>
                    </w:rPr>
                    <w:t>”处理；挤出工序产生的废气经集气罩收集后，通过</w:t>
                  </w:r>
                  <w:r>
                    <w:rPr>
                      <w:rFonts w:hint="eastAsia"/>
                      <w:color w:val="auto"/>
                      <w:sz w:val="21"/>
                      <w:szCs w:val="21"/>
                      <w:lang w:val="en-US" w:eastAsia="zh-CN"/>
                    </w:rPr>
                    <w:t>1套</w:t>
                  </w:r>
                  <w:r>
                    <w:rPr>
                      <w:rFonts w:hint="eastAsia"/>
                      <w:color w:val="auto"/>
                      <w:sz w:val="21"/>
                      <w:szCs w:val="21"/>
                      <w:lang w:eastAsia="zh-CN"/>
                    </w:rPr>
                    <w:t>“二级碱喷淋</w:t>
                  </w:r>
                  <w:r>
                    <w:rPr>
                      <w:rFonts w:hint="eastAsia"/>
                      <w:color w:val="auto"/>
                      <w:sz w:val="21"/>
                      <w:szCs w:val="21"/>
                      <w:lang w:val="en-US" w:eastAsia="zh-CN"/>
                    </w:rPr>
                    <w:t>+活性炭吸附装置</w:t>
                  </w:r>
                  <w:r>
                    <w:rPr>
                      <w:rFonts w:hint="eastAsia"/>
                      <w:color w:val="auto"/>
                      <w:sz w:val="21"/>
                      <w:szCs w:val="21"/>
                      <w:lang w:eastAsia="zh-CN"/>
                    </w:rPr>
                    <w:t>”处理；硫化工序产生的废气经集气罩收集后，通过</w:t>
                  </w:r>
                  <w:r>
                    <w:rPr>
                      <w:rFonts w:hint="eastAsia"/>
                      <w:color w:val="auto"/>
                      <w:sz w:val="21"/>
                      <w:szCs w:val="21"/>
                      <w:lang w:val="en-US" w:eastAsia="zh-CN"/>
                    </w:rPr>
                    <w:t>1套</w:t>
                  </w:r>
                  <w:r>
                    <w:rPr>
                      <w:rFonts w:hint="eastAsia"/>
                      <w:color w:val="auto"/>
                      <w:sz w:val="21"/>
                      <w:szCs w:val="21"/>
                      <w:lang w:eastAsia="zh-CN"/>
                    </w:rPr>
                    <w:t>“二级碱喷淋</w:t>
                  </w:r>
                  <w:r>
                    <w:rPr>
                      <w:rFonts w:hint="eastAsia"/>
                      <w:color w:val="auto"/>
                      <w:sz w:val="21"/>
                      <w:szCs w:val="21"/>
                      <w:lang w:val="en-US" w:eastAsia="zh-CN"/>
                    </w:rPr>
                    <w:t>+活性炭吸附装置</w:t>
                  </w:r>
                  <w:r>
                    <w:rPr>
                      <w:rFonts w:hint="eastAsia"/>
                      <w:color w:val="auto"/>
                      <w:sz w:val="21"/>
                      <w:szCs w:val="21"/>
                      <w:lang w:eastAsia="zh-CN"/>
                    </w:rPr>
                    <w:t>”处理。上述废气通过治理后，均由</w:t>
                  </w:r>
                  <w:r>
                    <w:rPr>
                      <w:rFonts w:hint="eastAsia"/>
                      <w:color w:val="auto"/>
                      <w:sz w:val="21"/>
                      <w:szCs w:val="21"/>
                      <w:lang w:val="en-US" w:eastAsia="zh-CN"/>
                    </w:rPr>
                    <w:t>1根15m高的排气筒（3#）进行排放。</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eastAsia"/>
                      <w:color w:val="auto"/>
                      <w:sz w:val="21"/>
                      <w:szCs w:val="21"/>
                      <w:lang w:eastAsia="zh-CN"/>
                    </w:rPr>
                    <w:t>——</w:t>
                  </w:r>
                </w:p>
              </w:tc>
              <w:tc>
                <w:tcPr>
                  <w:tcW w:w="2535" w:type="dxa"/>
                  <w:tcBorders>
                    <w:tl2br w:val="nil"/>
                    <w:tr2bl w:val="nil"/>
                  </w:tcBorders>
                  <w:noWrap w:val="0"/>
                  <w:vAlign w:val="center"/>
                </w:tcPr>
                <w:p>
                  <w:pPr>
                    <w:bidi w:val="0"/>
                    <w:spacing w:line="240" w:lineRule="auto"/>
                    <w:rPr>
                      <w:rFonts w:hint="default"/>
                      <w:color w:val="auto"/>
                      <w:sz w:val="21"/>
                      <w:szCs w:val="21"/>
                      <w:lang w:val="en-US" w:eastAsia="zh-CN"/>
                    </w:rPr>
                  </w:pPr>
                  <w:r>
                    <w:rPr>
                      <w:rFonts w:hint="eastAsia"/>
                      <w:color w:val="auto"/>
                      <w:sz w:val="21"/>
                      <w:szCs w:val="21"/>
                      <w:lang w:eastAsia="zh-CN"/>
                    </w:rPr>
                    <w:t>胶板生产线密炼机开炼工序的投料过程产生的颗粒物经集气罩收集后，通过</w:t>
                  </w:r>
                  <w:r>
                    <w:rPr>
                      <w:rFonts w:hint="eastAsia"/>
                      <w:color w:val="auto"/>
                      <w:sz w:val="21"/>
                      <w:szCs w:val="21"/>
                      <w:lang w:val="en-US" w:eastAsia="zh-CN"/>
                    </w:rPr>
                    <w:t>1套“布袋除尘器”处理</w:t>
                  </w:r>
                  <w:r>
                    <w:rPr>
                      <w:rFonts w:hint="default"/>
                      <w:color w:val="auto"/>
                      <w:sz w:val="21"/>
                      <w:szCs w:val="21"/>
                      <w:lang w:eastAsia="zh-CN"/>
                    </w:rPr>
                    <w:t>。</w:t>
                  </w:r>
                  <w:r>
                    <w:rPr>
                      <w:rFonts w:hint="eastAsia"/>
                      <w:color w:val="auto"/>
                      <w:sz w:val="21"/>
                      <w:szCs w:val="21"/>
                      <w:lang w:eastAsia="zh-CN"/>
                    </w:rPr>
                    <w:t>处理后经</w:t>
                  </w:r>
                  <w:r>
                    <w:rPr>
                      <w:rFonts w:hint="eastAsia"/>
                      <w:color w:val="auto"/>
                      <w:sz w:val="21"/>
                      <w:szCs w:val="21"/>
                      <w:lang w:val="en-US" w:eastAsia="zh-CN"/>
                    </w:rPr>
                    <w:t>1根15m高的排气筒（2#）进行排放。</w:t>
                  </w:r>
                </w:p>
                <w:p>
                  <w:pPr>
                    <w:bidi w:val="0"/>
                    <w:spacing w:line="240" w:lineRule="auto"/>
                    <w:rPr>
                      <w:rFonts w:hint="default" w:ascii="Times New Roman" w:hAnsi="Times New Roman" w:eastAsia="宋体"/>
                      <w:color w:val="auto"/>
                      <w:sz w:val="21"/>
                      <w:szCs w:val="21"/>
                      <w:lang w:eastAsia="zh-CN"/>
                    </w:rPr>
                  </w:pPr>
                  <w:r>
                    <w:rPr>
                      <w:rFonts w:hint="eastAsia"/>
                      <w:color w:val="auto"/>
                      <w:sz w:val="21"/>
                      <w:szCs w:val="21"/>
                      <w:lang w:eastAsia="zh-CN"/>
                    </w:rPr>
                    <w:t>密炼及开炼工序产生的废气经集气罩收集后，通过</w:t>
                  </w:r>
                  <w:r>
                    <w:rPr>
                      <w:rFonts w:hint="eastAsia"/>
                      <w:color w:val="auto"/>
                      <w:sz w:val="21"/>
                      <w:szCs w:val="21"/>
                      <w:lang w:val="en-US" w:eastAsia="zh-CN"/>
                    </w:rPr>
                    <w:t>1套</w:t>
                  </w:r>
                  <w:r>
                    <w:rPr>
                      <w:rFonts w:hint="eastAsia"/>
                      <w:color w:val="auto"/>
                      <w:sz w:val="21"/>
                      <w:szCs w:val="21"/>
                      <w:lang w:eastAsia="zh-CN"/>
                    </w:rPr>
                    <w:t>“二级碱喷淋</w:t>
                  </w:r>
                  <w:r>
                    <w:rPr>
                      <w:rFonts w:hint="eastAsia"/>
                      <w:color w:val="auto"/>
                      <w:sz w:val="21"/>
                      <w:szCs w:val="21"/>
                      <w:lang w:val="en-US" w:eastAsia="zh-CN"/>
                    </w:rPr>
                    <w:t>+活性炭吸附装置</w:t>
                  </w:r>
                  <w:r>
                    <w:rPr>
                      <w:rFonts w:hint="eastAsia"/>
                      <w:color w:val="auto"/>
                      <w:sz w:val="21"/>
                      <w:szCs w:val="21"/>
                      <w:lang w:eastAsia="zh-CN"/>
                    </w:rPr>
                    <w:t>”处理；压延工序产生的废气经集气罩收集后，通过</w:t>
                  </w:r>
                  <w:r>
                    <w:rPr>
                      <w:rFonts w:hint="eastAsia"/>
                      <w:color w:val="auto"/>
                      <w:sz w:val="21"/>
                      <w:szCs w:val="21"/>
                      <w:lang w:val="en-US" w:eastAsia="zh-CN"/>
                    </w:rPr>
                    <w:t>1套</w:t>
                  </w:r>
                  <w:r>
                    <w:rPr>
                      <w:rFonts w:hint="eastAsia"/>
                      <w:color w:val="auto"/>
                      <w:sz w:val="21"/>
                      <w:szCs w:val="21"/>
                      <w:lang w:eastAsia="zh-CN"/>
                    </w:rPr>
                    <w:t>“二级碱喷淋</w:t>
                  </w:r>
                  <w:r>
                    <w:rPr>
                      <w:rFonts w:hint="eastAsia"/>
                      <w:color w:val="auto"/>
                      <w:sz w:val="21"/>
                      <w:szCs w:val="21"/>
                      <w:lang w:val="en-US" w:eastAsia="zh-CN"/>
                    </w:rPr>
                    <w:t>+活性炭吸附装置</w:t>
                  </w:r>
                  <w:r>
                    <w:rPr>
                      <w:rFonts w:hint="eastAsia"/>
                      <w:color w:val="auto"/>
                      <w:sz w:val="21"/>
                      <w:szCs w:val="21"/>
                      <w:lang w:eastAsia="zh-CN"/>
                    </w:rPr>
                    <w:t>”处理；挤出工序产生的废气经集气罩收集后，通过</w:t>
                  </w:r>
                  <w:r>
                    <w:rPr>
                      <w:rFonts w:hint="eastAsia"/>
                      <w:color w:val="auto"/>
                      <w:sz w:val="21"/>
                      <w:szCs w:val="21"/>
                      <w:lang w:val="en-US" w:eastAsia="zh-CN"/>
                    </w:rPr>
                    <w:t>1套</w:t>
                  </w:r>
                  <w:r>
                    <w:rPr>
                      <w:rFonts w:hint="eastAsia"/>
                      <w:color w:val="auto"/>
                      <w:sz w:val="21"/>
                      <w:szCs w:val="21"/>
                      <w:lang w:eastAsia="zh-CN"/>
                    </w:rPr>
                    <w:t>“二级碱喷淋</w:t>
                  </w:r>
                  <w:r>
                    <w:rPr>
                      <w:rFonts w:hint="eastAsia"/>
                      <w:color w:val="auto"/>
                      <w:sz w:val="21"/>
                      <w:szCs w:val="21"/>
                      <w:lang w:val="en-US" w:eastAsia="zh-CN"/>
                    </w:rPr>
                    <w:t>+活性炭吸附装置</w:t>
                  </w:r>
                  <w:r>
                    <w:rPr>
                      <w:rFonts w:hint="eastAsia"/>
                      <w:color w:val="auto"/>
                      <w:sz w:val="21"/>
                      <w:szCs w:val="21"/>
                      <w:lang w:eastAsia="zh-CN"/>
                    </w:rPr>
                    <w:t>”处理；硫化工序产生的废气经集气罩收集后，通过</w:t>
                  </w:r>
                  <w:r>
                    <w:rPr>
                      <w:rFonts w:hint="eastAsia"/>
                      <w:color w:val="auto"/>
                      <w:sz w:val="21"/>
                      <w:szCs w:val="21"/>
                      <w:lang w:val="en-US" w:eastAsia="zh-CN"/>
                    </w:rPr>
                    <w:t>1套</w:t>
                  </w:r>
                  <w:r>
                    <w:rPr>
                      <w:rFonts w:hint="eastAsia"/>
                      <w:color w:val="auto"/>
                      <w:sz w:val="21"/>
                      <w:szCs w:val="21"/>
                      <w:lang w:eastAsia="zh-CN"/>
                    </w:rPr>
                    <w:t>“二级碱喷淋</w:t>
                  </w:r>
                  <w:r>
                    <w:rPr>
                      <w:rFonts w:hint="eastAsia"/>
                      <w:color w:val="auto"/>
                      <w:sz w:val="21"/>
                      <w:szCs w:val="21"/>
                      <w:lang w:val="en-US" w:eastAsia="zh-CN"/>
                    </w:rPr>
                    <w:t>+活性炭吸附装置</w:t>
                  </w:r>
                  <w:r>
                    <w:rPr>
                      <w:rFonts w:hint="eastAsia"/>
                      <w:color w:val="auto"/>
                      <w:sz w:val="21"/>
                      <w:szCs w:val="21"/>
                      <w:lang w:eastAsia="zh-CN"/>
                    </w:rPr>
                    <w:t>”处理。上述废气通过治理后，均由</w:t>
                  </w:r>
                  <w:r>
                    <w:rPr>
                      <w:rFonts w:hint="eastAsia"/>
                      <w:color w:val="auto"/>
                      <w:sz w:val="21"/>
                      <w:szCs w:val="21"/>
                      <w:lang w:val="en-US" w:eastAsia="zh-CN"/>
                    </w:rPr>
                    <w:t>1根15m高的排气筒（3#）进行排放。</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66"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2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生物质锅炉</w:t>
                  </w:r>
                </w:p>
              </w:tc>
              <w:tc>
                <w:tcPr>
                  <w:tcW w:w="2411" w:type="dxa"/>
                  <w:tcBorders>
                    <w:tl2br w:val="nil"/>
                    <w:tr2bl w:val="nil"/>
                  </w:tcBorders>
                  <w:noWrap w:val="0"/>
                  <w:vAlign w:val="center"/>
                </w:tcPr>
                <w:p>
                  <w:pPr>
                    <w:bidi w:val="0"/>
                    <w:spacing w:line="240" w:lineRule="auto"/>
                    <w:rPr>
                      <w:rFonts w:hint="default"/>
                      <w:color w:val="auto"/>
                      <w:sz w:val="21"/>
                      <w:szCs w:val="21"/>
                      <w:lang w:eastAsia="zh-CN"/>
                    </w:rPr>
                  </w:pPr>
                  <w:r>
                    <w:rPr>
                      <w:rFonts w:hint="default"/>
                      <w:color w:val="auto"/>
                      <w:sz w:val="21"/>
                      <w:szCs w:val="21"/>
                      <w:lang w:eastAsia="zh-CN"/>
                    </w:rPr>
                    <w:t>生物质锅炉产生的燃烧废气采取陶瓷多管除尘 +水膜脱硫除尘器除尘，处理后废气经 35m 高 排气筒</w:t>
                  </w:r>
                  <w:r>
                    <w:rPr>
                      <w:rFonts w:hint="eastAsia"/>
                      <w:color w:val="auto"/>
                      <w:sz w:val="21"/>
                      <w:szCs w:val="21"/>
                      <w:lang w:eastAsia="zh-CN"/>
                    </w:rPr>
                    <w:t>（</w:t>
                  </w:r>
                  <w:r>
                    <w:rPr>
                      <w:rFonts w:hint="eastAsia"/>
                      <w:color w:val="auto"/>
                      <w:sz w:val="21"/>
                      <w:szCs w:val="21"/>
                      <w:lang w:val="en-US" w:eastAsia="zh-CN"/>
                    </w:rPr>
                    <w:t>4#</w:t>
                  </w:r>
                  <w:r>
                    <w:rPr>
                      <w:rFonts w:hint="eastAsia"/>
                      <w:color w:val="auto"/>
                      <w:sz w:val="21"/>
                      <w:szCs w:val="21"/>
                      <w:lang w:eastAsia="zh-CN"/>
                    </w:rPr>
                    <w:t>）</w:t>
                  </w:r>
                  <w:r>
                    <w:rPr>
                      <w:rFonts w:hint="default"/>
                      <w:color w:val="auto"/>
                      <w:sz w:val="21"/>
                      <w:szCs w:val="21"/>
                      <w:lang w:eastAsia="zh-CN"/>
                    </w:rPr>
                    <w:t>排放。</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eastAsia="zh-CN"/>
                    </w:rPr>
                    <w:t>——</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default"/>
                      <w:color w:val="auto"/>
                      <w:sz w:val="21"/>
                      <w:szCs w:val="21"/>
                      <w:lang w:eastAsia="zh-CN"/>
                    </w:rPr>
                    <w:t>生物质锅炉产生的燃烧废气采取陶瓷多管除尘 +水膜脱硫除尘器除尘，处理后废气经35m高排气筒</w:t>
                  </w:r>
                  <w:r>
                    <w:rPr>
                      <w:rFonts w:hint="eastAsia"/>
                      <w:color w:val="auto"/>
                      <w:sz w:val="21"/>
                      <w:szCs w:val="21"/>
                      <w:lang w:eastAsia="zh-CN"/>
                    </w:rPr>
                    <w:t>（</w:t>
                  </w:r>
                  <w:r>
                    <w:rPr>
                      <w:rFonts w:hint="eastAsia"/>
                      <w:color w:val="auto"/>
                      <w:sz w:val="21"/>
                      <w:szCs w:val="21"/>
                      <w:lang w:val="en-US" w:eastAsia="zh-CN"/>
                    </w:rPr>
                    <w:t>4#</w:t>
                  </w:r>
                  <w:r>
                    <w:rPr>
                      <w:rFonts w:hint="eastAsia"/>
                      <w:color w:val="auto"/>
                      <w:sz w:val="21"/>
                      <w:szCs w:val="21"/>
                      <w:lang w:eastAsia="zh-CN"/>
                    </w:rPr>
                    <w:t>）</w:t>
                  </w:r>
                  <w:r>
                    <w:rPr>
                      <w:rFonts w:hint="default"/>
                      <w:color w:val="auto"/>
                      <w:sz w:val="21"/>
                      <w:szCs w:val="21"/>
                      <w:lang w:eastAsia="zh-CN"/>
                    </w:rPr>
                    <w:t>排放。</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eastAsia"/>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47"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固废</w:t>
                  </w:r>
                </w:p>
              </w:tc>
              <w:tc>
                <w:tcPr>
                  <w:tcW w:w="2411" w:type="dxa"/>
                  <w:tcBorders>
                    <w:tl2br w:val="nil"/>
                    <w:tr2bl w:val="nil"/>
                  </w:tcBorders>
                  <w:noWrap w:val="0"/>
                  <w:vAlign w:val="center"/>
                </w:tcPr>
                <w:p>
                  <w:pPr>
                    <w:bidi w:val="0"/>
                    <w:spacing w:line="240" w:lineRule="auto"/>
                    <w:rPr>
                      <w:rFonts w:hint="default"/>
                      <w:color w:val="auto"/>
                      <w:sz w:val="21"/>
                      <w:szCs w:val="21"/>
                      <w:lang w:eastAsia="zh-CN"/>
                    </w:rPr>
                  </w:pPr>
                  <w:r>
                    <w:rPr>
                      <w:rFonts w:hint="default"/>
                      <w:color w:val="auto"/>
                      <w:sz w:val="21"/>
                      <w:szCs w:val="21"/>
                      <w:lang w:eastAsia="zh-CN"/>
                    </w:rPr>
                    <w:t>本项目产生的边角料于产生部位人工收集，颗粒物由布袋除尘器收集，边角料为一般工业固废，暂存于车间内一般固废区回收利用；危险废物暂存于危废间交由内蒙古九瑞能源科技有限责任公司处置；生活垃圾由环卫部门统一清运。</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扩建项目产生的废钢丝和废纤维分类收集后，</w:t>
                  </w:r>
                  <w:r>
                    <w:rPr>
                      <w:rFonts w:hint="eastAsia"/>
                      <w:color w:val="auto"/>
                      <w:sz w:val="21"/>
                      <w:szCs w:val="21"/>
                      <w:lang w:eastAsia="zh-CN"/>
                    </w:rPr>
                    <w:t>暂存于一般固废暂存间内，定期</w:t>
                  </w:r>
                  <w:r>
                    <w:rPr>
                      <w:rFonts w:hint="eastAsia"/>
                      <w:color w:val="auto"/>
                      <w:sz w:val="21"/>
                      <w:szCs w:val="21"/>
                      <w:lang w:val="en-US" w:eastAsia="zh-CN"/>
                    </w:rPr>
                    <w:t>外售；水喷淋塔循环水箱沉渣暂存于水箱内，定期清掏，委托环卫部门清运。废润滑油暂存至危废暂存间内，委托有资质的单位处置。</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default"/>
                      <w:color w:val="auto"/>
                      <w:sz w:val="21"/>
                      <w:szCs w:val="21"/>
                      <w:lang w:eastAsia="zh-CN"/>
                    </w:rPr>
                    <w:t>产生的边角料于产生部位人工收集，颗粒物由布袋除尘器收集，边角料为一般工业固废，暂存于车间内一般固废区回收利用；危险废物暂存于危废间交由内蒙古九瑞能源科技有限责任公司处置；生活垃圾由环卫部门统一清运。</w:t>
                  </w:r>
                  <w:r>
                    <w:rPr>
                      <w:rFonts w:hint="eastAsia"/>
                      <w:color w:val="auto"/>
                      <w:sz w:val="21"/>
                      <w:szCs w:val="21"/>
                      <w:lang w:eastAsia="zh-CN"/>
                    </w:rPr>
                    <w:t>扩建项目产生的废钢丝和废纤维分类收集后，外售；循环水池沉渣定期清掏，委托环卫部门清运；废润滑油暂存于危废暂存间内，委托有资质的单位处置。</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eastAsia="zh-CN"/>
                    </w:rPr>
                    <w:t>依托一般固废暂存间、</w:t>
                  </w:r>
                  <w:r>
                    <w:rPr>
                      <w:rFonts w:hint="eastAsia"/>
                      <w:color w:val="auto"/>
                      <w:sz w:val="21"/>
                      <w:szCs w:val="21"/>
                      <w:lang w:val="en-US" w:eastAsia="zh-CN"/>
                    </w:rPr>
                    <w:t>危废暂存间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8"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废水</w:t>
                  </w:r>
                </w:p>
              </w:tc>
              <w:tc>
                <w:tcPr>
                  <w:tcW w:w="2411" w:type="dxa"/>
                  <w:tcBorders>
                    <w:tl2br w:val="nil"/>
                    <w:tr2bl w:val="nil"/>
                  </w:tcBorders>
                  <w:noWrap w:val="0"/>
                  <w:vAlign w:val="center"/>
                </w:tcPr>
                <w:p>
                  <w:pPr>
                    <w:bidi w:val="0"/>
                    <w:spacing w:line="240" w:lineRule="auto"/>
                    <w:rPr>
                      <w:rFonts w:hint="default"/>
                      <w:color w:val="auto"/>
                      <w:sz w:val="21"/>
                      <w:szCs w:val="21"/>
                      <w:lang w:eastAsia="zh-Hans"/>
                    </w:rPr>
                  </w:pPr>
                  <w:r>
                    <w:rPr>
                      <w:rFonts w:hint="default"/>
                      <w:color w:val="auto"/>
                      <w:sz w:val="21"/>
                      <w:szCs w:val="21"/>
                      <w:lang w:eastAsia="zh-CN"/>
                    </w:rPr>
                    <w:t>本项目生产过程中循环冷却水、生产用水等不 外排；车间地面冲洗用水、余热炉排水均排放至园区污水处理厂，本项目生活污水排入化粪 池收集后，最终排入园区污水处理厂。</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循环冷却水定期排水用于厂区洒水抑尘；水喷淋塔废水排入水喷淋塔自带的10m</w:t>
                  </w:r>
                  <w:r>
                    <w:rPr>
                      <w:rFonts w:hint="eastAsia"/>
                      <w:color w:val="auto"/>
                      <w:sz w:val="21"/>
                      <w:szCs w:val="21"/>
                      <w:vertAlign w:val="superscript"/>
                      <w:lang w:val="en-US" w:eastAsia="zh-CN"/>
                    </w:rPr>
                    <w:t>3</w:t>
                  </w:r>
                  <w:r>
                    <w:rPr>
                      <w:rFonts w:hint="eastAsia"/>
                      <w:color w:val="auto"/>
                      <w:sz w:val="21"/>
                      <w:szCs w:val="21"/>
                      <w:lang w:val="en-US" w:eastAsia="zh-CN"/>
                    </w:rPr>
                    <w:t>的循环水箱进行循环使用，不外排。</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default"/>
                      <w:color w:val="auto"/>
                      <w:sz w:val="21"/>
                      <w:szCs w:val="21"/>
                      <w:lang w:eastAsia="zh-CN"/>
                    </w:rPr>
                    <w:t>生产过程中循环冷却水、生产用水等不 外排；车间地面冲洗用水、</w:t>
                  </w:r>
                  <w:r>
                    <w:rPr>
                      <w:rFonts w:hint="eastAsia"/>
                      <w:color w:val="auto"/>
                      <w:sz w:val="21"/>
                      <w:szCs w:val="21"/>
                      <w:lang w:eastAsia="zh-CN"/>
                    </w:rPr>
                    <w:t>员工洗澡废水</w:t>
                  </w:r>
                  <w:r>
                    <w:rPr>
                      <w:rFonts w:hint="default"/>
                      <w:color w:val="auto"/>
                      <w:sz w:val="21"/>
                      <w:szCs w:val="21"/>
                      <w:lang w:eastAsia="zh-CN"/>
                    </w:rPr>
                    <w:t>均排放至园区污水处理厂，生活污水排入化粪池收集后，最终排入园区污水处理厂。</w:t>
                  </w:r>
                  <w:r>
                    <w:rPr>
                      <w:rFonts w:hint="eastAsia"/>
                      <w:color w:val="auto"/>
                      <w:sz w:val="21"/>
                      <w:szCs w:val="21"/>
                      <w:lang w:val="en-US" w:eastAsia="zh-CN"/>
                    </w:rPr>
                    <w:t>扩建项目产生的循环冷却水定期排水，用于厂区洒水抑尘；水喷淋塔废水排入水喷淋塔自带的10m</w:t>
                  </w:r>
                  <w:r>
                    <w:rPr>
                      <w:rFonts w:hint="eastAsia"/>
                      <w:color w:val="auto"/>
                      <w:sz w:val="21"/>
                      <w:szCs w:val="21"/>
                      <w:vertAlign w:val="superscript"/>
                      <w:lang w:val="en-US" w:eastAsia="zh-CN"/>
                    </w:rPr>
                    <w:t>3</w:t>
                  </w:r>
                  <w:r>
                    <w:rPr>
                      <w:rFonts w:hint="eastAsia"/>
                      <w:color w:val="auto"/>
                      <w:sz w:val="21"/>
                      <w:szCs w:val="21"/>
                      <w:lang w:val="en-US" w:eastAsia="zh-CN"/>
                    </w:rPr>
                    <w:t>的循环水箱进行循环使用，不外排。</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设备冷却水依托现有工程循环水池，水喷淋塔废水排入循环水箱，属于新建工程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3"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噪声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2411" w:type="dxa"/>
                  <w:tcBorders>
                    <w:tl2br w:val="nil"/>
                    <w:tr2bl w:val="nil"/>
                  </w:tcBorders>
                  <w:noWrap w:val="0"/>
                  <w:vAlign w:val="center"/>
                </w:tcPr>
                <w:p>
                  <w:pPr>
                    <w:bidi w:val="0"/>
                    <w:spacing w:line="240" w:lineRule="auto"/>
                    <w:rPr>
                      <w:rFonts w:hint="default"/>
                      <w:color w:val="auto"/>
                      <w:sz w:val="21"/>
                      <w:szCs w:val="21"/>
                      <w:lang w:eastAsia="zh-CN"/>
                    </w:rPr>
                  </w:pPr>
                  <w:r>
                    <w:rPr>
                      <w:rFonts w:hint="default"/>
                      <w:color w:val="auto"/>
                      <w:sz w:val="21"/>
                      <w:szCs w:val="21"/>
                      <w:lang w:eastAsia="zh-CN"/>
                    </w:rPr>
                    <w:t>选用低噪声设备，高噪声设备采取隔音、减震 措施。</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default"/>
                      <w:color w:val="auto"/>
                      <w:sz w:val="21"/>
                      <w:szCs w:val="21"/>
                      <w:lang w:eastAsia="zh-CN"/>
                    </w:rPr>
                    <w:t>选用低噪声设备，高噪声设备采取隔音、减震 措施。</w:t>
                  </w:r>
                </w:p>
              </w:tc>
              <w:tc>
                <w:tcPr>
                  <w:tcW w:w="2535" w:type="dxa"/>
                  <w:tcBorders>
                    <w:tl2br w:val="nil"/>
                    <w:tr2bl w:val="nil"/>
                  </w:tcBorders>
                  <w:noWrap w:val="0"/>
                  <w:vAlign w:val="center"/>
                </w:tcPr>
                <w:p>
                  <w:pPr>
                    <w:bidi w:val="0"/>
                    <w:spacing w:line="240" w:lineRule="auto"/>
                    <w:rPr>
                      <w:rFonts w:hint="default" w:ascii="Times New Roman" w:hAnsi="Times New Roman" w:eastAsia="宋体"/>
                      <w:color w:val="auto"/>
                      <w:sz w:val="21"/>
                      <w:szCs w:val="21"/>
                      <w:lang w:eastAsia="zh-CN"/>
                    </w:rPr>
                  </w:pPr>
                  <w:r>
                    <w:rPr>
                      <w:rFonts w:hint="default"/>
                      <w:color w:val="auto"/>
                      <w:sz w:val="21"/>
                      <w:szCs w:val="21"/>
                      <w:lang w:eastAsia="zh-CN"/>
                    </w:rPr>
                    <w:t>选用低噪声设备，高噪声设备采取隔音、减震 措施。</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eastAsia"/>
                      <w:color w:val="auto"/>
                      <w:sz w:val="21"/>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5" w:hRule="atLeast"/>
                <w:jc w:val="center"/>
              </w:trPr>
              <w:tc>
                <w:tcPr>
                  <w:tcW w:w="36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p>
              </w:tc>
              <w:tc>
                <w:tcPr>
                  <w:tcW w:w="6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eastAsia"/>
                      <w:color w:val="auto"/>
                      <w:sz w:val="21"/>
                      <w:szCs w:val="21"/>
                      <w:lang w:eastAsia="zh-CN"/>
                    </w:rPr>
                    <w:t>消防</w:t>
                  </w:r>
                  <w:r>
                    <w:rPr>
                      <w:rFonts w:hint="default"/>
                      <w:color w:val="auto"/>
                      <w:sz w:val="21"/>
                      <w:szCs w:val="21"/>
                    </w:rPr>
                    <w:t>水池</w:t>
                  </w:r>
                </w:p>
              </w:tc>
              <w:tc>
                <w:tcPr>
                  <w:tcW w:w="2411" w:type="dxa"/>
                  <w:tcBorders>
                    <w:tl2br w:val="nil"/>
                    <w:tr2bl w:val="nil"/>
                  </w:tcBorders>
                  <w:noWrap w:val="0"/>
                  <w:vAlign w:val="center"/>
                </w:tcPr>
                <w:p>
                  <w:pPr>
                    <w:bidi w:val="0"/>
                    <w:spacing w:line="240" w:lineRule="auto"/>
                    <w:rPr>
                      <w:rFonts w:hint="default"/>
                      <w:color w:val="auto"/>
                      <w:sz w:val="21"/>
                      <w:szCs w:val="21"/>
                      <w:lang w:eastAsia="zh-CN"/>
                    </w:rPr>
                  </w:pPr>
                  <w:r>
                    <w:rPr>
                      <w:rFonts w:hint="default"/>
                      <w:color w:val="auto"/>
                      <w:sz w:val="21"/>
                      <w:szCs w:val="21"/>
                      <w:lang w:eastAsia="zh-CN"/>
                    </w:rPr>
                    <w:t>建设有 2 座冷却循环水池，同时可也作为消防水池，有效容积分别为504m</w:t>
                  </w:r>
                  <w:r>
                    <w:rPr>
                      <w:rFonts w:hint="eastAsia"/>
                      <w:color w:val="auto"/>
                      <w:sz w:val="21"/>
                      <w:szCs w:val="21"/>
                      <w:vertAlign w:val="superscript"/>
                      <w:lang w:val="en-US" w:eastAsia="zh-CN"/>
                    </w:rPr>
                    <w:t>3</w:t>
                  </w:r>
                  <w:r>
                    <w:rPr>
                      <w:rFonts w:hint="default"/>
                      <w:color w:val="auto"/>
                      <w:sz w:val="21"/>
                      <w:szCs w:val="21"/>
                      <w:lang w:eastAsia="zh-CN"/>
                    </w:rPr>
                    <w:t>和150m</w:t>
                  </w:r>
                  <w:r>
                    <w:rPr>
                      <w:rFonts w:hint="eastAsia"/>
                      <w:color w:val="auto"/>
                      <w:sz w:val="21"/>
                      <w:szCs w:val="21"/>
                      <w:vertAlign w:val="superscript"/>
                      <w:lang w:val="en-US" w:eastAsia="zh-CN"/>
                    </w:rPr>
                    <w:t>3</w:t>
                  </w:r>
                  <w:r>
                    <w:rPr>
                      <w:rFonts w:hint="default"/>
                      <w:color w:val="auto"/>
                      <w:sz w:val="21"/>
                      <w:szCs w:val="21"/>
                      <w:lang w:eastAsia="zh-CN"/>
                    </w:rPr>
                    <w:t>。</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Hans"/>
                    </w:rPr>
                  </w:pPr>
                  <w:r>
                    <w:rPr>
                      <w:rFonts w:hint="eastAsia"/>
                      <w:color w:val="auto"/>
                      <w:sz w:val="21"/>
                      <w:szCs w:val="21"/>
                      <w:lang w:eastAsia="zh-CN"/>
                    </w:rPr>
                    <w:t>依托</w:t>
                  </w:r>
                </w:p>
              </w:tc>
              <w:tc>
                <w:tcPr>
                  <w:tcW w:w="25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建设有 2 座冷却循环水池，同时可也作为消防水池，有效容积分别为504m</w:t>
                  </w:r>
                  <w:r>
                    <w:rPr>
                      <w:rFonts w:hint="eastAsia"/>
                      <w:color w:val="auto"/>
                      <w:sz w:val="21"/>
                      <w:szCs w:val="21"/>
                      <w:vertAlign w:val="superscript"/>
                      <w:lang w:val="en-US" w:eastAsia="zh-CN"/>
                    </w:rPr>
                    <w:t>3</w:t>
                  </w:r>
                  <w:r>
                    <w:rPr>
                      <w:rFonts w:hint="default"/>
                      <w:color w:val="auto"/>
                      <w:sz w:val="21"/>
                      <w:szCs w:val="21"/>
                      <w:lang w:eastAsia="zh-CN"/>
                    </w:rPr>
                    <w:t>和 150m</w:t>
                  </w:r>
                  <w:r>
                    <w:rPr>
                      <w:rFonts w:hint="eastAsia"/>
                      <w:color w:val="auto"/>
                      <w:sz w:val="21"/>
                      <w:szCs w:val="21"/>
                      <w:vertAlign w:val="superscript"/>
                      <w:lang w:val="en-US" w:eastAsia="zh-CN"/>
                    </w:rPr>
                    <w:t>3</w:t>
                  </w:r>
                  <w:r>
                    <w:rPr>
                      <w:rFonts w:hint="default"/>
                      <w:color w:val="auto"/>
                      <w:sz w:val="21"/>
                      <w:szCs w:val="21"/>
                      <w:lang w:eastAsia="zh-CN"/>
                    </w:rPr>
                    <w:t>。</w:t>
                  </w:r>
                </w:p>
              </w:tc>
              <w:tc>
                <w:tcPr>
                  <w:tcW w:w="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eastAsia"/>
                      <w:color w:val="auto"/>
                      <w:sz w:val="21"/>
                      <w:szCs w:val="21"/>
                      <w:lang w:eastAsia="zh-CN"/>
                    </w:rPr>
                    <w:t>依托</w:t>
                  </w:r>
                </w:p>
              </w:tc>
            </w:tr>
          </w:tbl>
          <w:p>
            <w:pPr>
              <w:widowControl/>
              <w:adjustRightInd w:val="0"/>
              <w:snapToGrid w:val="0"/>
              <w:spacing w:before="156" w:beforeLines="50"/>
              <w:ind w:left="0" w:leftChars="0" w:firstLine="0" w:firstLineChars="0"/>
              <w:jc w:val="center"/>
              <w:rPr>
                <w:rFonts w:hint="default" w:ascii="Times New Roman" w:hAnsi="Times New Roman" w:eastAsia="宋体" w:cs="Times New Roman"/>
                <w:b/>
                <w:bCs/>
                <w:color w:val="auto"/>
                <w:lang w:val="en-US" w:eastAsia="zh-CN"/>
              </w:rPr>
            </w:pPr>
            <w:r>
              <w:rPr>
                <w:rFonts w:hint="eastAsia" w:cs="Times New Roman"/>
                <w:b/>
                <w:bCs/>
                <w:color w:val="auto"/>
                <w:lang w:val="en-US" w:eastAsia="zh-CN"/>
              </w:rPr>
              <w:t>表18 本项目依托可行性分析</w:t>
            </w:r>
          </w:p>
          <w:tbl>
            <w:tblPr>
              <w:tblStyle w:val="18"/>
              <w:tblW w:w="4998"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5100"/>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b/>
                      <w:bCs w:val="0"/>
                      <w:color w:val="auto"/>
                      <w:sz w:val="21"/>
                      <w:szCs w:val="21"/>
                      <w:lang w:val="en-US" w:eastAsia="zh-CN"/>
                    </w:rPr>
                  </w:pPr>
                  <w:r>
                    <w:rPr>
                      <w:rFonts w:hint="eastAsia"/>
                      <w:b/>
                      <w:bCs w:val="0"/>
                      <w:color w:val="auto"/>
                      <w:sz w:val="21"/>
                      <w:szCs w:val="21"/>
                      <w:lang w:val="en-US" w:eastAsia="zh-CN"/>
                    </w:rPr>
                    <w:t>依托设施</w:t>
                  </w:r>
                </w:p>
              </w:tc>
              <w:tc>
                <w:tcPr>
                  <w:tcW w:w="321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b/>
                      <w:bCs w:val="0"/>
                      <w:color w:val="auto"/>
                      <w:sz w:val="21"/>
                      <w:szCs w:val="21"/>
                      <w:lang w:val="en-US" w:eastAsia="zh-CN"/>
                    </w:rPr>
                  </w:pPr>
                  <w:r>
                    <w:rPr>
                      <w:rFonts w:hint="eastAsia"/>
                      <w:b/>
                      <w:bCs w:val="0"/>
                      <w:color w:val="auto"/>
                      <w:sz w:val="21"/>
                      <w:szCs w:val="21"/>
                      <w:lang w:val="en-US" w:eastAsia="zh-CN"/>
                    </w:rPr>
                    <w:t>依托可行性分析</w:t>
                  </w:r>
                </w:p>
              </w:tc>
              <w:tc>
                <w:tcPr>
                  <w:tcW w:w="75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b/>
                      <w:bCs w:val="0"/>
                      <w:color w:val="auto"/>
                      <w:sz w:val="21"/>
                      <w:szCs w:val="21"/>
                      <w:lang w:val="en-US" w:eastAsia="zh-CN"/>
                    </w:rPr>
                  </w:pPr>
                  <w:r>
                    <w:rPr>
                      <w:rFonts w:hint="eastAsia"/>
                      <w:b/>
                      <w:bCs w:val="0"/>
                      <w:color w:val="auto"/>
                      <w:sz w:val="21"/>
                      <w:szCs w:val="21"/>
                      <w:lang w:val="en-US" w:eastAsia="zh-CN"/>
                    </w:rPr>
                    <w:t>是否可行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bCs/>
                      <w:color w:val="auto"/>
                      <w:sz w:val="21"/>
                      <w:szCs w:val="21"/>
                      <w:lang w:val="en-US" w:eastAsia="zh-CN"/>
                    </w:rPr>
                  </w:pPr>
                  <w:r>
                    <w:rPr>
                      <w:rFonts w:hint="eastAsia"/>
                      <w:bCs/>
                      <w:color w:val="auto"/>
                      <w:sz w:val="21"/>
                      <w:szCs w:val="21"/>
                      <w:lang w:val="en-US" w:eastAsia="zh-CN"/>
                    </w:rPr>
                    <w:t>再生胶车间</w:t>
                  </w:r>
                </w:p>
              </w:tc>
              <w:tc>
                <w:tcPr>
                  <w:tcW w:w="3216" w:type="pct"/>
                  <w:tcBorders>
                    <w:tl2br w:val="nil"/>
                    <w:tr2bl w:val="nil"/>
                  </w:tcBorders>
                  <w:vAlign w:val="center"/>
                </w:tcPr>
                <w:p>
                  <w:pPr>
                    <w:bidi w:val="0"/>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现有工程再生胶车间占地面积为5184m</w:t>
                  </w:r>
                  <w:r>
                    <w:rPr>
                      <w:rFonts w:hint="eastAsia" w:ascii="Times New Roman" w:hAnsi="Times New Roman" w:eastAsia="宋体"/>
                      <w:color w:val="auto"/>
                      <w:sz w:val="21"/>
                      <w:szCs w:val="21"/>
                      <w:vertAlign w:val="superscript"/>
                      <w:lang w:val="en-US" w:eastAsia="zh-CN"/>
                    </w:rPr>
                    <w:t>2</w:t>
                  </w:r>
                  <w:r>
                    <w:rPr>
                      <w:rFonts w:hint="eastAsia" w:ascii="Times New Roman" w:hAnsi="Times New Roman" w:eastAsia="宋体"/>
                      <w:color w:val="auto"/>
                      <w:sz w:val="21"/>
                      <w:szCs w:val="21"/>
                      <w:lang w:val="en-US" w:eastAsia="zh-CN"/>
                    </w:rPr>
                    <w:t>，在可以达到产能的情况下较少了开炼机和精炼机的设备数量，因此，现有厂房空间足够安装扩建</w:t>
                  </w:r>
                  <w:r>
                    <w:rPr>
                      <w:rFonts w:hint="eastAsia"/>
                      <w:color w:val="auto"/>
                      <w:sz w:val="21"/>
                      <w:szCs w:val="21"/>
                      <w:lang w:val="en-US" w:eastAsia="zh-CN"/>
                    </w:rPr>
                    <w:t>项目</w:t>
                  </w:r>
                  <w:r>
                    <w:rPr>
                      <w:rFonts w:hint="eastAsia" w:ascii="Times New Roman" w:hAnsi="Times New Roman" w:eastAsia="宋体"/>
                      <w:color w:val="auto"/>
                      <w:sz w:val="21"/>
                      <w:szCs w:val="21"/>
                      <w:lang w:val="en-US" w:eastAsia="zh-CN"/>
                    </w:rPr>
                    <w:t>的</w:t>
                  </w:r>
                  <w:r>
                    <w:rPr>
                      <w:rFonts w:hint="eastAsia"/>
                      <w:color w:val="auto"/>
                      <w:sz w:val="21"/>
                      <w:szCs w:val="21"/>
                      <w:lang w:val="en-US" w:eastAsia="zh-CN"/>
                    </w:rPr>
                    <w:t>生产</w:t>
                  </w:r>
                  <w:r>
                    <w:rPr>
                      <w:rFonts w:hint="eastAsia" w:ascii="Times New Roman" w:hAnsi="Times New Roman" w:eastAsia="宋体"/>
                      <w:color w:val="auto"/>
                      <w:sz w:val="21"/>
                      <w:szCs w:val="21"/>
                      <w:lang w:val="en-US" w:eastAsia="zh-CN"/>
                    </w:rPr>
                    <w:t>设备。</w:t>
                  </w:r>
                </w:p>
              </w:tc>
              <w:tc>
                <w:tcPr>
                  <w:tcW w:w="75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bCs/>
                      <w:color w:val="auto"/>
                      <w:sz w:val="21"/>
                      <w:szCs w:val="21"/>
                      <w:lang w:val="en-US" w:eastAsia="zh-CN"/>
                    </w:rPr>
                  </w:pPr>
                  <w:r>
                    <w:rPr>
                      <w:rFonts w:hint="eastAsia"/>
                      <w:bCs/>
                      <w:color w:val="auto"/>
                      <w:sz w:val="21"/>
                      <w:szCs w:val="21"/>
                      <w:lang w:val="en-US" w:eastAsia="zh-CN"/>
                    </w:rPr>
                    <w:t>可行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bCs/>
                      <w:color w:val="auto"/>
                      <w:sz w:val="21"/>
                      <w:szCs w:val="21"/>
                      <w:lang w:val="en-US" w:eastAsia="zh-CN"/>
                    </w:rPr>
                  </w:pPr>
                  <w:r>
                    <w:rPr>
                      <w:rFonts w:hint="eastAsia"/>
                      <w:bCs/>
                      <w:color w:val="auto"/>
                      <w:sz w:val="21"/>
                      <w:szCs w:val="21"/>
                      <w:lang w:val="en-US" w:eastAsia="zh-CN"/>
                    </w:rPr>
                    <w:t>办公室</w:t>
                  </w:r>
                </w:p>
              </w:tc>
              <w:tc>
                <w:tcPr>
                  <w:tcW w:w="3216" w:type="pct"/>
                  <w:tcBorders>
                    <w:tl2br w:val="nil"/>
                    <w:tr2bl w:val="nil"/>
                  </w:tcBorders>
                  <w:vAlign w:val="center"/>
                </w:tcPr>
                <w:p>
                  <w:pPr>
                    <w:bidi w:val="0"/>
                    <w:rPr>
                      <w:rFonts w:hint="default" w:ascii="Times New Roman" w:hAnsi="Times New Roman" w:eastAsia="宋体"/>
                      <w:color w:val="auto"/>
                      <w:sz w:val="21"/>
                      <w:szCs w:val="21"/>
                      <w:lang w:val="en-US" w:eastAsia="zh-CN"/>
                    </w:rPr>
                  </w:pPr>
                  <w:r>
                    <w:rPr>
                      <w:rFonts w:hint="eastAsia"/>
                      <w:color w:val="auto"/>
                      <w:sz w:val="21"/>
                      <w:szCs w:val="21"/>
                      <w:lang w:val="en-US" w:eastAsia="zh-CN"/>
                    </w:rPr>
                    <w:t>本项目</w:t>
                  </w:r>
                  <w:r>
                    <w:rPr>
                      <w:rFonts w:hint="eastAsia" w:ascii="Times New Roman" w:hAnsi="Times New Roman" w:eastAsia="宋体"/>
                      <w:color w:val="auto"/>
                      <w:sz w:val="21"/>
                      <w:szCs w:val="21"/>
                      <w:lang w:val="en-US" w:eastAsia="zh-CN"/>
                    </w:rPr>
                    <w:t>不新增员工，现有办公室可满足使用。</w:t>
                  </w:r>
                </w:p>
              </w:tc>
              <w:tc>
                <w:tcPr>
                  <w:tcW w:w="75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bCs/>
                      <w:color w:val="auto"/>
                      <w:sz w:val="21"/>
                      <w:szCs w:val="21"/>
                      <w:lang w:val="en-US" w:eastAsia="zh-CN"/>
                    </w:rPr>
                  </w:pPr>
                  <w:r>
                    <w:rPr>
                      <w:rFonts w:hint="eastAsia"/>
                      <w:bCs/>
                      <w:color w:val="auto"/>
                      <w:sz w:val="21"/>
                      <w:szCs w:val="21"/>
                      <w:lang w:val="en-US" w:eastAsia="zh-CN"/>
                    </w:rPr>
                    <w:t>可行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bCs/>
                      <w:color w:val="auto"/>
                      <w:sz w:val="21"/>
                      <w:szCs w:val="21"/>
                      <w:lang w:val="en-US" w:eastAsia="zh-CN"/>
                    </w:rPr>
                  </w:pPr>
                  <w:r>
                    <w:rPr>
                      <w:rFonts w:hint="eastAsia"/>
                      <w:bCs/>
                      <w:color w:val="auto"/>
                      <w:sz w:val="21"/>
                      <w:szCs w:val="21"/>
                      <w:lang w:val="en-US" w:eastAsia="zh-CN"/>
                    </w:rPr>
                    <w:t>值班室</w:t>
                  </w:r>
                </w:p>
              </w:tc>
              <w:tc>
                <w:tcPr>
                  <w:tcW w:w="3216" w:type="pct"/>
                  <w:tcBorders>
                    <w:tl2br w:val="nil"/>
                    <w:tr2bl w:val="nil"/>
                  </w:tcBorders>
                  <w:vAlign w:val="center"/>
                </w:tcPr>
                <w:p>
                  <w:pPr>
                    <w:bidi w:val="0"/>
                    <w:rPr>
                      <w:rFonts w:hint="default" w:ascii="Times New Roman" w:hAnsi="Times New Roman" w:eastAsia="宋体"/>
                      <w:color w:val="auto"/>
                      <w:sz w:val="21"/>
                      <w:szCs w:val="21"/>
                      <w:lang w:val="en-US" w:eastAsia="zh-CN"/>
                    </w:rPr>
                  </w:pPr>
                  <w:r>
                    <w:rPr>
                      <w:rFonts w:hint="eastAsia"/>
                      <w:color w:val="auto"/>
                      <w:sz w:val="21"/>
                      <w:szCs w:val="21"/>
                      <w:lang w:val="en-US" w:eastAsia="zh-CN"/>
                    </w:rPr>
                    <w:t>本项目</w:t>
                  </w:r>
                  <w:r>
                    <w:rPr>
                      <w:rFonts w:hint="eastAsia" w:ascii="Times New Roman" w:hAnsi="Times New Roman" w:eastAsia="宋体"/>
                      <w:color w:val="auto"/>
                      <w:sz w:val="21"/>
                      <w:szCs w:val="21"/>
                      <w:lang w:val="en-US" w:eastAsia="zh-CN"/>
                    </w:rPr>
                    <w:t>不新增员工，现有值班室可满足使用。</w:t>
                  </w:r>
                </w:p>
              </w:tc>
              <w:tc>
                <w:tcPr>
                  <w:tcW w:w="75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bCs/>
                      <w:color w:val="auto"/>
                      <w:sz w:val="21"/>
                      <w:szCs w:val="21"/>
                      <w:lang w:val="en-US" w:eastAsia="zh-CN"/>
                    </w:rPr>
                  </w:pPr>
                  <w:r>
                    <w:rPr>
                      <w:rFonts w:hint="eastAsia"/>
                      <w:bCs/>
                      <w:color w:val="auto"/>
                      <w:sz w:val="21"/>
                      <w:szCs w:val="21"/>
                      <w:lang w:val="en-US" w:eastAsia="zh-CN"/>
                    </w:rPr>
                    <w:t>可行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bCs/>
                      <w:color w:val="auto"/>
                      <w:sz w:val="21"/>
                      <w:szCs w:val="21"/>
                      <w:lang w:val="en-US" w:eastAsia="zh-CN"/>
                    </w:rPr>
                  </w:pPr>
                  <w:r>
                    <w:rPr>
                      <w:rFonts w:hint="eastAsia"/>
                      <w:bCs/>
                      <w:color w:val="auto"/>
                      <w:sz w:val="21"/>
                      <w:szCs w:val="21"/>
                      <w:lang w:val="en-US" w:eastAsia="zh-CN"/>
                    </w:rPr>
                    <w:t>成品库</w:t>
                  </w:r>
                </w:p>
              </w:tc>
              <w:tc>
                <w:tcPr>
                  <w:tcW w:w="3216" w:type="pct"/>
                  <w:tcBorders>
                    <w:tl2br w:val="nil"/>
                    <w:tr2bl w:val="nil"/>
                  </w:tcBorders>
                  <w:vAlign w:val="center"/>
                </w:tcPr>
                <w:p>
                  <w:pPr>
                    <w:bidi w:val="0"/>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占地面积540m</w:t>
                  </w:r>
                  <w:r>
                    <w:rPr>
                      <w:rFonts w:hint="eastAsia" w:ascii="Times New Roman" w:hAnsi="Times New Roman" w:eastAsia="宋体"/>
                      <w:color w:val="auto"/>
                      <w:sz w:val="21"/>
                      <w:szCs w:val="21"/>
                      <w:vertAlign w:val="superscript"/>
                      <w:lang w:val="en-US" w:eastAsia="zh-CN"/>
                    </w:rPr>
                    <w:t>2</w:t>
                  </w:r>
                  <w:r>
                    <w:rPr>
                      <w:rFonts w:hint="eastAsia" w:ascii="Times New Roman" w:hAnsi="Times New Roman" w:eastAsia="宋体"/>
                      <w:color w:val="auto"/>
                      <w:sz w:val="21"/>
                      <w:szCs w:val="21"/>
                      <w:lang w:val="en-US" w:eastAsia="zh-CN"/>
                    </w:rPr>
                    <w:t>，可满足</w:t>
                  </w:r>
                  <w:r>
                    <w:rPr>
                      <w:rFonts w:hint="eastAsia"/>
                      <w:color w:val="auto"/>
                      <w:sz w:val="21"/>
                      <w:szCs w:val="21"/>
                      <w:lang w:val="en-US" w:eastAsia="zh-CN"/>
                    </w:rPr>
                    <w:t>本项目</w:t>
                  </w:r>
                  <w:r>
                    <w:rPr>
                      <w:rFonts w:hint="eastAsia" w:ascii="Times New Roman" w:hAnsi="Times New Roman" w:eastAsia="宋体"/>
                      <w:color w:val="auto"/>
                      <w:sz w:val="21"/>
                      <w:szCs w:val="21"/>
                      <w:lang w:val="en-US" w:eastAsia="zh-CN"/>
                    </w:rPr>
                    <w:t>再生胶粉的存储需求</w:t>
                  </w:r>
                  <w:r>
                    <w:rPr>
                      <w:rFonts w:hint="eastAsia"/>
                      <w:color w:val="auto"/>
                      <w:sz w:val="21"/>
                      <w:szCs w:val="21"/>
                      <w:lang w:val="en-US" w:eastAsia="zh-CN"/>
                    </w:rPr>
                    <w:t>。</w:t>
                  </w:r>
                </w:p>
              </w:tc>
              <w:tc>
                <w:tcPr>
                  <w:tcW w:w="75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bCs/>
                      <w:color w:val="auto"/>
                      <w:sz w:val="21"/>
                      <w:szCs w:val="21"/>
                      <w:lang w:val="en-US" w:eastAsia="zh-CN"/>
                    </w:rPr>
                  </w:pPr>
                  <w:r>
                    <w:rPr>
                      <w:rFonts w:hint="eastAsia"/>
                      <w:bCs/>
                      <w:color w:val="auto"/>
                      <w:sz w:val="21"/>
                      <w:szCs w:val="21"/>
                      <w:lang w:val="en-US" w:eastAsia="zh-CN"/>
                    </w:rPr>
                    <w:t>可行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bCs/>
                      <w:color w:val="auto"/>
                      <w:sz w:val="21"/>
                      <w:szCs w:val="21"/>
                      <w:lang w:val="en-US" w:eastAsia="zh-CN"/>
                    </w:rPr>
                  </w:pPr>
                  <w:r>
                    <w:rPr>
                      <w:rFonts w:hint="eastAsia"/>
                      <w:bCs/>
                      <w:color w:val="auto"/>
                      <w:sz w:val="21"/>
                      <w:szCs w:val="21"/>
                      <w:lang w:val="en-US" w:eastAsia="zh-CN"/>
                    </w:rPr>
                    <w:t>原料库</w:t>
                  </w:r>
                </w:p>
              </w:tc>
              <w:tc>
                <w:tcPr>
                  <w:tcW w:w="3216" w:type="pct"/>
                  <w:tcBorders>
                    <w:tl2br w:val="nil"/>
                    <w:tr2bl w:val="nil"/>
                  </w:tcBorders>
                  <w:vAlign w:val="center"/>
                </w:tcPr>
                <w:p>
                  <w:pPr>
                    <w:bidi w:val="0"/>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地面积540m</w:t>
                  </w:r>
                  <w:r>
                    <w:rPr>
                      <w:rFonts w:hint="eastAsia" w:ascii="Times New Roman" w:hAnsi="Times New Roman" w:eastAsia="宋体"/>
                      <w:color w:val="auto"/>
                      <w:sz w:val="21"/>
                      <w:szCs w:val="21"/>
                      <w:vertAlign w:val="superscript"/>
                      <w:lang w:val="en-US" w:eastAsia="zh-CN"/>
                    </w:rPr>
                    <w:t>2</w:t>
                  </w:r>
                  <w:r>
                    <w:rPr>
                      <w:rFonts w:hint="eastAsia" w:ascii="Times New Roman" w:hAnsi="Times New Roman" w:eastAsia="宋体"/>
                      <w:color w:val="auto"/>
                      <w:sz w:val="21"/>
                      <w:szCs w:val="21"/>
                      <w:lang w:val="en-US" w:eastAsia="zh-CN"/>
                    </w:rPr>
                    <w:t>，增加转运周期，可满足</w:t>
                  </w:r>
                  <w:r>
                    <w:rPr>
                      <w:rFonts w:hint="eastAsia"/>
                      <w:color w:val="auto"/>
                      <w:sz w:val="21"/>
                      <w:szCs w:val="21"/>
                      <w:lang w:val="en-US" w:eastAsia="zh-CN"/>
                    </w:rPr>
                    <w:t>本项目</w:t>
                  </w:r>
                  <w:r>
                    <w:rPr>
                      <w:rFonts w:hint="eastAsia" w:ascii="Times New Roman" w:hAnsi="Times New Roman" w:eastAsia="宋体"/>
                      <w:color w:val="auto"/>
                      <w:sz w:val="21"/>
                      <w:szCs w:val="21"/>
                      <w:lang w:val="en-US" w:eastAsia="zh-CN"/>
                    </w:rPr>
                    <w:t>原料的储存。</w:t>
                  </w:r>
                </w:p>
              </w:tc>
              <w:tc>
                <w:tcPr>
                  <w:tcW w:w="75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bCs/>
                      <w:color w:val="auto"/>
                      <w:sz w:val="21"/>
                      <w:szCs w:val="21"/>
                      <w:lang w:val="en-US" w:eastAsia="zh-CN"/>
                    </w:rPr>
                  </w:pPr>
                  <w:r>
                    <w:rPr>
                      <w:rFonts w:hint="eastAsia"/>
                      <w:bCs/>
                      <w:color w:val="auto"/>
                      <w:sz w:val="21"/>
                      <w:szCs w:val="21"/>
                      <w:lang w:val="en-US" w:eastAsia="zh-CN"/>
                    </w:rPr>
                    <w:t>可行</w:t>
                  </w:r>
                </w:p>
              </w:tc>
            </w:tr>
          </w:tbl>
          <w:p>
            <w:pPr>
              <w:bidi w:val="0"/>
              <w:rPr>
                <w:rFonts w:hint="default"/>
                <w:b/>
                <w:bCs/>
                <w:color w:val="auto"/>
              </w:rPr>
            </w:pPr>
            <w:r>
              <w:rPr>
                <w:rFonts w:hint="eastAsia"/>
                <w:b/>
                <w:bCs/>
                <w:color w:val="auto"/>
                <w:lang w:val="en-US" w:eastAsia="zh-CN"/>
              </w:rPr>
              <w:t>3.2</w:t>
            </w:r>
            <w:r>
              <w:rPr>
                <w:rFonts w:hint="default"/>
                <w:b/>
                <w:bCs/>
                <w:color w:val="auto"/>
                <w:lang w:val="en-US" w:eastAsia="zh-CN"/>
              </w:rPr>
              <w:t xml:space="preserve"> </w:t>
            </w:r>
            <w:r>
              <w:rPr>
                <w:rFonts w:hint="default"/>
                <w:b/>
                <w:bCs/>
                <w:color w:val="auto"/>
              </w:rPr>
              <w:t>主要设备及参数</w:t>
            </w:r>
          </w:p>
          <w:p>
            <w:pPr>
              <w:ind w:firstLine="480"/>
              <w:rPr>
                <w:rFonts w:hint="default" w:ascii="Times New Roman" w:hAnsi="Times New Roman" w:eastAsia="宋体" w:cs="Times New Roman"/>
                <w:color w:val="auto"/>
              </w:rPr>
            </w:pPr>
            <w:r>
              <w:rPr>
                <w:rFonts w:hint="eastAsia"/>
                <w:color w:val="auto"/>
                <w:lang w:val="en-US" w:eastAsia="zh-CN"/>
              </w:rPr>
              <w:t>扩建</w:t>
            </w:r>
            <w:r>
              <w:rPr>
                <w:rFonts w:hint="default" w:ascii="Times New Roman" w:hAnsi="Times New Roman" w:eastAsia="宋体" w:cs="Times New Roman"/>
                <w:color w:val="auto"/>
              </w:rPr>
              <w:t>项目生产设备见表</w:t>
            </w:r>
            <w:r>
              <w:rPr>
                <w:rFonts w:hint="eastAsia" w:cs="Times New Roman"/>
                <w:color w:val="auto"/>
                <w:lang w:val="en-US" w:eastAsia="zh-CN"/>
              </w:rPr>
              <w:t>19</w:t>
            </w:r>
            <w:r>
              <w:rPr>
                <w:rFonts w:hint="default" w:ascii="Times New Roman" w:hAnsi="Times New Roman" w:eastAsia="宋体" w:cs="Times New Roman"/>
                <w:color w:val="auto"/>
              </w:rPr>
              <w:t>。</w:t>
            </w:r>
          </w:p>
          <w:p>
            <w:pPr>
              <w:bidi w:val="0"/>
              <w:jc w:val="center"/>
              <w:rPr>
                <w:rFonts w:hint="default"/>
                <w:b/>
                <w:bCs/>
                <w:color w:val="auto"/>
              </w:rPr>
            </w:pPr>
            <w:r>
              <w:rPr>
                <w:rFonts w:hint="default"/>
                <w:b/>
                <w:bCs/>
                <w:color w:val="auto"/>
              </w:rPr>
              <w:t>表</w:t>
            </w:r>
            <w:r>
              <w:rPr>
                <w:rFonts w:hint="eastAsia"/>
                <w:b/>
                <w:bCs/>
                <w:color w:val="auto"/>
                <w:lang w:val="en-US" w:eastAsia="zh-CN"/>
              </w:rPr>
              <w:t xml:space="preserve">19  </w:t>
            </w:r>
            <w:r>
              <w:rPr>
                <w:rFonts w:hint="default"/>
                <w:b/>
                <w:bCs/>
                <w:color w:val="auto"/>
              </w:rPr>
              <w:t>主要设施一览表</w:t>
            </w:r>
          </w:p>
          <w:tbl>
            <w:tblPr>
              <w:tblStyle w:val="18"/>
              <w:tblW w:w="785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03"/>
              <w:gridCol w:w="2181"/>
              <w:gridCol w:w="1848"/>
              <w:gridCol w:w="1404"/>
              <w:gridCol w:w="16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7" w:hRule="atLeast"/>
                <w:jc w:val="center"/>
              </w:trPr>
              <w:tc>
                <w:tcPr>
                  <w:tcW w:w="803" w:type="dxa"/>
                  <w:tcBorders>
                    <w:tl2br w:val="nil"/>
                    <w:tr2bl w:val="nil"/>
                  </w:tcBorders>
                </w:tcPr>
                <w:p>
                  <w:pPr>
                    <w:ind w:left="0" w:leftChars="0" w:firstLine="0" w:firstLineChars="0"/>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序号</w:t>
                  </w:r>
                </w:p>
              </w:tc>
              <w:tc>
                <w:tcPr>
                  <w:tcW w:w="2181" w:type="dxa"/>
                  <w:tcBorders>
                    <w:tl2br w:val="nil"/>
                    <w:tr2bl w:val="nil"/>
                  </w:tcBorders>
                </w:tcPr>
                <w:p>
                  <w:pPr>
                    <w:ind w:left="0" w:leftChars="0" w:firstLine="0" w:firstLineChars="0"/>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设备名称</w:t>
                  </w:r>
                </w:p>
              </w:tc>
              <w:tc>
                <w:tcPr>
                  <w:tcW w:w="1848" w:type="dxa"/>
                  <w:tcBorders>
                    <w:tl2br w:val="nil"/>
                    <w:tr2bl w:val="nil"/>
                  </w:tcBorders>
                </w:tcPr>
                <w:p>
                  <w:pPr>
                    <w:ind w:left="0" w:leftChars="0" w:firstLine="0" w:firstLineChars="0"/>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型号</w:t>
                  </w:r>
                </w:p>
              </w:tc>
              <w:tc>
                <w:tcPr>
                  <w:tcW w:w="1404" w:type="dxa"/>
                  <w:tcBorders>
                    <w:tl2br w:val="nil"/>
                    <w:tr2bl w:val="nil"/>
                  </w:tcBorders>
                </w:tcPr>
                <w:p>
                  <w:pPr>
                    <w:ind w:left="0" w:leftChars="0" w:firstLine="0" w:firstLineChars="0"/>
                    <w:jc w:val="center"/>
                    <w:rPr>
                      <w:rFonts w:hint="default"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t>单位</w:t>
                  </w:r>
                </w:p>
              </w:tc>
              <w:tc>
                <w:tcPr>
                  <w:tcW w:w="1622" w:type="dxa"/>
                  <w:tcBorders>
                    <w:tl2br w:val="nil"/>
                    <w:tr2bl w:val="nil"/>
                  </w:tcBorders>
                </w:tcPr>
                <w:p>
                  <w:pPr>
                    <w:ind w:left="0" w:leftChars="0" w:firstLine="0" w:firstLineChars="0"/>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7" w:hRule="atLeast"/>
                <w:jc w:val="center"/>
              </w:trPr>
              <w:tc>
                <w:tcPr>
                  <w:tcW w:w="803" w:type="dxa"/>
                  <w:tcBorders>
                    <w:tl2br w:val="nil"/>
                    <w:tr2bl w:val="nil"/>
                  </w:tcBorders>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w:t>
                  </w:r>
                </w:p>
              </w:tc>
              <w:tc>
                <w:tcPr>
                  <w:tcW w:w="2181"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切胶机</w:t>
                  </w:r>
                </w:p>
              </w:tc>
              <w:tc>
                <w:tcPr>
                  <w:tcW w:w="1848"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XQ-8</w:t>
                  </w:r>
                </w:p>
              </w:tc>
              <w:tc>
                <w:tcPr>
                  <w:tcW w:w="1404"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台</w:t>
                  </w:r>
                </w:p>
              </w:tc>
              <w:tc>
                <w:tcPr>
                  <w:tcW w:w="1622"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7" w:hRule="atLeast"/>
                <w:jc w:val="center"/>
              </w:trPr>
              <w:tc>
                <w:tcPr>
                  <w:tcW w:w="803" w:type="dxa"/>
                  <w:tcBorders>
                    <w:tl2br w:val="nil"/>
                    <w:tr2bl w:val="nil"/>
                  </w:tcBorders>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w:t>
                  </w:r>
                </w:p>
              </w:tc>
              <w:tc>
                <w:tcPr>
                  <w:tcW w:w="2181"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破胶机</w:t>
                  </w:r>
                </w:p>
              </w:tc>
              <w:tc>
                <w:tcPr>
                  <w:tcW w:w="1848"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LP1200</w:t>
                  </w:r>
                </w:p>
              </w:tc>
              <w:tc>
                <w:tcPr>
                  <w:tcW w:w="1404"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台</w:t>
                  </w:r>
                </w:p>
              </w:tc>
              <w:tc>
                <w:tcPr>
                  <w:tcW w:w="1622"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7" w:hRule="atLeast"/>
                <w:jc w:val="center"/>
              </w:trPr>
              <w:tc>
                <w:tcPr>
                  <w:tcW w:w="803" w:type="dxa"/>
                  <w:tcBorders>
                    <w:tl2br w:val="nil"/>
                    <w:tr2bl w:val="nil"/>
                  </w:tcBorders>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3</w:t>
                  </w:r>
                </w:p>
              </w:tc>
              <w:tc>
                <w:tcPr>
                  <w:tcW w:w="2181"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振动筛</w:t>
                  </w:r>
                </w:p>
              </w:tc>
              <w:tc>
                <w:tcPr>
                  <w:tcW w:w="1848"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ZDS1200-30</w:t>
                  </w:r>
                </w:p>
              </w:tc>
              <w:tc>
                <w:tcPr>
                  <w:tcW w:w="1404"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台</w:t>
                  </w:r>
                </w:p>
              </w:tc>
              <w:tc>
                <w:tcPr>
                  <w:tcW w:w="1622"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6" w:hRule="atLeast"/>
                <w:jc w:val="center"/>
              </w:trPr>
              <w:tc>
                <w:tcPr>
                  <w:tcW w:w="803" w:type="dxa"/>
                  <w:tcBorders>
                    <w:tl2br w:val="nil"/>
                    <w:tr2bl w:val="nil"/>
                  </w:tcBorders>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4</w:t>
                  </w:r>
                </w:p>
              </w:tc>
              <w:tc>
                <w:tcPr>
                  <w:tcW w:w="2181"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磁选机</w:t>
                  </w:r>
                </w:p>
              </w:tc>
              <w:tc>
                <w:tcPr>
                  <w:tcW w:w="1848"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CX300</w:t>
                  </w:r>
                </w:p>
              </w:tc>
              <w:tc>
                <w:tcPr>
                  <w:tcW w:w="1404"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台</w:t>
                  </w:r>
                </w:p>
              </w:tc>
              <w:tc>
                <w:tcPr>
                  <w:tcW w:w="1622" w:type="dxa"/>
                  <w:tcBorders>
                    <w:tl2br w:val="nil"/>
                    <w:tr2bl w:val="nil"/>
                  </w:tcBorders>
                  <w:vAlign w:val="center"/>
                </w:tcPr>
                <w:p>
                  <w:pPr>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5</w:t>
                  </w:r>
                </w:p>
              </w:tc>
            </w:tr>
          </w:tbl>
          <w:p>
            <w:pPr>
              <w:bidi w:val="0"/>
              <w:rPr>
                <w:rFonts w:hint="eastAsia" w:eastAsia="宋体"/>
                <w:b/>
                <w:bCs/>
                <w:color w:val="auto"/>
                <w:lang w:eastAsia="zh-CN"/>
              </w:rPr>
            </w:pPr>
            <w:r>
              <w:rPr>
                <w:rFonts w:hint="eastAsia"/>
                <w:b/>
                <w:bCs/>
                <w:color w:val="auto"/>
                <w:lang w:val="en-US" w:eastAsia="zh-CN"/>
              </w:rPr>
              <w:t xml:space="preserve">3.3 </w:t>
            </w:r>
            <w:r>
              <w:rPr>
                <w:rFonts w:hint="eastAsia"/>
                <w:b/>
                <w:bCs/>
                <w:color w:val="auto"/>
                <w:lang w:eastAsia="zh-CN"/>
              </w:rPr>
              <w:t>主要原辅材料及</w:t>
            </w:r>
            <w:r>
              <w:rPr>
                <w:rFonts w:hint="eastAsia"/>
                <w:b/>
                <w:bCs/>
                <w:color w:val="auto"/>
                <w:lang w:val="en-US" w:eastAsia="zh-CN"/>
              </w:rPr>
              <w:t>能源消耗情况、</w:t>
            </w:r>
            <w:r>
              <w:rPr>
                <w:rFonts w:hint="eastAsia"/>
                <w:b/>
                <w:bCs/>
                <w:color w:val="auto"/>
                <w:lang w:eastAsia="zh-CN"/>
              </w:rPr>
              <w:t>物料平衡</w:t>
            </w:r>
          </w:p>
          <w:p>
            <w:pPr>
              <w:bidi w:val="0"/>
              <w:rPr>
                <w:rFonts w:hint="default"/>
                <w:color w:val="auto"/>
                <w:lang w:val="en-US" w:eastAsia="zh-CN"/>
              </w:rPr>
            </w:pPr>
            <w:r>
              <w:rPr>
                <w:rFonts w:hint="eastAsia"/>
                <w:color w:val="auto"/>
                <w:lang w:val="en-US" w:eastAsia="zh-CN"/>
              </w:rPr>
              <w:t>（1）原辅材料及能源消耗情况</w:t>
            </w:r>
          </w:p>
          <w:p>
            <w:pPr>
              <w:bidi w:val="0"/>
              <w:rPr>
                <w:rFonts w:hint="default"/>
                <w:color w:val="auto"/>
                <w:lang w:val="en-US" w:eastAsia="zh-CN"/>
              </w:rPr>
            </w:pPr>
            <w:r>
              <w:rPr>
                <w:rFonts w:hint="eastAsia"/>
                <w:color w:val="auto"/>
                <w:lang w:val="en-US" w:eastAsia="zh-CN"/>
              </w:rPr>
              <w:t>扩建项目原辅材料及能源消耗情况见下表20。</w:t>
            </w:r>
          </w:p>
          <w:p>
            <w:pPr>
              <w:bidi w:val="0"/>
              <w:jc w:val="center"/>
              <w:rPr>
                <w:rFonts w:hint="default"/>
                <w:b/>
                <w:bCs/>
                <w:color w:val="auto"/>
                <w:lang w:val="en-US" w:eastAsia="zh-CN"/>
              </w:rPr>
            </w:pPr>
            <w:r>
              <w:rPr>
                <w:rFonts w:hint="eastAsia"/>
                <w:b/>
                <w:bCs/>
                <w:color w:val="auto"/>
                <w:lang w:val="en-US" w:eastAsia="zh-CN"/>
              </w:rPr>
              <w:t>表20   原辅材料及能源消耗情况</w:t>
            </w:r>
          </w:p>
          <w:tbl>
            <w:tblPr>
              <w:tblStyle w:val="18"/>
              <w:tblW w:w="7961"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83"/>
              <w:gridCol w:w="1200"/>
              <w:gridCol w:w="1682"/>
              <w:gridCol w:w="1438"/>
              <w:gridCol w:w="28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序号</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名称</w:t>
                  </w:r>
                </w:p>
              </w:tc>
              <w:tc>
                <w:tcPr>
                  <w:tcW w:w="16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消耗量</w:t>
                  </w:r>
                </w:p>
              </w:tc>
              <w:tc>
                <w:tcPr>
                  <w:tcW w:w="14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最大储存量</w:t>
                  </w:r>
                </w:p>
              </w:tc>
              <w:tc>
                <w:tcPr>
                  <w:tcW w:w="28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储存方式/来源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1</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废旧轮胎</w:t>
                  </w:r>
                </w:p>
              </w:tc>
              <w:tc>
                <w:tcPr>
                  <w:tcW w:w="16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27000t/a</w:t>
                  </w:r>
                </w:p>
              </w:tc>
              <w:tc>
                <w:tcPr>
                  <w:tcW w:w="14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500t/a</w:t>
                  </w:r>
                </w:p>
              </w:tc>
              <w:tc>
                <w:tcPr>
                  <w:tcW w:w="28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存放于再生胶车间原料库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水</w:t>
                  </w:r>
                </w:p>
              </w:tc>
              <w:tc>
                <w:tcPr>
                  <w:tcW w:w="16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3000m</w:t>
                  </w:r>
                  <w:r>
                    <w:rPr>
                      <w:rFonts w:hint="eastAsia"/>
                      <w:color w:val="auto"/>
                      <w:sz w:val="21"/>
                      <w:szCs w:val="21"/>
                      <w:vertAlign w:val="superscript"/>
                      <w:lang w:val="en-US" w:eastAsia="zh-CN"/>
                    </w:rPr>
                    <w:t>3</w:t>
                  </w:r>
                  <w:r>
                    <w:rPr>
                      <w:rFonts w:hint="eastAsia"/>
                      <w:color w:val="auto"/>
                      <w:sz w:val="21"/>
                      <w:szCs w:val="21"/>
                      <w:vertAlign w:val="baseline"/>
                      <w:lang w:val="en-US" w:eastAsia="zh-CN"/>
                    </w:rPr>
                    <w:t>/a</w:t>
                  </w:r>
                </w:p>
              </w:tc>
              <w:tc>
                <w:tcPr>
                  <w:tcW w:w="14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c>
                <w:tcPr>
                  <w:tcW w:w="28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依托现有工程供水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电</w:t>
                  </w:r>
                </w:p>
              </w:tc>
              <w:tc>
                <w:tcPr>
                  <w:tcW w:w="16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283.61万kwh/a</w:t>
                  </w:r>
                </w:p>
              </w:tc>
              <w:tc>
                <w:tcPr>
                  <w:tcW w:w="14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28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依托现有工程供电</w:t>
                  </w:r>
                </w:p>
              </w:tc>
            </w:tr>
          </w:tbl>
          <w:p>
            <w:pPr>
              <w:bidi w:val="0"/>
              <w:rPr>
                <w:rFonts w:hint="default"/>
                <w:color w:val="auto"/>
                <w:lang w:val="en-US" w:eastAsia="zh-CN"/>
              </w:rPr>
            </w:pPr>
            <w:r>
              <w:rPr>
                <w:rFonts w:hint="eastAsia"/>
                <w:color w:val="auto"/>
                <w:lang w:val="en-US" w:eastAsia="zh-CN"/>
              </w:rPr>
              <w:t>（2）物料平衡</w:t>
            </w:r>
          </w:p>
          <w:p>
            <w:pPr>
              <w:bidi w:val="0"/>
              <w:rPr>
                <w:rFonts w:hint="default"/>
                <w:color w:val="auto"/>
                <w:lang w:val="en-US" w:eastAsia="zh-CN"/>
              </w:rPr>
            </w:pPr>
            <w:r>
              <w:rPr>
                <w:rFonts w:hint="eastAsia"/>
                <w:color w:val="auto"/>
                <w:lang w:val="en-US" w:eastAsia="zh-CN"/>
              </w:rPr>
              <w:t>扩建</w:t>
            </w:r>
            <w:r>
              <w:rPr>
                <w:rFonts w:hint="default"/>
                <w:color w:val="auto"/>
                <w:lang w:val="en-US" w:eastAsia="zh-CN"/>
              </w:rPr>
              <w:t>项目年产胶粉</w:t>
            </w:r>
            <w:r>
              <w:rPr>
                <w:rFonts w:hint="eastAsia"/>
                <w:color w:val="auto"/>
                <w:lang w:val="en-US" w:eastAsia="zh-CN"/>
              </w:rPr>
              <w:t>20000</w:t>
            </w:r>
            <w:r>
              <w:rPr>
                <w:rFonts w:hint="default"/>
                <w:color w:val="auto"/>
                <w:lang w:val="en-US" w:eastAsia="zh-CN"/>
              </w:rPr>
              <w:t>吨，年处理废旧轮胎2</w:t>
            </w:r>
            <w:r>
              <w:rPr>
                <w:rFonts w:hint="eastAsia"/>
                <w:color w:val="auto"/>
                <w:lang w:val="en-US" w:eastAsia="zh-CN"/>
              </w:rPr>
              <w:t>7000</w:t>
            </w:r>
            <w:r>
              <w:rPr>
                <w:rFonts w:hint="default"/>
                <w:color w:val="auto"/>
                <w:lang w:val="en-US" w:eastAsia="zh-CN"/>
              </w:rPr>
              <w:t>吨。由于</w:t>
            </w:r>
            <w:r>
              <w:rPr>
                <w:rFonts w:hint="eastAsia"/>
                <w:color w:val="auto"/>
                <w:lang w:val="en-US" w:eastAsia="zh-CN"/>
              </w:rPr>
              <w:t>扩建</w:t>
            </w:r>
            <w:r>
              <w:rPr>
                <w:rFonts w:hint="default"/>
                <w:color w:val="auto"/>
                <w:lang w:val="en-US" w:eastAsia="zh-CN"/>
              </w:rPr>
              <w:t>项目制粉工序为纯物理性过程，在切割、破碎、分筛及</w:t>
            </w:r>
            <w:r>
              <w:rPr>
                <w:rFonts w:hint="eastAsia"/>
                <w:color w:val="auto"/>
                <w:lang w:val="en-US" w:eastAsia="zh-CN"/>
              </w:rPr>
              <w:t>磁选</w:t>
            </w:r>
            <w:r>
              <w:rPr>
                <w:rFonts w:hint="default"/>
                <w:color w:val="auto"/>
                <w:lang w:val="en-US" w:eastAsia="zh-CN"/>
              </w:rPr>
              <w:t>等工序，物料均不发生化学反应，仅在工作过程中由于挤压或摩擦有少量热量产生，但整个生产过程中橡胶不存在分解，不会产生橡胶的分解废气。因此废气主要为破碎</w:t>
            </w:r>
            <w:r>
              <w:rPr>
                <w:rFonts w:hint="eastAsia"/>
                <w:color w:val="auto"/>
                <w:lang w:val="en-US" w:eastAsia="zh-CN"/>
              </w:rPr>
              <w:t>筛分</w:t>
            </w:r>
            <w:r>
              <w:rPr>
                <w:rFonts w:hint="default"/>
                <w:color w:val="auto"/>
                <w:lang w:val="en-US" w:eastAsia="zh-CN"/>
              </w:rPr>
              <w:t>工序产生的粉尘。</w:t>
            </w:r>
          </w:p>
          <w:p>
            <w:pPr>
              <w:bidi w:val="0"/>
              <w:rPr>
                <w:rFonts w:hint="default"/>
                <w:color w:val="auto"/>
                <w:lang w:val="en-US" w:eastAsia="zh-CN"/>
              </w:rPr>
            </w:pPr>
            <w:r>
              <w:rPr>
                <w:rFonts w:hint="eastAsia"/>
                <w:color w:val="auto"/>
                <w:lang w:val="en-US" w:eastAsia="zh-CN"/>
              </w:rPr>
              <w:t>扩建</w:t>
            </w:r>
            <w:r>
              <w:rPr>
                <w:rFonts w:hint="default"/>
                <w:color w:val="auto"/>
                <w:lang w:val="en-US" w:eastAsia="zh-CN"/>
              </w:rPr>
              <w:t>项目胶粉生产物料平衡表如下:</w:t>
            </w:r>
          </w:p>
          <w:p>
            <w:pPr>
              <w:tabs>
                <w:tab w:val="left" w:pos="1315"/>
              </w:tabs>
              <w:bidi w:val="0"/>
              <w:jc w:val="center"/>
              <w:rPr>
                <w:rFonts w:hint="default"/>
                <w:b/>
                <w:bCs/>
                <w:color w:val="auto"/>
                <w:lang w:val="en-US" w:eastAsia="zh-CN"/>
              </w:rPr>
            </w:pPr>
            <w:r>
              <w:rPr>
                <w:rFonts w:hint="eastAsia"/>
                <w:b/>
                <w:bCs/>
                <w:color w:val="auto"/>
                <w:lang w:val="en-US" w:eastAsia="zh-CN"/>
              </w:rPr>
              <w:t>表21  物料平衡内容一览表</w:t>
            </w:r>
          </w:p>
          <w:tbl>
            <w:tblPr>
              <w:tblStyle w:val="18"/>
              <w:tblW w:w="7961"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90"/>
              <w:gridCol w:w="1598"/>
              <w:gridCol w:w="2382"/>
              <w:gridCol w:w="199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3588" w:type="dxa"/>
                  <w:gridSpan w:val="2"/>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投入（t/a）</w:t>
                  </w:r>
                </w:p>
              </w:tc>
              <w:tc>
                <w:tcPr>
                  <w:tcW w:w="4373" w:type="dxa"/>
                  <w:gridSpan w:val="2"/>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产出（t/a）</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90"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项目名称</w:t>
                  </w:r>
                </w:p>
              </w:tc>
              <w:tc>
                <w:tcPr>
                  <w:tcW w:w="1598"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p>
              </w:tc>
              <w:tc>
                <w:tcPr>
                  <w:tcW w:w="2382"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胶粉</w:t>
                  </w:r>
                </w:p>
              </w:tc>
              <w:tc>
                <w:tcPr>
                  <w:tcW w:w="1991"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9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vertAlign w:val="baseline"/>
                      <w:lang w:val="en-US" w:eastAsia="zh-CN" w:bidi="ar-SA"/>
                    </w:rPr>
                  </w:pPr>
                  <w:r>
                    <w:rPr>
                      <w:rFonts w:hint="eastAsia"/>
                      <w:color w:val="auto"/>
                      <w:sz w:val="21"/>
                      <w:szCs w:val="21"/>
                      <w:vertAlign w:val="baseline"/>
                      <w:lang w:val="en-US" w:eastAsia="zh-CN"/>
                    </w:rPr>
                    <w:t>废旧轮胎</w:t>
                  </w:r>
                </w:p>
              </w:tc>
              <w:tc>
                <w:tcPr>
                  <w:tcW w:w="15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vertAlign w:val="baseline"/>
                      <w:lang w:val="en-US" w:eastAsia="zh-CN" w:bidi="ar-SA"/>
                    </w:rPr>
                  </w:pPr>
                  <w:r>
                    <w:rPr>
                      <w:rFonts w:hint="eastAsia"/>
                      <w:color w:val="auto"/>
                      <w:sz w:val="21"/>
                      <w:szCs w:val="21"/>
                      <w:vertAlign w:val="baseline"/>
                      <w:lang w:val="en-US" w:eastAsia="zh-CN"/>
                    </w:rPr>
                    <w:t>27000</w:t>
                  </w:r>
                </w:p>
              </w:tc>
              <w:tc>
                <w:tcPr>
                  <w:tcW w:w="2382"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废钢丝</w:t>
                  </w:r>
                </w:p>
              </w:tc>
              <w:tc>
                <w:tcPr>
                  <w:tcW w:w="199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6980.758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9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vertAlign w:val="baseline"/>
                      <w:lang w:val="en-US" w:eastAsia="zh-CN" w:bidi="ar-SA"/>
                    </w:rPr>
                  </w:pPr>
                  <w:r>
                    <w:rPr>
                      <w:rFonts w:hint="eastAsia"/>
                      <w:color w:val="auto"/>
                      <w:sz w:val="21"/>
                      <w:szCs w:val="21"/>
                      <w:vertAlign w:val="baseline"/>
                      <w:lang w:val="en-US" w:eastAsia="zh-CN"/>
                    </w:rPr>
                    <w:t>/</w:t>
                  </w:r>
                </w:p>
              </w:tc>
              <w:tc>
                <w:tcPr>
                  <w:tcW w:w="15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vertAlign w:val="baseline"/>
                      <w:lang w:val="en-US" w:eastAsia="zh-CN" w:bidi="ar-SA"/>
                    </w:rPr>
                  </w:pPr>
                  <w:r>
                    <w:rPr>
                      <w:rFonts w:hint="eastAsia"/>
                      <w:color w:val="auto"/>
                      <w:sz w:val="21"/>
                      <w:szCs w:val="21"/>
                      <w:vertAlign w:val="baseline"/>
                      <w:lang w:val="en-US" w:eastAsia="zh-CN"/>
                    </w:rPr>
                    <w:t>/</w:t>
                  </w:r>
                </w:p>
              </w:tc>
              <w:tc>
                <w:tcPr>
                  <w:tcW w:w="2382"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废纤维</w:t>
                  </w:r>
                </w:p>
              </w:tc>
              <w:tc>
                <w:tcPr>
                  <w:tcW w:w="1991" w:type="dxa"/>
                  <w:vMerge w:val="continue"/>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9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vertAlign w:val="baseline"/>
                      <w:lang w:val="en-US" w:eastAsia="zh-CN" w:bidi="ar-SA"/>
                    </w:rPr>
                  </w:pPr>
                  <w:r>
                    <w:rPr>
                      <w:rFonts w:hint="eastAsia"/>
                      <w:color w:val="auto"/>
                      <w:sz w:val="21"/>
                      <w:szCs w:val="21"/>
                      <w:vertAlign w:val="baseline"/>
                      <w:lang w:val="en-US" w:eastAsia="zh-CN"/>
                    </w:rPr>
                    <w:t>/</w:t>
                  </w:r>
                </w:p>
              </w:tc>
              <w:tc>
                <w:tcPr>
                  <w:tcW w:w="15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vertAlign w:val="baseline"/>
                      <w:lang w:val="en-US" w:eastAsia="zh-CN" w:bidi="ar-SA"/>
                    </w:rPr>
                  </w:pPr>
                  <w:r>
                    <w:rPr>
                      <w:rFonts w:hint="eastAsia"/>
                      <w:color w:val="auto"/>
                      <w:sz w:val="21"/>
                      <w:szCs w:val="21"/>
                      <w:vertAlign w:val="baseline"/>
                      <w:lang w:val="en-US" w:eastAsia="zh-CN"/>
                    </w:rPr>
                    <w:t>/</w:t>
                  </w:r>
                </w:p>
              </w:tc>
              <w:tc>
                <w:tcPr>
                  <w:tcW w:w="2382"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破碎筛分废气</w:t>
                  </w:r>
                </w:p>
              </w:tc>
              <w:tc>
                <w:tcPr>
                  <w:tcW w:w="1991"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0.192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9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vertAlign w:val="baseline"/>
                      <w:lang w:val="en-US" w:eastAsia="zh-CN" w:bidi="ar-SA"/>
                    </w:rPr>
                  </w:pPr>
                  <w:r>
                    <w:rPr>
                      <w:rFonts w:hint="eastAsia"/>
                      <w:color w:val="auto"/>
                      <w:sz w:val="21"/>
                      <w:szCs w:val="21"/>
                      <w:vertAlign w:val="baseline"/>
                      <w:lang w:val="en-US" w:eastAsia="zh-CN"/>
                    </w:rPr>
                    <w:t>/</w:t>
                  </w:r>
                </w:p>
              </w:tc>
              <w:tc>
                <w:tcPr>
                  <w:tcW w:w="159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color w:val="auto"/>
                      <w:kern w:val="2"/>
                      <w:sz w:val="21"/>
                      <w:szCs w:val="21"/>
                      <w:vertAlign w:val="baseline"/>
                      <w:lang w:val="en-US" w:eastAsia="zh-CN" w:bidi="ar-SA"/>
                    </w:rPr>
                  </w:pPr>
                  <w:r>
                    <w:rPr>
                      <w:rFonts w:hint="eastAsia"/>
                      <w:color w:val="auto"/>
                      <w:sz w:val="21"/>
                      <w:szCs w:val="21"/>
                      <w:vertAlign w:val="baseline"/>
                      <w:lang w:val="en-US" w:eastAsia="zh-CN"/>
                    </w:rPr>
                    <w:t>/</w:t>
                  </w:r>
                </w:p>
              </w:tc>
              <w:tc>
                <w:tcPr>
                  <w:tcW w:w="2382"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循环水池沉渣</w:t>
                  </w:r>
                </w:p>
              </w:tc>
              <w:tc>
                <w:tcPr>
                  <w:tcW w:w="1991"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19.05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90"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合计</w:t>
                  </w:r>
                </w:p>
              </w:tc>
              <w:tc>
                <w:tcPr>
                  <w:tcW w:w="1598"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27000</w:t>
                  </w:r>
                </w:p>
              </w:tc>
              <w:tc>
                <w:tcPr>
                  <w:tcW w:w="2382"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合计</w:t>
                  </w:r>
                </w:p>
              </w:tc>
              <w:tc>
                <w:tcPr>
                  <w:tcW w:w="1991"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27000</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lang w:val="en-US" w:eastAsia="zh-CN"/>
              </w:rPr>
            </w:pPr>
            <w:r>
              <w:rPr>
                <w:rFonts w:hint="eastAsia"/>
                <w:b/>
                <w:bCs/>
                <w:color w:val="auto"/>
                <w:lang w:val="en-US" w:eastAsia="zh-CN"/>
              </w:rPr>
              <w:object>
                <v:shape id="_x0000_i1030" o:spt="75" type="#_x0000_t75" style="height:259.5pt;width:267.75pt;" o:ole="t" filled="f" o:preferrelative="t" stroked="f" coordsize="21600,21600">
                  <v:path/>
                  <v:fill on="f" focussize="0,0"/>
                  <v:stroke on="f"/>
                  <v:imagedata r:id="rId21" o:title=""/>
                  <o:lock v:ext="edit" aspectratio="f"/>
                  <w10:wrap type="none"/>
                  <w10:anchorlock/>
                </v:shape>
                <o:OLEObject Type="Embed" ProgID="Visio.Drawing.11" ShapeID="_x0000_i1030" DrawAspect="Content" ObjectID="_1468075730" r:id="rId20">
                  <o:LockedField>false</o:LockedField>
                </o:OLEObject>
              </w:object>
            </w:r>
          </w:p>
          <w:p>
            <w:pPr>
              <w:bidi w:val="0"/>
              <w:jc w:val="center"/>
              <w:rPr>
                <w:rFonts w:hint="default"/>
                <w:b/>
                <w:bCs/>
                <w:color w:val="auto"/>
                <w:lang w:val="en-US" w:eastAsia="zh-CN"/>
              </w:rPr>
            </w:pPr>
            <w:r>
              <w:rPr>
                <w:rFonts w:hint="eastAsia"/>
                <w:b/>
                <w:bCs/>
                <w:color w:val="auto"/>
                <w:lang w:val="en-US" w:eastAsia="zh-CN"/>
              </w:rPr>
              <w:t>图6  物料平衡图   单位t/a</w:t>
            </w:r>
          </w:p>
          <w:p>
            <w:pPr>
              <w:bidi w:val="0"/>
              <w:rPr>
                <w:rFonts w:hint="default" w:eastAsia="宋体"/>
                <w:b/>
                <w:bCs/>
                <w:color w:val="auto"/>
                <w:lang w:val="en-US" w:eastAsia="zh-CN"/>
              </w:rPr>
            </w:pPr>
            <w:r>
              <w:rPr>
                <w:rFonts w:hint="eastAsia"/>
                <w:b/>
                <w:bCs/>
                <w:color w:val="auto"/>
                <w:lang w:val="en-US" w:eastAsia="zh-CN"/>
              </w:rPr>
              <w:t>3.4公用工程</w:t>
            </w:r>
          </w:p>
          <w:p>
            <w:pPr>
              <w:bidi w:val="0"/>
              <w:rPr>
                <w:rFonts w:hint="default" w:eastAsia="宋体"/>
                <w:color w:val="auto"/>
                <w:lang w:val="en-US" w:eastAsia="zh-CN"/>
              </w:rPr>
            </w:pPr>
            <w:r>
              <w:rPr>
                <w:rFonts w:hint="eastAsia"/>
                <w:b/>
                <w:bCs/>
                <w:color w:val="auto"/>
                <w:lang w:val="en-US" w:eastAsia="zh-CN"/>
              </w:rPr>
              <w:t>3.4.1给水</w:t>
            </w:r>
          </w:p>
          <w:p>
            <w:pPr>
              <w:bidi w:val="0"/>
              <w:rPr>
                <w:rFonts w:hint="eastAsia"/>
                <w:color w:val="auto"/>
                <w:lang w:val="en-US" w:eastAsia="zh-CN"/>
              </w:rPr>
            </w:pPr>
            <w:r>
              <w:rPr>
                <w:rFonts w:hint="eastAsia"/>
                <w:color w:val="auto"/>
                <w:lang w:val="en-US" w:eastAsia="zh-CN"/>
              </w:rPr>
              <w:t>扩建项目不新增劳动定员，因此不新增生活用水。</w:t>
            </w:r>
          </w:p>
          <w:p>
            <w:pPr>
              <w:bidi w:val="0"/>
              <w:rPr>
                <w:rFonts w:hint="eastAsia"/>
                <w:color w:val="auto"/>
                <w:lang w:val="en-US" w:eastAsia="zh-CN"/>
              </w:rPr>
            </w:pPr>
            <w:r>
              <w:rPr>
                <w:rFonts w:hint="eastAsia"/>
                <w:color w:val="auto"/>
                <w:lang w:val="en-US" w:eastAsia="zh-CN"/>
              </w:rPr>
              <w:t>根据企业提供的资料可知，扩建项目建成后新鲜水总用水量为10m</w:t>
            </w:r>
            <w:r>
              <w:rPr>
                <w:rFonts w:hint="eastAsia"/>
                <w:color w:val="auto"/>
                <w:vertAlign w:val="superscript"/>
                <w:lang w:val="en-US" w:eastAsia="zh-CN"/>
              </w:rPr>
              <w:t>3</w:t>
            </w:r>
            <w:r>
              <w:rPr>
                <w:rFonts w:hint="eastAsia"/>
                <w:color w:val="auto"/>
                <w:lang w:val="en-US" w:eastAsia="zh-CN"/>
              </w:rPr>
              <w:t>/d（3000m</w:t>
            </w:r>
            <w:r>
              <w:rPr>
                <w:rFonts w:hint="eastAsia"/>
                <w:color w:val="auto"/>
                <w:vertAlign w:val="superscript"/>
                <w:lang w:val="en-US" w:eastAsia="zh-CN"/>
              </w:rPr>
              <w:t>3</w:t>
            </w:r>
            <w:r>
              <w:rPr>
                <w:rFonts w:hint="eastAsia"/>
                <w:color w:val="auto"/>
                <w:lang w:val="en-US" w:eastAsia="zh-CN"/>
              </w:rPr>
              <w:t>/a），包括生产设备冷却水定期补水和水喷淋塔定期补水。生产设备冷却水循环使用，由于循环用水中后期盐碱度增高的问题，需要定期排水，且在使用过程中自然蒸发损耗，因此补水量为2m</w:t>
            </w:r>
            <w:r>
              <w:rPr>
                <w:rFonts w:hint="eastAsia"/>
                <w:color w:val="auto"/>
                <w:vertAlign w:val="superscript"/>
                <w:lang w:val="en-US" w:eastAsia="zh-CN"/>
              </w:rPr>
              <w:t>3</w:t>
            </w:r>
            <w:r>
              <w:rPr>
                <w:rFonts w:hint="eastAsia"/>
                <w:color w:val="auto"/>
                <w:lang w:val="en-US" w:eastAsia="zh-CN"/>
              </w:rPr>
              <w:t>/d（600m</w:t>
            </w:r>
            <w:r>
              <w:rPr>
                <w:rFonts w:hint="eastAsia"/>
                <w:color w:val="auto"/>
                <w:vertAlign w:val="superscript"/>
                <w:lang w:val="en-US" w:eastAsia="zh-CN"/>
              </w:rPr>
              <w:t>3</w:t>
            </w:r>
            <w:r>
              <w:rPr>
                <w:rFonts w:hint="eastAsia"/>
                <w:color w:val="auto"/>
                <w:lang w:val="en-US" w:eastAsia="zh-CN"/>
              </w:rPr>
              <w:t>/a）；水喷淋塔用水循环使用，因蒸发损耗，需要定期补水，补水量为8m</w:t>
            </w:r>
            <w:r>
              <w:rPr>
                <w:rFonts w:hint="eastAsia"/>
                <w:color w:val="auto"/>
                <w:vertAlign w:val="superscript"/>
                <w:lang w:val="en-US" w:eastAsia="zh-CN"/>
              </w:rPr>
              <w:t>3</w:t>
            </w:r>
            <w:r>
              <w:rPr>
                <w:rFonts w:hint="eastAsia"/>
                <w:color w:val="auto"/>
                <w:lang w:val="en-US" w:eastAsia="zh-CN"/>
              </w:rPr>
              <w:t>/d（2400m</w:t>
            </w:r>
            <w:r>
              <w:rPr>
                <w:rFonts w:hint="eastAsia"/>
                <w:color w:val="auto"/>
                <w:vertAlign w:val="superscript"/>
                <w:lang w:val="en-US" w:eastAsia="zh-CN"/>
              </w:rPr>
              <w:t>3</w:t>
            </w:r>
            <w:r>
              <w:rPr>
                <w:rFonts w:hint="eastAsia"/>
                <w:color w:val="auto"/>
                <w:lang w:val="en-US" w:eastAsia="zh-CN"/>
              </w:rPr>
              <w:t>/a）。</w:t>
            </w:r>
          </w:p>
          <w:p>
            <w:pPr>
              <w:bidi w:val="0"/>
              <w:rPr>
                <w:rFonts w:hint="default" w:eastAsia="宋体"/>
                <w:b/>
                <w:bCs/>
                <w:color w:val="auto"/>
                <w:lang w:val="en-US" w:eastAsia="zh-CN"/>
              </w:rPr>
            </w:pPr>
            <w:r>
              <w:rPr>
                <w:rFonts w:hint="eastAsia"/>
                <w:b/>
                <w:bCs/>
                <w:color w:val="auto"/>
                <w:lang w:val="en-US" w:eastAsia="zh-CN"/>
              </w:rPr>
              <w:t>3.4.2排水</w:t>
            </w:r>
          </w:p>
          <w:p>
            <w:pPr>
              <w:bidi w:val="0"/>
              <w:rPr>
                <w:rFonts w:hint="eastAsia"/>
                <w:color w:val="auto"/>
                <w:lang w:val="en-US" w:eastAsia="zh-CN"/>
              </w:rPr>
            </w:pPr>
            <w:r>
              <w:rPr>
                <w:rFonts w:hint="eastAsia"/>
                <w:color w:val="auto"/>
                <w:lang w:val="en-US" w:eastAsia="zh-CN"/>
              </w:rPr>
              <w:t>扩建项目不新增劳动定员，因此不产生生活污水；生产废水主要为循环水池定期排水。</w:t>
            </w:r>
          </w:p>
          <w:p>
            <w:pPr>
              <w:bidi w:val="0"/>
              <w:rPr>
                <w:rFonts w:hint="default" w:eastAsia="宋体"/>
                <w:color w:val="auto"/>
                <w:lang w:val="en-US" w:eastAsia="zh-CN"/>
              </w:rPr>
            </w:pPr>
            <w:r>
              <w:rPr>
                <w:rFonts w:hint="eastAsia"/>
                <w:color w:val="auto"/>
                <w:lang w:val="en-US" w:eastAsia="zh-CN"/>
              </w:rPr>
              <w:t>循环冷却水在使用过程中后期由于盐碱度增高需要定期排水，排放量为420m</w:t>
            </w:r>
            <w:r>
              <w:rPr>
                <w:rFonts w:hint="eastAsia"/>
                <w:color w:val="auto"/>
                <w:vertAlign w:val="superscript"/>
                <w:lang w:val="en-US" w:eastAsia="zh-CN"/>
              </w:rPr>
              <w:t>3</w:t>
            </w:r>
            <w:r>
              <w:rPr>
                <w:rFonts w:hint="eastAsia"/>
                <w:color w:val="auto"/>
                <w:lang w:val="en-US" w:eastAsia="zh-CN"/>
              </w:rPr>
              <w:t>/a。此类废水为清净下水，除盐碱度过高外，可视为不含有机质，可用于厂区洒水。</w:t>
            </w:r>
          </w:p>
          <w:p>
            <w:pPr>
              <w:bidi w:val="0"/>
              <w:rPr>
                <w:rFonts w:hint="default"/>
                <w:color w:val="auto"/>
                <w:lang w:val="en-US" w:eastAsia="zh-CN"/>
              </w:rPr>
            </w:pPr>
            <w:r>
              <w:rPr>
                <w:rFonts w:hint="eastAsia"/>
                <w:color w:val="auto"/>
                <w:lang w:val="en-US" w:eastAsia="zh-CN"/>
              </w:rPr>
              <w:t>扩建项目水平衡内容见下表。</w:t>
            </w:r>
          </w:p>
          <w:p>
            <w:pPr>
              <w:bidi w:val="0"/>
              <w:jc w:val="center"/>
              <w:rPr>
                <w:rFonts w:hint="default"/>
                <w:b/>
                <w:bCs/>
                <w:color w:val="auto"/>
                <w:lang w:val="en-US" w:eastAsia="zh-CN"/>
              </w:rPr>
            </w:pPr>
            <w:r>
              <w:rPr>
                <w:rFonts w:hint="eastAsia"/>
                <w:b/>
                <w:bCs/>
                <w:color w:val="auto"/>
                <w:lang w:val="en-US" w:eastAsia="zh-CN"/>
              </w:rPr>
              <w:t>表22  扩建项目水平衡内容一览表   单位：m</w:t>
            </w:r>
            <w:r>
              <w:rPr>
                <w:rFonts w:hint="eastAsia"/>
                <w:b/>
                <w:bCs/>
                <w:color w:val="auto"/>
                <w:vertAlign w:val="superscript"/>
                <w:lang w:val="en-US" w:eastAsia="zh-CN"/>
              </w:rPr>
              <w:t>3</w:t>
            </w:r>
            <w:r>
              <w:rPr>
                <w:rFonts w:hint="eastAsia"/>
                <w:b/>
                <w:bCs/>
                <w:color w:val="auto"/>
                <w:lang w:val="en-US" w:eastAsia="zh-CN"/>
              </w:rPr>
              <w:t>/d</w:t>
            </w:r>
          </w:p>
          <w:tbl>
            <w:tblPr>
              <w:tblStyle w:val="18"/>
              <w:tblW w:w="799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519"/>
              <w:gridCol w:w="1145"/>
              <w:gridCol w:w="1116"/>
              <w:gridCol w:w="877"/>
              <w:gridCol w:w="889"/>
              <w:gridCol w:w="24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项目</w:t>
                  </w:r>
                </w:p>
              </w:tc>
              <w:tc>
                <w:tcPr>
                  <w:tcW w:w="11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新鲜水量</w:t>
                  </w:r>
                </w:p>
              </w:tc>
              <w:tc>
                <w:tcPr>
                  <w:tcW w:w="11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循环水量</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消耗量</w:t>
                  </w:r>
                </w:p>
              </w:tc>
              <w:tc>
                <w:tcPr>
                  <w:tcW w:w="8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排水量</w:t>
                  </w:r>
                </w:p>
              </w:tc>
              <w:tc>
                <w:tcPr>
                  <w:tcW w:w="24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处理方式及去向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 w:hRule="atLeast"/>
              </w:trPr>
              <w:tc>
                <w:tcPr>
                  <w:tcW w:w="15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设备冷却水</w:t>
                  </w:r>
                </w:p>
              </w:tc>
              <w:tc>
                <w:tcPr>
                  <w:tcW w:w="11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w:t>
                  </w:r>
                </w:p>
              </w:tc>
              <w:tc>
                <w:tcPr>
                  <w:tcW w:w="11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50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0.6</w:t>
                  </w:r>
                </w:p>
              </w:tc>
              <w:tc>
                <w:tcPr>
                  <w:tcW w:w="8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1.4</w:t>
                  </w:r>
                </w:p>
              </w:tc>
              <w:tc>
                <w:tcPr>
                  <w:tcW w:w="24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用于厂区洒水抑尘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水喷淋塔用水</w:t>
                  </w:r>
                </w:p>
              </w:tc>
              <w:tc>
                <w:tcPr>
                  <w:tcW w:w="11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8</w:t>
                  </w:r>
                </w:p>
              </w:tc>
              <w:tc>
                <w:tcPr>
                  <w:tcW w:w="11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16.67</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8</w:t>
                  </w:r>
                </w:p>
              </w:tc>
              <w:tc>
                <w:tcPr>
                  <w:tcW w:w="8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24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lang w:val="en-US" w:eastAsia="zh-CN"/>
              </w:rPr>
            </w:pPr>
            <w:r>
              <w:rPr>
                <w:rFonts w:hint="eastAsia"/>
                <w:b/>
                <w:bCs/>
                <w:color w:val="auto"/>
                <w:lang w:val="en-US" w:eastAsia="zh-CN"/>
              </w:rPr>
              <w:object>
                <v:shape id="_x0000_i1031" o:spt="75" type="#_x0000_t75" style="height:228pt;width:372.75pt;" o:ole="t" filled="f" o:preferrelative="t" stroked="f" coordsize="21600,21600">
                  <v:path/>
                  <v:fill on="f" focussize="0,0"/>
                  <v:stroke on="f"/>
                  <v:imagedata r:id="rId23" o:title=""/>
                  <o:lock v:ext="edit" aspectratio="f"/>
                  <w10:wrap type="none"/>
                  <w10:anchorlock/>
                </v:shape>
                <o:OLEObject Type="Embed" ProgID="Visio.Drawing.11" ShapeID="_x0000_i1031" DrawAspect="Content" ObjectID="_1468075731" r:id="rId22">
                  <o:LockedField>false</o:LockedField>
                </o:OLEObject>
              </w:object>
            </w:r>
          </w:p>
          <w:p>
            <w:pPr>
              <w:bidi w:val="0"/>
              <w:jc w:val="center"/>
              <w:rPr>
                <w:rFonts w:hint="default"/>
                <w:b/>
                <w:bCs/>
                <w:color w:val="auto"/>
                <w:lang w:val="en-US" w:eastAsia="zh-CN"/>
              </w:rPr>
            </w:pPr>
            <w:r>
              <w:rPr>
                <w:rFonts w:hint="eastAsia"/>
                <w:b/>
                <w:bCs/>
                <w:color w:val="auto"/>
                <w:lang w:val="en-US" w:eastAsia="zh-CN"/>
              </w:rPr>
              <w:t>图7  本项目水平衡图</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lang w:val="en-US" w:eastAsia="zh-CN"/>
              </w:rPr>
            </w:pPr>
            <w:r>
              <w:rPr>
                <w:rFonts w:hint="eastAsia"/>
                <w:b/>
                <w:bCs/>
                <w:color w:val="auto"/>
                <w:lang w:val="en-US" w:eastAsia="zh-CN"/>
              </w:rPr>
              <w:object>
                <v:shape id="_x0000_i1032" o:spt="75" type="#_x0000_t75" style="height:415pt;width:398.05pt;" o:ole="t" filled="f" o:preferrelative="t" stroked="f" coordsize="21600,21600">
                  <v:path/>
                  <v:fill on="f" focussize="0,0"/>
                  <v:stroke on="f"/>
                  <v:imagedata r:id="rId25" o:title=""/>
                  <o:lock v:ext="edit" aspectratio="f"/>
                  <w10:wrap type="none"/>
                  <w10:anchorlock/>
                </v:shape>
                <o:OLEObject Type="Embed" ProgID="Visio.Drawing.11" ShapeID="_x0000_i1032" DrawAspect="Content" ObjectID="_1468075732" r:id="rId24">
                  <o:LockedField>false</o:LockedField>
                </o:OLEObject>
              </w:object>
            </w:r>
            <w:r>
              <w:rPr>
                <w:rFonts w:hint="eastAsia"/>
                <w:b/>
                <w:bCs/>
                <w:color w:val="auto"/>
                <w:lang w:val="en-US" w:eastAsia="zh-CN"/>
              </w:rPr>
              <w:t>图8  扩建后全厂水平衡图</w:t>
            </w:r>
          </w:p>
          <w:p>
            <w:pPr>
              <w:bidi w:val="0"/>
              <w:rPr>
                <w:rFonts w:hint="default" w:eastAsia="宋体"/>
                <w:b/>
                <w:bCs/>
                <w:color w:val="auto"/>
                <w:lang w:val="en-US" w:eastAsia="zh-CN"/>
              </w:rPr>
            </w:pPr>
            <w:r>
              <w:rPr>
                <w:rFonts w:hint="eastAsia"/>
                <w:b/>
                <w:bCs/>
                <w:color w:val="auto"/>
                <w:lang w:val="en-US" w:eastAsia="zh-CN"/>
              </w:rPr>
              <w:t>3.4.3供电</w:t>
            </w:r>
          </w:p>
          <w:p>
            <w:pPr>
              <w:bidi w:val="0"/>
              <w:rPr>
                <w:rFonts w:hint="default" w:eastAsia="宋体"/>
                <w:color w:val="auto"/>
                <w:lang w:val="en-US" w:eastAsia="zh-CN"/>
              </w:rPr>
            </w:pPr>
            <w:r>
              <w:rPr>
                <w:rFonts w:hint="eastAsia"/>
                <w:color w:val="auto"/>
                <w:lang w:val="en-US" w:eastAsia="zh-CN"/>
              </w:rPr>
              <w:t>扩建项目用电由园区供电管网供给，用电量为283.61万kwh/a。</w:t>
            </w:r>
          </w:p>
          <w:p>
            <w:pPr>
              <w:bidi w:val="0"/>
              <w:rPr>
                <w:rFonts w:hint="default" w:eastAsia="宋体"/>
                <w:b/>
                <w:bCs/>
                <w:color w:val="auto"/>
                <w:lang w:val="en-US" w:eastAsia="zh-CN"/>
              </w:rPr>
            </w:pPr>
            <w:r>
              <w:rPr>
                <w:rFonts w:hint="eastAsia"/>
                <w:b/>
                <w:bCs/>
                <w:color w:val="auto"/>
                <w:lang w:val="en-US" w:eastAsia="zh-CN"/>
              </w:rPr>
              <w:t>3.4.4供暖</w:t>
            </w:r>
          </w:p>
          <w:p>
            <w:pPr>
              <w:bidi w:val="0"/>
              <w:rPr>
                <w:rFonts w:hint="default"/>
                <w:color w:val="auto"/>
              </w:rPr>
            </w:pPr>
            <w:r>
              <w:rPr>
                <w:rFonts w:hint="eastAsia"/>
                <w:color w:val="auto"/>
                <w:lang w:val="en-US" w:eastAsia="zh-CN"/>
              </w:rPr>
              <w:t>扩建</w:t>
            </w:r>
            <w:r>
              <w:rPr>
                <w:rFonts w:hint="eastAsia"/>
                <w:color w:val="auto"/>
                <w:kern w:val="0"/>
                <w:sz w:val="24"/>
                <w:szCs w:val="24"/>
                <w:highlight w:val="none"/>
                <w:lang w:val="en-US" w:eastAsia="zh-CN"/>
              </w:rPr>
              <w:t>项目</w:t>
            </w:r>
            <w:r>
              <w:rPr>
                <w:rFonts w:hint="eastAsia" w:ascii="Times New Roman" w:hAnsi="Times New Roman"/>
                <w:color w:val="auto"/>
                <w:kern w:val="0"/>
                <w:sz w:val="24"/>
                <w:szCs w:val="24"/>
                <w:highlight w:val="none"/>
              </w:rPr>
              <w:t>冬季</w:t>
            </w:r>
            <w:r>
              <w:rPr>
                <w:rFonts w:hint="eastAsia"/>
                <w:color w:val="auto"/>
                <w:kern w:val="0"/>
                <w:sz w:val="24"/>
                <w:szCs w:val="24"/>
                <w:highlight w:val="none"/>
                <w:lang w:eastAsia="zh-CN"/>
              </w:rPr>
              <w:t>生活区采用电暖气供暖，厂房不供暖</w:t>
            </w:r>
            <w:r>
              <w:rPr>
                <w:rFonts w:ascii="Times New Roman" w:hAnsi="Times New Roman"/>
                <w:color w:val="auto"/>
                <w:kern w:val="0"/>
                <w:sz w:val="24"/>
                <w:szCs w:val="24"/>
                <w:highlight w:val="none"/>
              </w:rPr>
              <w:t>。</w:t>
            </w:r>
          </w:p>
          <w:p>
            <w:pPr>
              <w:bidi w:val="0"/>
              <w:rPr>
                <w:rFonts w:hint="default" w:eastAsia="宋体"/>
                <w:b/>
                <w:bCs/>
                <w:color w:val="auto"/>
                <w:lang w:val="en-US" w:eastAsia="zh-CN"/>
              </w:rPr>
            </w:pPr>
            <w:r>
              <w:rPr>
                <w:rFonts w:hint="eastAsia"/>
                <w:b/>
                <w:bCs/>
                <w:color w:val="auto"/>
                <w:lang w:val="en-US" w:eastAsia="zh-CN"/>
              </w:rPr>
              <w:t>3.5劳动定员及工作制度</w:t>
            </w:r>
          </w:p>
          <w:p>
            <w:pPr>
              <w:bidi w:val="0"/>
              <w:rPr>
                <w:rFonts w:hint="default" w:eastAsia="宋体"/>
                <w:color w:val="auto"/>
                <w:lang w:val="en-US" w:eastAsia="zh-CN"/>
              </w:rPr>
            </w:pPr>
            <w:r>
              <w:rPr>
                <w:rFonts w:hint="eastAsia"/>
                <w:color w:val="auto"/>
                <w:lang w:val="en-US" w:eastAsia="zh-CN"/>
              </w:rPr>
              <w:t>扩建项目不新增劳动定员，仍为75人，年工作时间为300天，实行三班制，每班工作8小时，全年工作时间为7200h。</w:t>
            </w:r>
          </w:p>
          <w:p>
            <w:pPr>
              <w:bidi w:val="0"/>
              <w:rPr>
                <w:rFonts w:hint="default"/>
                <w:b/>
                <w:bCs/>
                <w:color w:val="auto"/>
              </w:rPr>
            </w:pPr>
            <w:r>
              <w:rPr>
                <w:rFonts w:hint="eastAsia"/>
                <w:b/>
                <w:bCs/>
                <w:color w:val="auto"/>
                <w:lang w:val="en-US" w:eastAsia="zh-CN"/>
              </w:rPr>
              <w:t>3.6</w:t>
            </w:r>
            <w:r>
              <w:rPr>
                <w:rFonts w:hint="default"/>
                <w:b/>
                <w:bCs/>
                <w:color w:val="auto"/>
              </w:rPr>
              <w:t>厂区平面布置</w:t>
            </w:r>
          </w:p>
          <w:p>
            <w:pPr>
              <w:widowControl/>
              <w:adjustRightInd w:val="0"/>
              <w:snapToGrid w:val="0"/>
              <w:ind w:firstLine="480"/>
              <w:jc w:val="left"/>
              <w:rPr>
                <w:rFonts w:hint="default" w:ascii="Times New Roman" w:hAnsi="Times New Roman" w:eastAsia="宋体" w:cs="Times New Roman"/>
                <w:color w:val="auto"/>
                <w:lang w:eastAsia="zh-CN"/>
              </w:rPr>
            </w:pPr>
            <w:r>
              <w:rPr>
                <w:rFonts w:hint="eastAsia"/>
                <w:color w:val="auto"/>
                <w:lang w:val="en-US" w:eastAsia="zh-CN"/>
              </w:rPr>
              <w:t>扩建</w:t>
            </w:r>
            <w:r>
              <w:rPr>
                <w:rFonts w:hint="default" w:ascii="Times New Roman" w:hAnsi="Times New Roman" w:eastAsia="宋体" w:cs="Times New Roman"/>
                <w:color w:val="auto"/>
              </w:rPr>
              <w:t>项目位于内蒙古巴彦淖尔市乌拉特前旗工业园区</w:t>
            </w:r>
            <w:r>
              <w:rPr>
                <w:rFonts w:hint="default" w:ascii="Times New Roman" w:hAnsi="Times New Roman" w:eastAsia="宋体" w:cs="Times New Roman"/>
                <w:color w:val="auto"/>
                <w:lang w:eastAsia="zh-CN"/>
              </w:rPr>
              <w:t>，</w:t>
            </w:r>
            <w:r>
              <w:rPr>
                <w:rFonts w:hint="eastAsia" w:ascii="Times New Roman" w:hAnsi="Times New Roman" w:eastAsia="宋体" w:cs="Times New Roman"/>
                <w:color w:val="auto"/>
                <w:lang w:eastAsia="zh-CN"/>
              </w:rPr>
              <w:t>扩建</w:t>
            </w:r>
            <w:r>
              <w:rPr>
                <w:rFonts w:hint="default" w:ascii="Times New Roman" w:hAnsi="Times New Roman" w:eastAsia="宋体" w:cs="Times New Roman"/>
                <w:color w:val="auto"/>
                <w:lang w:eastAsia="zh-CN"/>
              </w:rPr>
              <w:t>后不新增占地</w:t>
            </w:r>
            <w:r>
              <w:rPr>
                <w:rFonts w:hint="default" w:ascii="Times New Roman" w:hAnsi="Times New Roman" w:eastAsia="宋体" w:cs="Times New Roman"/>
                <w:color w:val="auto"/>
              </w:rPr>
              <w:t>。厂区总体分为生产区和生活区，办公生活区位于厂区西北角，生产区主要位于厂区中部，分别为胶板、汽车</w:t>
            </w:r>
            <w:r>
              <w:rPr>
                <w:rFonts w:hint="default" w:ascii="Times New Roman" w:hAnsi="Times New Roman" w:eastAsia="宋体" w:cs="Times New Roman"/>
                <w:color w:val="auto"/>
                <w:lang w:eastAsia="zh-CN"/>
              </w:rPr>
              <w:t>垫</w:t>
            </w:r>
            <w:r>
              <w:rPr>
                <w:rFonts w:hint="default" w:ascii="Times New Roman" w:hAnsi="Times New Roman" w:eastAsia="宋体" w:cs="Times New Roman"/>
                <w:color w:val="auto"/>
              </w:rPr>
              <w:t>车间、再生胶车间及输送带车间，厂区东南侧为原料库及成品库。</w:t>
            </w:r>
            <w:r>
              <w:rPr>
                <w:rFonts w:hint="eastAsia" w:ascii="Times New Roman" w:hAnsi="Times New Roman" w:eastAsia="宋体" w:cs="Times New Roman"/>
                <w:color w:val="auto"/>
                <w:lang w:eastAsia="zh-CN"/>
              </w:rPr>
              <w:t>本</w:t>
            </w:r>
            <w:r>
              <w:rPr>
                <w:rFonts w:hint="default" w:ascii="Times New Roman" w:hAnsi="Times New Roman" w:eastAsia="宋体" w:cs="Times New Roman"/>
                <w:color w:val="auto"/>
              </w:rPr>
              <w:t>项目</w:t>
            </w:r>
            <w:r>
              <w:rPr>
                <w:rFonts w:hint="eastAsia" w:ascii="Times New Roman" w:hAnsi="Times New Roman" w:eastAsia="宋体" w:cs="Times New Roman"/>
                <w:color w:val="auto"/>
                <w:lang w:eastAsia="zh-CN"/>
              </w:rPr>
              <w:t>扩建位于厂区再生胶车间内，不新增占地。</w:t>
            </w:r>
            <w:r>
              <w:rPr>
                <w:rFonts w:hint="eastAsia" w:cs="Times New Roman"/>
                <w:color w:val="auto"/>
                <w:lang w:val="en-US" w:eastAsia="zh-CN"/>
              </w:rPr>
              <w:t>项目厂区平面布置图见附图2。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07" w:type="dxa"/>
            <w:vAlign w:val="center"/>
          </w:tcPr>
          <w:p>
            <w:pPr>
              <w:pStyle w:val="15"/>
              <w:adjustRightInd w:val="0"/>
              <w:snapToGrid w:val="0"/>
              <w:spacing w:before="0" w:beforeAutospacing="0" w:after="0" w:afterAutospacing="0"/>
              <w:ind w:firstLine="0" w:firstLineChars="0"/>
              <w:jc w:val="center"/>
              <w:rPr>
                <w:rFonts w:hint="default" w:ascii="Times New Roman" w:hAnsi="Times New Roman" w:eastAsia="宋体" w:cs="Times New Roman"/>
                <w:color w:val="auto"/>
                <w:szCs w:val="24"/>
              </w:rPr>
            </w:pPr>
            <w:r>
              <w:rPr>
                <w:rFonts w:hint="default" w:ascii="Times New Roman" w:hAnsi="Times New Roman" w:eastAsia="宋体" w:cs="Times New Roman"/>
                <w:b/>
                <w:bCs/>
                <w:color w:val="auto"/>
                <w:szCs w:val="24"/>
              </w:rPr>
              <w:t>工艺流程和产排污环节</w:t>
            </w:r>
          </w:p>
        </w:tc>
        <w:tc>
          <w:tcPr>
            <w:tcW w:w="8177" w:type="dxa"/>
          </w:tcPr>
          <w:p>
            <w:pPr>
              <w:bidi w:val="0"/>
              <w:rPr>
                <w:rFonts w:hint="default"/>
                <w:b/>
                <w:bCs/>
                <w:color w:val="auto"/>
                <w:lang w:val="en-US" w:eastAsia="zh-CN"/>
              </w:rPr>
            </w:pPr>
            <w:r>
              <w:rPr>
                <w:rFonts w:hint="eastAsia"/>
                <w:b/>
                <w:bCs/>
                <w:color w:val="auto"/>
                <w:lang w:val="en-US" w:eastAsia="zh-CN"/>
              </w:rPr>
              <w:t>1、本项目生产工艺流程及产排污环节</w:t>
            </w:r>
          </w:p>
          <w:p>
            <w:pPr>
              <w:spacing w:line="360" w:lineRule="auto"/>
              <w:ind w:firstLine="482" w:firstLineChars="200"/>
              <w:rPr>
                <w:rFonts w:hint="default"/>
                <w:b/>
                <w:bCs/>
                <w:color w:val="auto"/>
                <w:sz w:val="24"/>
                <w:lang w:val="en-US" w:eastAsia="zh-CN"/>
              </w:rPr>
            </w:pPr>
            <w:r>
              <w:rPr>
                <w:rFonts w:hint="eastAsia"/>
                <w:b/>
                <w:bCs/>
                <w:color w:val="auto"/>
                <w:sz w:val="24"/>
                <w:lang w:val="en-US" w:eastAsia="zh-CN"/>
              </w:rPr>
              <w:t>1.1生产工艺简述</w:t>
            </w:r>
          </w:p>
          <w:p>
            <w:pPr>
              <w:spacing w:line="360" w:lineRule="auto"/>
              <w:ind w:firstLine="480" w:firstLineChars="200"/>
              <w:rPr>
                <w:rFonts w:hint="eastAsia" w:eastAsiaTheme="minorEastAsia"/>
                <w:color w:val="auto"/>
                <w:sz w:val="24"/>
                <w:lang w:eastAsia="zh-CN"/>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color w:val="auto"/>
                <w:sz w:val="24"/>
              </w:rPr>
              <w:t>切</w:t>
            </w:r>
            <w:r>
              <w:rPr>
                <w:rFonts w:hint="eastAsia"/>
                <w:color w:val="auto"/>
                <w:sz w:val="24"/>
                <w:lang w:eastAsia="zh-CN"/>
              </w:rPr>
              <w:t>断</w:t>
            </w:r>
          </w:p>
          <w:p>
            <w:pPr>
              <w:spacing w:line="360" w:lineRule="auto"/>
              <w:ind w:firstLine="480" w:firstLineChars="200"/>
              <w:rPr>
                <w:color w:val="auto"/>
                <w:sz w:val="24"/>
              </w:rPr>
            </w:pPr>
            <w:r>
              <w:rPr>
                <w:color w:val="auto"/>
                <w:sz w:val="24"/>
              </w:rPr>
              <w:t>收购的废旧轮胎由切胶机将轮胎一侧与胎顶连接处进刀并切开，然后由切条机将分离出的橡胶切成条状，再由切块机将条状橡胶切成3.5厘米见方的块状，胶块经输送带送破胶机进行粉碎。</w:t>
            </w:r>
          </w:p>
          <w:p>
            <w:pPr>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color w:val="auto"/>
                <w:sz w:val="24"/>
              </w:rPr>
              <w:t>破胶</w:t>
            </w:r>
          </w:p>
          <w:p>
            <w:pPr>
              <w:spacing w:line="360" w:lineRule="auto"/>
              <w:ind w:firstLine="480" w:firstLineChars="200"/>
              <w:rPr>
                <w:color w:val="auto"/>
                <w:sz w:val="24"/>
              </w:rPr>
            </w:pPr>
            <w:r>
              <w:rPr>
                <w:color w:val="auto"/>
                <w:sz w:val="24"/>
              </w:rPr>
              <w:t>破碎工段分为粗碎和细碎两个步骤。粗碎的目的是将大块的废旧橡胶破成较小的胶块，为下一步细碎打基础。操作时，将废旧橡胶经输送带投入到粗碎机中，供料要适量，补料要定时。辊筒外有一滚网筛，使合格的胶块漏下，不合格的胶块由滚网筛带回辊筒上重新进行破料。一般破胶的辊距控制在2mm左右，粗碎后的胶粒直径约在6～8mm。从滚网筛落下的合格胶粒经输送带送往细碎机。粗碎合格的胶粒，由输送器经过磁选装置除去大部分金属杂质，再送到双光辊粉碎机中时行细碎。光辊粉碎机的辊距应控制在1mm左右，粉碎后的胶粒粒径应小于1mm。</w:t>
            </w:r>
          </w:p>
          <w:p>
            <w:pPr>
              <w:spacing w:line="360" w:lineRule="auto"/>
              <w:ind w:firstLine="480" w:firstLineChars="200"/>
              <w:rPr>
                <w:color w:val="auto"/>
                <w:sz w:val="24"/>
              </w:rPr>
            </w:pPr>
            <w:r>
              <w:rPr>
                <w:color w:val="auto"/>
                <w:sz w:val="24"/>
              </w:rPr>
              <w:t>由于破胶机工作时产生热量，使设备温度升高，需要对破胶机进行冷却，采用循环冷却水进行冷却。</w:t>
            </w:r>
          </w:p>
          <w:p>
            <w:pPr>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color w:val="auto"/>
                <w:sz w:val="24"/>
              </w:rPr>
              <w:t>筛选、磁选</w:t>
            </w:r>
          </w:p>
          <w:p>
            <w:pPr>
              <w:bidi w:val="0"/>
              <w:rPr>
                <w:rFonts w:hint="eastAsia"/>
              </w:rPr>
            </w:pPr>
            <w:r>
              <w:rPr>
                <w:rFonts w:hint="eastAsia"/>
              </w:rPr>
              <w:t>通过皮带输送装置将细料输送至筛床进行筛选，筛上胶粒返回到破碎工段再进行破碎，筛下合格的胶粒经风选机及磁选</w:t>
            </w:r>
            <w:r>
              <w:rPr>
                <w:rFonts w:hint="eastAsia"/>
                <w:lang w:val="en-US" w:eastAsia="zh-CN"/>
              </w:rPr>
              <w:t>装置筛选</w:t>
            </w:r>
            <w:r>
              <w:rPr>
                <w:rFonts w:hint="eastAsia"/>
              </w:rPr>
              <w:t>，将橡胶、钢丝、纤维彻底分离，得到8目～10目细度的纯净胶粉，胶粉收集待用。</w:t>
            </w:r>
          </w:p>
          <w:p>
            <w:pPr>
              <w:bidi w:val="0"/>
              <w:rPr>
                <w:rFonts w:hint="default"/>
                <w:lang w:val="en-US" w:eastAsia="zh-CN"/>
              </w:rPr>
            </w:pPr>
            <w:r>
              <w:rPr>
                <w:rFonts w:hint="eastAsia"/>
                <w:lang w:val="en-US" w:eastAsia="zh-CN"/>
              </w:rPr>
              <w:t>由于磁选机、磁选进料口以及磁选出料口都在全封闭状态下进行工作，因此，此工段不产生废气。</w:t>
            </w:r>
          </w:p>
          <w:p>
            <w:pPr>
              <w:ind w:left="0" w:leftChars="0" w:firstLine="0" w:firstLineChars="0"/>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object>
                <v:shape id="_x0000_i1033" o:spt="75" type="#_x0000_t75" style="height:114.35pt;width:397.5pt;" o:ole="t" filled="f" o:preferrelative="t" stroked="f" coordsize="21600,21600">
                  <v:path/>
                  <v:fill on="f" focussize="0,0"/>
                  <v:stroke on="f"/>
                  <v:imagedata r:id="rId27" o:title=""/>
                  <o:lock v:ext="edit" aspectratio="f"/>
                  <w10:wrap type="none"/>
                  <w10:anchorlock/>
                </v:shape>
                <o:OLEObject Type="Embed" ProgID="Visio.Drawing.11" ShapeID="_x0000_i1033" DrawAspect="Content" ObjectID="_1468075733" r:id="rId26">
                  <o:LockedField>false</o:LockedField>
                </o:OLEObject>
              </w:object>
            </w:r>
          </w:p>
          <w:p>
            <w:pPr>
              <w:bidi w:val="0"/>
              <w:jc w:val="center"/>
              <w:rPr>
                <w:rFonts w:hint="default"/>
                <w:b/>
                <w:bCs/>
                <w:color w:val="auto"/>
                <w:lang w:val="en-US" w:eastAsia="zh-CN"/>
              </w:rPr>
            </w:pPr>
            <w:r>
              <w:rPr>
                <w:rFonts w:hint="default"/>
                <w:b/>
                <w:bCs/>
                <w:color w:val="auto"/>
                <w:lang w:eastAsia="zh-CN"/>
              </w:rPr>
              <w:t>图</w:t>
            </w:r>
            <w:r>
              <w:rPr>
                <w:rFonts w:hint="eastAsia"/>
                <w:b/>
                <w:bCs/>
                <w:color w:val="auto"/>
                <w:lang w:val="en-US" w:eastAsia="zh-CN"/>
              </w:rPr>
              <w:t xml:space="preserve">9 </w:t>
            </w:r>
            <w:r>
              <w:rPr>
                <w:rFonts w:hint="default"/>
                <w:b/>
                <w:bCs/>
                <w:color w:val="auto"/>
                <w:lang w:val="en-US" w:eastAsia="zh-CN"/>
              </w:rPr>
              <w:t xml:space="preserve"> </w:t>
            </w:r>
            <w:r>
              <w:rPr>
                <w:rFonts w:hint="eastAsia"/>
                <w:b/>
                <w:bCs/>
                <w:color w:val="auto"/>
                <w:lang w:val="en-US" w:eastAsia="zh-CN"/>
              </w:rPr>
              <w:t>项目</w:t>
            </w:r>
            <w:r>
              <w:rPr>
                <w:rFonts w:hint="default"/>
                <w:b/>
                <w:bCs/>
                <w:color w:val="auto"/>
                <w:lang w:val="en-US" w:eastAsia="zh-CN"/>
              </w:rPr>
              <w:t>工艺产排污节点图</w:t>
            </w:r>
          </w:p>
          <w:p>
            <w:pPr>
              <w:bidi w:val="0"/>
              <w:rPr>
                <w:rFonts w:hint="eastAsia"/>
                <w:b/>
                <w:bCs/>
                <w:color w:val="auto"/>
                <w:lang w:val="en-US" w:eastAsia="zh-CN"/>
              </w:rPr>
            </w:pPr>
            <w:r>
              <w:rPr>
                <w:rFonts w:hint="eastAsia"/>
                <w:b/>
                <w:bCs/>
                <w:color w:val="auto"/>
                <w:lang w:val="en-US" w:eastAsia="zh-CN"/>
              </w:rPr>
              <w:t>1.2产污环节</w:t>
            </w:r>
          </w:p>
          <w:p>
            <w:pPr>
              <w:bidi w:val="0"/>
              <w:rPr>
                <w:rFonts w:hint="default"/>
                <w:color w:val="auto"/>
                <w:lang w:val="en-US" w:eastAsia="zh-CN"/>
              </w:rPr>
            </w:pPr>
            <w:r>
              <w:rPr>
                <w:rFonts w:hint="eastAsia"/>
                <w:color w:val="auto"/>
                <w:lang w:val="en-US" w:eastAsia="zh-CN"/>
              </w:rPr>
              <w:t>运营期产污环节主要包括如下：</w:t>
            </w:r>
          </w:p>
          <w:p>
            <w:pPr>
              <w:bidi w:val="0"/>
              <w:rPr>
                <w:rFonts w:hint="default"/>
                <w:color w:val="auto"/>
                <w:lang w:val="en-US" w:eastAsia="zh-CN"/>
              </w:rPr>
            </w:pPr>
            <w:r>
              <w:rPr>
                <w:rFonts w:hint="eastAsia"/>
                <w:color w:val="auto"/>
                <w:lang w:val="en-US" w:eastAsia="zh-CN"/>
              </w:rPr>
              <w:t>（1）废气</w:t>
            </w:r>
            <w:bookmarkStart w:id="8" w:name="_GoBack"/>
            <w:bookmarkEnd w:id="8"/>
          </w:p>
          <w:p>
            <w:pPr>
              <w:bidi w:val="0"/>
              <w:rPr>
                <w:rFonts w:hint="default"/>
                <w:color w:val="auto"/>
                <w:lang w:val="en-US" w:eastAsia="zh-CN"/>
              </w:rPr>
            </w:pPr>
            <w:r>
              <w:rPr>
                <w:rFonts w:hint="eastAsia"/>
                <w:color w:val="auto"/>
                <w:lang w:val="en-US" w:eastAsia="zh-CN"/>
              </w:rPr>
              <w:t>本项目运营期产生的废气主要包括破碎筛分粉尘。经集气罩收集后的粉尘通过水喷淋塔处理后，由1根15m高的品排气筒进行排放。</w:t>
            </w:r>
          </w:p>
          <w:p>
            <w:pPr>
              <w:bidi w:val="0"/>
              <w:rPr>
                <w:rFonts w:hint="eastAsia"/>
                <w:color w:val="auto"/>
                <w:lang w:val="en-US" w:eastAsia="zh-CN"/>
              </w:rPr>
            </w:pPr>
            <w:r>
              <w:rPr>
                <w:rFonts w:hint="eastAsia"/>
                <w:color w:val="auto"/>
                <w:lang w:val="en-US" w:eastAsia="zh-CN"/>
              </w:rPr>
              <w:t>（2）废水</w:t>
            </w:r>
          </w:p>
          <w:p>
            <w:pPr>
              <w:bidi w:val="0"/>
              <w:rPr>
                <w:rFonts w:hint="default"/>
                <w:color w:val="auto"/>
                <w:lang w:val="en-US" w:eastAsia="zh-CN"/>
              </w:rPr>
            </w:pPr>
            <w:r>
              <w:rPr>
                <w:rFonts w:hint="eastAsia"/>
                <w:color w:val="auto"/>
                <w:lang w:val="en-US" w:eastAsia="zh-CN"/>
              </w:rPr>
              <w:t>本项目运营期产生的生产废水主要为设备循环水池定期排水。</w:t>
            </w:r>
          </w:p>
          <w:p>
            <w:pPr>
              <w:bidi w:val="0"/>
              <w:rPr>
                <w:rFonts w:hint="default"/>
                <w:color w:val="auto"/>
                <w:lang w:val="en-US" w:eastAsia="zh-CN"/>
              </w:rPr>
            </w:pPr>
            <w:r>
              <w:rPr>
                <w:rFonts w:hint="eastAsia"/>
                <w:color w:val="auto"/>
                <w:lang w:val="en-US" w:eastAsia="zh-CN"/>
              </w:rPr>
              <w:t>（3）噪声</w:t>
            </w:r>
          </w:p>
          <w:p>
            <w:pPr>
              <w:bidi w:val="0"/>
              <w:rPr>
                <w:rFonts w:hint="default"/>
                <w:color w:val="auto"/>
                <w:lang w:val="en-US" w:eastAsia="zh-CN"/>
              </w:rPr>
            </w:pPr>
            <w:r>
              <w:rPr>
                <w:rFonts w:hint="eastAsia"/>
                <w:color w:val="auto"/>
                <w:lang w:val="en-US" w:eastAsia="zh-CN"/>
              </w:rPr>
              <w:t>本项目运营期产生的噪声主要来源于生产设备的噪声，噪声源在80~90dB(A)。</w:t>
            </w:r>
          </w:p>
          <w:p>
            <w:pPr>
              <w:bidi w:val="0"/>
              <w:rPr>
                <w:rFonts w:hint="eastAsia"/>
                <w:color w:val="auto"/>
                <w:lang w:val="en-US" w:eastAsia="zh-CN"/>
              </w:rPr>
            </w:pPr>
            <w:r>
              <w:rPr>
                <w:rFonts w:hint="eastAsia"/>
                <w:color w:val="auto"/>
                <w:lang w:val="en-US" w:eastAsia="zh-CN"/>
              </w:rPr>
              <w:t>（4）固废</w:t>
            </w:r>
          </w:p>
          <w:p>
            <w:pPr>
              <w:bidi w:val="0"/>
              <w:rPr>
                <w:rFonts w:hint="default"/>
                <w:color w:val="auto"/>
                <w:lang w:val="en-US" w:eastAsia="zh-CN"/>
              </w:rPr>
            </w:pPr>
            <w:r>
              <w:rPr>
                <w:rFonts w:hint="eastAsia"/>
                <w:color w:val="auto"/>
                <w:lang w:val="en-US" w:eastAsia="zh-CN"/>
              </w:rPr>
              <w:t>本项目运营期产生的运营期产生的固废主要为废钢丝、废纤维、除尘灰以及废润滑油。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07" w:type="dxa"/>
            <w:vAlign w:val="center"/>
          </w:tcPr>
          <w:p>
            <w:pPr>
              <w:pStyle w:val="15"/>
              <w:adjustRightInd w:val="0"/>
              <w:snapToGrid w:val="0"/>
              <w:spacing w:before="0" w:beforeAutospacing="0" w:after="0" w:afterAutospacing="0"/>
              <w:ind w:firstLine="0" w:firstLineChars="0"/>
              <w:jc w:val="center"/>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kern w:val="2"/>
                <w:szCs w:val="24"/>
              </w:rPr>
              <w:t>与项目有关的原有环境污染问题</w:t>
            </w:r>
          </w:p>
        </w:tc>
        <w:tc>
          <w:tcPr>
            <w:tcW w:w="8177"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val="0"/>
                <w:color w:val="auto"/>
                <w:spacing w:val="0"/>
                <w:kern w:val="21"/>
                <w:sz w:val="24"/>
                <w:szCs w:val="24"/>
                <w:highlight w:val="none"/>
                <w:lang w:eastAsia="zh-CN"/>
              </w:rPr>
            </w:pPr>
            <w:r>
              <w:rPr>
                <w:rFonts w:hint="eastAsia"/>
                <w:b/>
                <w:bCs/>
                <w:color w:val="auto"/>
                <w:lang w:val="en-US" w:eastAsia="zh-CN"/>
              </w:rPr>
              <w:t>1、现有工程</w:t>
            </w:r>
            <w:r>
              <w:rPr>
                <w:rFonts w:hint="default" w:ascii="Times New Roman" w:hAnsi="Times New Roman" w:eastAsia="宋体" w:cs="Times New Roman"/>
                <w:b/>
                <w:bCs w:val="0"/>
                <w:color w:val="auto"/>
                <w:spacing w:val="0"/>
                <w:kern w:val="21"/>
                <w:sz w:val="24"/>
                <w:szCs w:val="24"/>
                <w:highlight w:val="none"/>
              </w:rPr>
              <w:t>履行环境影响评价、竣工环境保护验收</w:t>
            </w:r>
            <w:r>
              <w:rPr>
                <w:rFonts w:hint="eastAsia" w:cs="Times New Roman"/>
                <w:b/>
                <w:bCs w:val="0"/>
                <w:color w:val="auto"/>
                <w:spacing w:val="0"/>
                <w:kern w:val="21"/>
                <w:sz w:val="24"/>
                <w:szCs w:val="24"/>
                <w:highlight w:val="none"/>
                <w:lang w:eastAsia="zh-CN"/>
              </w:rPr>
              <w:t>情况</w:t>
            </w:r>
          </w:p>
          <w:p>
            <w:pPr>
              <w:spacing w:line="360" w:lineRule="auto"/>
              <w:ind w:firstLine="480" w:firstLineChars="200"/>
              <w:rPr>
                <w:rFonts w:ascii="Times New Roman" w:hAnsi="Times New Roman" w:eastAsiaTheme="minorEastAsia"/>
                <w:bCs/>
                <w:color w:val="auto"/>
                <w:sz w:val="24"/>
                <w:szCs w:val="24"/>
                <w:highlight w:val="none"/>
              </w:rPr>
            </w:pPr>
            <w:r>
              <w:rPr>
                <w:rFonts w:hint="eastAsia" w:eastAsiaTheme="minorEastAsia"/>
                <w:bCs/>
                <w:color w:val="auto"/>
                <w:sz w:val="24"/>
                <w:szCs w:val="24"/>
                <w:highlight w:val="none"/>
                <w:lang w:eastAsia="zh-CN"/>
              </w:rPr>
              <w:t>现有工程于</w:t>
            </w:r>
            <w:r>
              <w:rPr>
                <w:rFonts w:hint="eastAsia" w:eastAsiaTheme="minorEastAsia"/>
                <w:bCs/>
                <w:color w:val="auto"/>
                <w:sz w:val="24"/>
                <w:szCs w:val="24"/>
                <w:highlight w:val="none"/>
                <w:lang w:val="en-US" w:eastAsia="zh-CN"/>
              </w:rPr>
              <w:t>2020年7月28日取得环评批文，于2022年2月完成自主验收。</w:t>
            </w:r>
            <w:r>
              <w:rPr>
                <w:rFonts w:ascii="Times New Roman" w:hAnsi="Times New Roman" w:eastAsiaTheme="minorEastAsia"/>
                <w:bCs/>
                <w:color w:val="auto"/>
                <w:sz w:val="24"/>
                <w:szCs w:val="24"/>
                <w:highlight w:val="none"/>
              </w:rPr>
              <w:t>现有工程环评及备案执行情况见</w:t>
            </w:r>
            <w:r>
              <w:rPr>
                <w:rFonts w:hint="eastAsia" w:eastAsiaTheme="minorEastAsia"/>
                <w:bCs/>
                <w:color w:val="auto"/>
                <w:sz w:val="24"/>
                <w:szCs w:val="24"/>
                <w:highlight w:val="none"/>
                <w:lang w:eastAsia="zh-CN"/>
              </w:rPr>
              <w:t>下表</w:t>
            </w:r>
            <w:r>
              <w:rPr>
                <w:rFonts w:hint="eastAsia" w:eastAsiaTheme="minorEastAsia"/>
                <w:bCs/>
                <w:color w:val="auto"/>
                <w:sz w:val="24"/>
                <w:szCs w:val="24"/>
                <w:highlight w:val="none"/>
                <w:lang w:val="en-US" w:eastAsia="zh-CN"/>
              </w:rPr>
              <w:t>1</w:t>
            </w:r>
            <w:r>
              <w:rPr>
                <w:rFonts w:ascii="Times New Roman" w:hAnsi="Times New Roman" w:eastAsiaTheme="minorEastAsia"/>
                <w:bCs/>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表1    现有工程环评及备案执行情况</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3495"/>
              <w:gridCol w:w="1188"/>
              <w:gridCol w:w="1284"/>
              <w:gridCol w:w="196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204"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项目名称</w:t>
                  </w:r>
                </w:p>
              </w:tc>
              <w:tc>
                <w:tcPr>
                  <w:tcW w:w="2795" w:type="pct"/>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环评及验收执行情况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204"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sz w:val="21"/>
                      <w:szCs w:val="21"/>
                      <w:highlight w:val="none"/>
                      <w:vertAlign w:val="baseline"/>
                      <w:lang w:val="en-US" w:eastAsia="zh-CN"/>
                    </w:rPr>
                  </w:pP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审批单位</w:t>
                  </w:r>
                </w:p>
              </w:tc>
              <w:tc>
                <w:tcPr>
                  <w:tcW w:w="80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批准文号</w:t>
                  </w:r>
                </w:p>
              </w:tc>
              <w:tc>
                <w:tcPr>
                  <w:tcW w:w="123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审批日期/完成日期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20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关于《内蒙古美华科技发展有限公司年产6万吨再生胶、2万吨胶带、2万吨汽车垫带、210万m2</w:t>
                  </w:r>
                  <w:r>
                    <w:rPr>
                      <w:rFonts w:hint="eastAsia"/>
                      <w:b w:val="0"/>
                      <w:bCs w:val="0"/>
                      <w:color w:val="auto"/>
                      <w:sz w:val="21"/>
                      <w:szCs w:val="21"/>
                      <w:highlight w:val="none"/>
                      <w:vertAlign w:val="superscript"/>
                      <w:lang w:val="en-US" w:eastAsia="zh-CN"/>
                    </w:rPr>
                    <w:t>2</w:t>
                  </w:r>
                  <w:r>
                    <w:rPr>
                      <w:rFonts w:hint="eastAsia"/>
                      <w:b w:val="0"/>
                      <w:bCs w:val="0"/>
                      <w:color w:val="auto"/>
                      <w:sz w:val="21"/>
                      <w:szCs w:val="21"/>
                      <w:highlight w:val="none"/>
                      <w:vertAlign w:val="baseline"/>
                      <w:lang w:val="en-US" w:eastAsia="zh-CN"/>
                    </w:rPr>
                    <w:t>食品输送带项目环境影响报告数》的批复</w:t>
                  </w: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乌拉特前旗环境保护局</w:t>
                  </w:r>
                </w:p>
              </w:tc>
              <w:tc>
                <w:tcPr>
                  <w:tcW w:w="80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rPr>
                    <w:t>乌环审</w:t>
                  </w:r>
                  <w:r>
                    <w:rPr>
                      <w:rFonts w:hint="default" w:ascii="Times New Roman" w:hAnsi="Times New Roman" w:eastAsia="宋体" w:cs="Times New Roman"/>
                      <w:color w:val="auto"/>
                      <w:sz w:val="21"/>
                      <w:szCs w:val="21"/>
                    </w:rPr>
                    <w:t>〔202</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w:t>
                  </w:r>
                  <w:r>
                    <w:rPr>
                      <w:rFonts w:hint="default" w:ascii="Times New Roman" w:hAnsi="Times New Roman" w:eastAsia="宋体" w:cs="Times New Roman"/>
                      <w:b w:val="0"/>
                      <w:bCs w:val="0"/>
                      <w:color w:val="auto"/>
                      <w:sz w:val="21"/>
                      <w:szCs w:val="21"/>
                    </w:rPr>
                    <w:t>15号</w:t>
                  </w:r>
                </w:p>
              </w:tc>
              <w:tc>
                <w:tcPr>
                  <w:tcW w:w="123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2020年7月28日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20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Times New Roman" w:hAnsi="Times New Roman" w:eastAsia="宋体" w:cs="Times New Roman"/>
                      <w:color w:val="auto"/>
                      <w:sz w:val="21"/>
                      <w:szCs w:val="21"/>
                      <w:highlight w:val="none"/>
                      <w:lang w:val="zh-CN" w:eastAsia="zh-CN" w:bidi="zh-CN"/>
                    </w:rPr>
                  </w:pPr>
                  <w:r>
                    <w:rPr>
                      <w:rFonts w:hint="eastAsia" w:ascii="Times New Roman" w:hAnsi="Times New Roman"/>
                      <w:color w:val="auto"/>
                      <w:sz w:val="21"/>
                      <w:szCs w:val="21"/>
                      <w:highlight w:val="none"/>
                      <w:lang w:eastAsia="zh-CN"/>
                    </w:rPr>
                    <w:t>《</w:t>
                  </w:r>
                  <w:r>
                    <w:rPr>
                      <w:rFonts w:hint="eastAsia"/>
                      <w:b w:val="0"/>
                      <w:bCs w:val="0"/>
                      <w:color w:val="auto"/>
                      <w:sz w:val="21"/>
                      <w:szCs w:val="21"/>
                      <w:highlight w:val="none"/>
                      <w:vertAlign w:val="baseline"/>
                      <w:lang w:val="en-US" w:eastAsia="zh-CN"/>
                    </w:rPr>
                    <w:t>内蒙古美华科技发展有限公司年产6万吨再生胶、2万吨胶带、2万吨汽车垫带、210万m2</w:t>
                  </w:r>
                  <w:r>
                    <w:rPr>
                      <w:rFonts w:hint="eastAsia"/>
                      <w:b w:val="0"/>
                      <w:bCs w:val="0"/>
                      <w:color w:val="auto"/>
                      <w:sz w:val="21"/>
                      <w:szCs w:val="21"/>
                      <w:highlight w:val="none"/>
                      <w:vertAlign w:val="superscript"/>
                      <w:lang w:val="en-US" w:eastAsia="zh-CN"/>
                    </w:rPr>
                    <w:t>2</w:t>
                  </w:r>
                  <w:r>
                    <w:rPr>
                      <w:rFonts w:hint="eastAsia"/>
                      <w:b w:val="0"/>
                      <w:bCs w:val="0"/>
                      <w:color w:val="auto"/>
                      <w:sz w:val="21"/>
                      <w:szCs w:val="21"/>
                      <w:highlight w:val="none"/>
                      <w:vertAlign w:val="baseline"/>
                      <w:lang w:val="en-US" w:eastAsia="zh-CN"/>
                    </w:rPr>
                    <w:t>食品输送带项目（一期工程6万吨再生胶、2万吨胶板）竣工环境保护验收监测报告书</w:t>
                  </w:r>
                  <w:r>
                    <w:rPr>
                      <w:rFonts w:hint="eastAsia" w:ascii="Times New Roman" w:hAnsi="Times New Roman"/>
                      <w:color w:val="auto"/>
                      <w:sz w:val="21"/>
                      <w:szCs w:val="21"/>
                      <w:highlight w:val="none"/>
                      <w:lang w:eastAsia="zh-CN"/>
                    </w:rPr>
                    <w:t>》</w:t>
                  </w: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zh-CN"/>
                    </w:rPr>
                  </w:pPr>
                  <w:r>
                    <w:rPr>
                      <w:rFonts w:hint="eastAsia" w:cs="Times New Roman"/>
                      <w:b w:val="0"/>
                      <w:bCs w:val="0"/>
                      <w:color w:val="auto"/>
                      <w:sz w:val="21"/>
                      <w:szCs w:val="21"/>
                      <w:highlight w:val="none"/>
                      <w:vertAlign w:val="baseline"/>
                      <w:lang w:val="en-US" w:eastAsia="zh-CN" w:bidi="zh-CN"/>
                    </w:rPr>
                    <w:t>/</w:t>
                  </w:r>
                </w:p>
              </w:tc>
              <w:tc>
                <w:tcPr>
                  <w:tcW w:w="80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zh-CN"/>
                    </w:rPr>
                  </w:pPr>
                  <w:r>
                    <w:rPr>
                      <w:rFonts w:hint="eastAsia"/>
                      <w:b w:val="0"/>
                      <w:bCs w:val="0"/>
                      <w:color w:val="auto"/>
                      <w:sz w:val="21"/>
                      <w:szCs w:val="21"/>
                      <w:highlight w:val="none"/>
                      <w:vertAlign w:val="baseline"/>
                      <w:lang w:val="en-US" w:eastAsia="zh-CN"/>
                    </w:rPr>
                    <w:t>/</w:t>
                  </w:r>
                </w:p>
              </w:tc>
              <w:tc>
                <w:tcPr>
                  <w:tcW w:w="123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zh-CN"/>
                    </w:rPr>
                  </w:pPr>
                  <w:r>
                    <w:rPr>
                      <w:rFonts w:hint="eastAsia"/>
                      <w:b w:val="0"/>
                      <w:bCs w:val="0"/>
                      <w:color w:val="auto"/>
                      <w:sz w:val="21"/>
                      <w:szCs w:val="21"/>
                      <w:highlight w:val="none"/>
                      <w:vertAlign w:val="baseline"/>
                      <w:lang w:val="en-US" w:eastAsia="zh-CN"/>
                    </w:rPr>
                    <w:t>2022年2月</w:t>
                  </w:r>
                </w:p>
              </w:tc>
            </w:tr>
          </w:tbl>
          <w:p>
            <w:pPr>
              <w:bidi w:val="0"/>
              <w:rPr>
                <w:rFonts w:hint="default"/>
                <w:b/>
                <w:bCs/>
                <w:color w:val="auto"/>
                <w:lang w:val="en-US" w:eastAsia="zh-CN"/>
              </w:rPr>
            </w:pPr>
            <w:r>
              <w:rPr>
                <w:rFonts w:hint="eastAsia"/>
                <w:b/>
                <w:bCs/>
                <w:color w:val="auto"/>
                <w:lang w:val="en-US" w:eastAsia="zh-CN"/>
              </w:rPr>
              <w:t>2、现有工程污染物产排情况</w:t>
            </w:r>
          </w:p>
          <w:p>
            <w:pPr>
              <w:bidi w:val="0"/>
              <w:rPr>
                <w:rFonts w:hint="default" w:eastAsia="宋体"/>
                <w:b/>
                <w:bCs/>
                <w:color w:val="auto"/>
                <w:lang w:val="en-US" w:eastAsia="zh-CN"/>
              </w:rPr>
            </w:pPr>
            <w:r>
              <w:rPr>
                <w:rFonts w:hint="eastAsia"/>
                <w:b/>
                <w:bCs/>
                <w:color w:val="auto"/>
                <w:lang w:val="en-US" w:eastAsia="zh-CN"/>
              </w:rPr>
              <w:t>2.1废气</w:t>
            </w:r>
          </w:p>
          <w:p>
            <w:pPr>
              <w:bidi w:val="0"/>
              <w:rPr>
                <w:rFonts w:hint="eastAsia"/>
                <w:color w:val="auto"/>
                <w:lang w:eastAsia="zh-CN"/>
              </w:rPr>
            </w:pPr>
            <w:r>
              <w:rPr>
                <w:rFonts w:hint="eastAsia"/>
                <w:color w:val="auto"/>
                <w:lang w:eastAsia="zh-CN"/>
              </w:rPr>
              <w:t>现有工程运营期产生的废气主要包括再生胶车间废气、胶板车间废气和生物质锅炉燃烧废气。</w:t>
            </w:r>
          </w:p>
          <w:p>
            <w:pPr>
              <w:bidi w:val="0"/>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）再生胶车间废气</w:t>
            </w:r>
          </w:p>
          <w:p>
            <w:pPr>
              <w:bidi w:val="0"/>
              <w:rPr>
                <w:rFonts w:hint="eastAsia"/>
                <w:color w:val="auto"/>
                <w:lang w:eastAsia="zh-CN"/>
              </w:rPr>
            </w:pPr>
            <w:r>
              <w:rPr>
                <w:rFonts w:hint="eastAsia"/>
                <w:color w:val="auto"/>
                <w:lang w:eastAsia="zh-CN"/>
              </w:rPr>
              <w:t>再生胶车间产生的废气污染物主要包括</w:t>
            </w:r>
            <w:r>
              <w:rPr>
                <w:rFonts w:hint="eastAsia"/>
                <w:color w:val="auto"/>
                <w:lang w:val="en-US" w:eastAsia="zh-CN"/>
              </w:rPr>
              <w:t>投料废气</w:t>
            </w:r>
            <w:r>
              <w:rPr>
                <w:rFonts w:hint="eastAsia"/>
                <w:color w:val="auto"/>
                <w:lang w:eastAsia="zh-CN"/>
              </w:rPr>
              <w:t>（颗粒物）、脱硫</w:t>
            </w:r>
            <w:r>
              <w:rPr>
                <w:rFonts w:hint="eastAsia"/>
                <w:color w:val="auto"/>
                <w:lang w:val="en-US" w:eastAsia="zh-CN"/>
              </w:rPr>
              <w:t>有压</w:t>
            </w:r>
            <w:r>
              <w:rPr>
                <w:rFonts w:hint="eastAsia"/>
                <w:color w:val="auto"/>
                <w:lang w:eastAsia="zh-CN"/>
              </w:rPr>
              <w:t>废气（</w:t>
            </w:r>
            <w:r>
              <w:rPr>
                <w:rFonts w:hint="eastAsia"/>
                <w:color w:val="auto"/>
                <w:lang w:val="en-US" w:eastAsia="zh-CN"/>
              </w:rPr>
              <w:t>非甲烷总烃、硫化氢、臭气</w:t>
            </w:r>
            <w:r>
              <w:rPr>
                <w:rFonts w:hint="eastAsia"/>
                <w:color w:val="auto"/>
                <w:lang w:eastAsia="zh-CN"/>
              </w:rPr>
              <w:t>）、</w:t>
            </w:r>
            <w:r>
              <w:rPr>
                <w:rFonts w:hint="eastAsia"/>
                <w:color w:val="auto"/>
                <w:lang w:val="en-US" w:eastAsia="zh-CN"/>
              </w:rPr>
              <w:t>脱硫</w:t>
            </w:r>
            <w:r>
              <w:rPr>
                <w:rFonts w:hint="eastAsia"/>
                <w:color w:val="auto"/>
                <w:lang w:eastAsia="zh-CN"/>
              </w:rPr>
              <w:t>无压废气（</w:t>
            </w:r>
            <w:r>
              <w:rPr>
                <w:rFonts w:hint="eastAsia"/>
                <w:color w:val="auto"/>
                <w:lang w:val="en-US" w:eastAsia="zh-CN"/>
              </w:rPr>
              <w:t>非甲烷总烃、硫化氢、臭气</w:t>
            </w:r>
            <w:r>
              <w:rPr>
                <w:rFonts w:hint="eastAsia"/>
                <w:color w:val="auto"/>
                <w:lang w:eastAsia="zh-CN"/>
              </w:rPr>
              <w:t>）和压胶废气（</w:t>
            </w:r>
            <w:r>
              <w:rPr>
                <w:rFonts w:hint="eastAsia"/>
                <w:color w:val="auto"/>
                <w:lang w:val="en-US" w:eastAsia="zh-CN"/>
              </w:rPr>
              <w:t>非甲烷总烃、硫化氢、臭气</w:t>
            </w:r>
            <w:r>
              <w:rPr>
                <w:rFonts w:hint="eastAsia"/>
                <w:color w:val="auto"/>
                <w:lang w:eastAsia="zh-CN"/>
              </w:rPr>
              <w:t>）。</w:t>
            </w:r>
          </w:p>
          <w:p>
            <w:pPr>
              <w:bidi w:val="0"/>
              <w:rPr>
                <w:color w:val="auto"/>
              </w:rPr>
            </w:pPr>
            <w:r>
              <w:rPr>
                <w:rFonts w:hint="eastAsia"/>
                <w:color w:val="auto"/>
                <w:lang w:val="en-US" w:eastAsia="zh-CN"/>
              </w:rPr>
              <w:t>投料废气</w:t>
            </w:r>
            <w:r>
              <w:rPr>
                <w:rFonts w:hint="eastAsia"/>
                <w:color w:val="auto"/>
                <w:lang w:eastAsia="zh-CN"/>
              </w:rPr>
              <w:t>：再生胶原料为外购胶粉</w:t>
            </w:r>
            <w:r>
              <w:rPr>
                <w:color w:val="auto"/>
              </w:rPr>
              <w:t>，因此在投料时会产生含尘废气。在硫化罐上方设置集气罩，收集后通过风管统一引到废气收集管道进入二级碱喷淋处理，再进入活性炭装置吸附，最终由</w:t>
            </w:r>
            <w:r>
              <w:rPr>
                <w:rFonts w:hint="eastAsia"/>
                <w:color w:val="auto"/>
                <w:lang w:val="en-US" w:eastAsia="zh-CN"/>
              </w:rPr>
              <w:t>1#</w:t>
            </w:r>
            <w:r>
              <w:rPr>
                <w:color w:val="auto"/>
              </w:rPr>
              <w:t>排气筒排放。</w:t>
            </w:r>
          </w:p>
          <w:p>
            <w:pPr>
              <w:bidi w:val="0"/>
              <w:rPr>
                <w:color w:val="auto"/>
              </w:rPr>
            </w:pPr>
            <w:r>
              <w:rPr>
                <w:rFonts w:hint="eastAsia"/>
                <w:color w:val="auto"/>
                <w:lang w:eastAsia="zh-CN"/>
              </w:rPr>
              <w:t>脱硫废气：含有大量水蒸气的有压废气</w:t>
            </w:r>
            <w:r>
              <w:rPr>
                <w:color w:val="auto"/>
              </w:rPr>
              <w:t>从排气口排放至水汽分离器，将废气和水蒸气分离开，经过水汽分离器后， 水蒸气变为水由水汽分离器下端的排水口排出，回用于硫化罐内使用，未被处理的废气经水汽分离器上端 排气口由连接的管道进入燃烧器，经过燃烧器燃烧处理后，经二级碱喷淋处理，再进入活性炭装置，最终由 1 根 15m 高排气筒 (1#) 排放。脱硫尾气的无压力废气处理方式为：开罐后排放的废气由集气罩进行收集。集气罩收集的废气经二级碱喷淋+活性炭对废气进行处理。</w:t>
            </w:r>
          </w:p>
          <w:p>
            <w:pPr>
              <w:bidi w:val="0"/>
              <w:rPr>
                <w:color w:val="auto"/>
              </w:rPr>
            </w:pPr>
            <w:r>
              <w:rPr>
                <w:rFonts w:hint="eastAsia"/>
                <w:color w:val="auto"/>
                <w:lang w:eastAsia="zh-CN"/>
              </w:rPr>
              <w:t>压胶废气：</w:t>
            </w:r>
            <w:r>
              <w:rPr>
                <w:color w:val="auto"/>
              </w:rPr>
              <w:t>在每条生产线上方设置一个集气罩，收集的废气先通过二级碱喷淋处理，再通过活性炭装置进行处理。 再生胶生产过程产生的废气经处理后由一根 15m 高排气筒 (1#) 有组织排放。</w:t>
            </w:r>
          </w:p>
          <w:p>
            <w:pPr>
              <w:bidi w:val="0"/>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）胶板车间废气</w:t>
            </w:r>
          </w:p>
          <w:p>
            <w:pPr>
              <w:bidi w:val="0"/>
              <w:rPr>
                <w:rFonts w:hint="eastAsia" w:eastAsia="宋体"/>
                <w:color w:val="auto"/>
                <w:lang w:eastAsia="zh-CN"/>
              </w:rPr>
            </w:pPr>
            <w:r>
              <w:rPr>
                <w:rFonts w:hint="eastAsia"/>
                <w:color w:val="auto"/>
                <w:lang w:eastAsia="zh-CN"/>
              </w:rPr>
              <w:t>胶板车间废气包括密炼及开炼工序废气（颗粒物、非甲烷总烃、臭气）、挤出工序废气（非甲烷总烃）、压延工序废气（非甲烷总烃）和硫化工序废气（非甲烷总烃、硫化氢和臭气）</w:t>
            </w:r>
          </w:p>
          <w:p>
            <w:pPr>
              <w:bidi w:val="0"/>
              <w:rPr>
                <w:rFonts w:hint="default"/>
                <w:color w:val="auto"/>
              </w:rPr>
            </w:pPr>
            <w:r>
              <w:rPr>
                <w:rFonts w:hint="eastAsia"/>
                <w:color w:val="auto"/>
                <w:lang w:eastAsia="zh-CN"/>
              </w:rPr>
              <w:t>密炼及开炼工序废气：</w:t>
            </w:r>
            <w:r>
              <w:rPr>
                <w:color w:val="auto"/>
              </w:rPr>
              <w:t>胶板生产在密炼工序将原料和配合剂一次性加入密炼机，使用的促陶土、促进剂为粉料，粉料投料过程会产生投料颗粒物。废气经集气罩收集+布袋除尘器处理后经 15m 高排气筒 (</w:t>
            </w:r>
            <w:r>
              <w:rPr>
                <w:rFonts w:hint="eastAsia"/>
                <w:color w:val="auto"/>
                <w:lang w:val="en-US" w:eastAsia="zh-CN"/>
              </w:rPr>
              <w:t>2</w:t>
            </w:r>
            <w:r>
              <w:rPr>
                <w:color w:val="auto"/>
              </w:rPr>
              <w:t>#) 排放。密炼工序产生的非甲烷总烃和臭气经集气罩收集后，通过二级碱喷淋+活性炭吸附装置处理后经 15m 高排 气筒 (</w:t>
            </w:r>
            <w:r>
              <w:rPr>
                <w:rFonts w:hint="eastAsia"/>
                <w:color w:val="auto"/>
                <w:lang w:val="en-US" w:eastAsia="zh-CN"/>
              </w:rPr>
              <w:t>2</w:t>
            </w:r>
            <w:r>
              <w:rPr>
                <w:color w:val="auto"/>
              </w:rPr>
              <w:t>#) 排放。</w:t>
            </w:r>
          </w:p>
          <w:p>
            <w:pPr>
              <w:bidi w:val="0"/>
              <w:rPr>
                <w:rFonts w:hint="default"/>
                <w:color w:val="auto"/>
              </w:rPr>
            </w:pPr>
            <w:r>
              <w:rPr>
                <w:rFonts w:hint="eastAsia"/>
                <w:color w:val="auto"/>
                <w:lang w:eastAsia="zh-CN"/>
              </w:rPr>
              <w:t>挤出工序废气：</w:t>
            </w:r>
            <w:r>
              <w:rPr>
                <w:color w:val="auto"/>
              </w:rPr>
              <w:t>挤出工序非甲烷总烃经集气罩收集后，通过二级碱喷淋+活性炭吸附装置处理后经 15m 高排气筒 (</w:t>
            </w:r>
            <w:r>
              <w:rPr>
                <w:rFonts w:hint="eastAsia"/>
                <w:color w:val="auto"/>
                <w:lang w:val="en-US" w:eastAsia="zh-CN"/>
              </w:rPr>
              <w:t>2</w:t>
            </w:r>
            <w:r>
              <w:rPr>
                <w:color w:val="auto"/>
              </w:rPr>
              <w:t>#) 排放。</w:t>
            </w:r>
          </w:p>
          <w:p>
            <w:pPr>
              <w:bidi w:val="0"/>
              <w:rPr>
                <w:color w:val="auto"/>
              </w:rPr>
            </w:pPr>
            <w:r>
              <w:rPr>
                <w:rFonts w:hint="eastAsia"/>
                <w:color w:val="auto"/>
                <w:lang w:eastAsia="zh-CN"/>
              </w:rPr>
              <w:t>压延工序废气：</w:t>
            </w:r>
            <w:r>
              <w:rPr>
                <w:color w:val="auto"/>
              </w:rPr>
              <w:t>压延工序是把半成品生产成需要的宽度、厚度的工序，该工序会产生少量有机废气，以非甲烷总烃计。 废气经集气罩收集后，通过二级碱喷淋+活性炭吸附装置处理后经 15m 高排气筒 (</w:t>
            </w:r>
            <w:r>
              <w:rPr>
                <w:rFonts w:hint="eastAsia"/>
                <w:color w:val="auto"/>
                <w:lang w:val="en-US" w:eastAsia="zh-CN"/>
              </w:rPr>
              <w:t>2</w:t>
            </w:r>
            <w:r>
              <w:rPr>
                <w:color w:val="auto"/>
              </w:rPr>
              <w:t>#) 排放。</w:t>
            </w:r>
          </w:p>
          <w:p>
            <w:pPr>
              <w:bidi w:val="0"/>
              <w:rPr>
                <w:color w:val="auto"/>
              </w:rPr>
            </w:pPr>
            <w:r>
              <w:rPr>
                <w:rFonts w:hint="eastAsia"/>
                <w:color w:val="auto"/>
                <w:lang w:eastAsia="zh-CN"/>
              </w:rPr>
              <w:t>硫化工序废气：</w:t>
            </w:r>
            <w:r>
              <w:rPr>
                <w:color w:val="auto"/>
              </w:rPr>
              <w:t>硫化过程中产生的非甲烷总烃、硫化氢、臭气等，经集气罩收集，通过二级碱喷淋+活性炭吸附装置 处理后经 15m 高排气筒 (</w:t>
            </w:r>
            <w:r>
              <w:rPr>
                <w:rFonts w:hint="eastAsia"/>
                <w:color w:val="auto"/>
                <w:lang w:val="en-US" w:eastAsia="zh-CN"/>
              </w:rPr>
              <w:t>2</w:t>
            </w:r>
            <w:r>
              <w:rPr>
                <w:color w:val="auto"/>
              </w:rPr>
              <w:t>#) 排放。</w:t>
            </w:r>
          </w:p>
          <w:p>
            <w:pPr>
              <w:bidi w:val="0"/>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）生物质锅炉燃烧废气（</w:t>
            </w:r>
            <w:r>
              <w:rPr>
                <w:rFonts w:hint="eastAsia"/>
                <w:color w:val="auto"/>
                <w:lang w:val="en-US" w:eastAsia="zh-CN"/>
              </w:rPr>
              <w:t>颗粒物、氮氧化物、二氧化物</w:t>
            </w:r>
            <w:r>
              <w:rPr>
                <w:rFonts w:hint="eastAsia"/>
                <w:color w:val="auto"/>
                <w:lang w:eastAsia="zh-CN"/>
              </w:rPr>
              <w:t>）</w:t>
            </w:r>
          </w:p>
          <w:p>
            <w:pPr>
              <w:bidi w:val="0"/>
              <w:rPr>
                <w:color w:val="auto"/>
              </w:rPr>
            </w:pPr>
            <w:r>
              <w:rPr>
                <w:color w:val="auto"/>
              </w:rPr>
              <w:t>锅炉烟气采用陶瓷多管除尘+水膜脱硫除尘器除尘进行处理，处理后通过 35m 高的排气筒 (</w:t>
            </w:r>
            <w:r>
              <w:rPr>
                <w:rFonts w:hint="eastAsia"/>
                <w:color w:val="auto"/>
                <w:lang w:val="en-US" w:eastAsia="zh-CN"/>
              </w:rPr>
              <w:t>3</w:t>
            </w:r>
            <w:r>
              <w:rPr>
                <w:color w:val="auto"/>
              </w:rPr>
              <w:t>#) 排放。</w:t>
            </w:r>
          </w:p>
          <w:p>
            <w:pPr>
              <w:bidi w:val="0"/>
              <w:rPr>
                <w:rFonts w:hint="default"/>
                <w:color w:val="auto"/>
                <w:lang w:val="en-US" w:eastAsia="zh-CN"/>
              </w:rPr>
            </w:pPr>
            <w:r>
              <w:rPr>
                <w:rFonts w:hint="eastAsia"/>
                <w:color w:val="auto"/>
                <w:lang w:eastAsia="zh-CN"/>
              </w:rPr>
              <w:t>根据《内蒙古美华科技发展有限公司年产</w:t>
            </w:r>
            <w:r>
              <w:rPr>
                <w:rFonts w:hint="eastAsia"/>
                <w:color w:val="auto"/>
                <w:lang w:val="en-US" w:eastAsia="zh-CN"/>
              </w:rPr>
              <w:t>6万吨再生胶、2万吨胶板、2万吨汽车垫带、210万m</w:t>
            </w:r>
            <w:r>
              <w:rPr>
                <w:rFonts w:hint="eastAsia"/>
                <w:color w:val="auto"/>
                <w:vertAlign w:val="superscript"/>
                <w:lang w:val="en-US" w:eastAsia="zh-CN"/>
              </w:rPr>
              <w:t>2</w:t>
            </w:r>
            <w:r>
              <w:rPr>
                <w:rFonts w:hint="eastAsia"/>
                <w:color w:val="auto"/>
                <w:lang w:val="en-US" w:eastAsia="zh-CN"/>
              </w:rPr>
              <w:t>食品输送带项目（一期工程6万吨再生胶、2万吨胶板）竣工环境保护验收监测报告书</w:t>
            </w:r>
            <w:r>
              <w:rPr>
                <w:rFonts w:hint="eastAsia"/>
                <w:color w:val="auto"/>
                <w:lang w:eastAsia="zh-CN"/>
              </w:rPr>
              <w:t>》可知，有组织废气</w:t>
            </w:r>
            <w:r>
              <w:rPr>
                <w:rFonts w:hint="eastAsia"/>
                <w:color w:val="auto"/>
                <w:lang w:val="en-US" w:eastAsia="zh-CN"/>
              </w:rPr>
              <w:t>颗粒物排放量为2.513t/a；SO</w:t>
            </w:r>
            <w:r>
              <w:rPr>
                <w:rFonts w:hint="eastAsia"/>
                <w:color w:val="auto"/>
                <w:vertAlign w:val="subscript"/>
                <w:lang w:val="en-US" w:eastAsia="zh-CN"/>
              </w:rPr>
              <w:t>2</w:t>
            </w:r>
            <w:r>
              <w:rPr>
                <w:rFonts w:hint="eastAsia"/>
                <w:color w:val="auto"/>
                <w:lang w:val="en-US" w:eastAsia="zh-CN"/>
              </w:rPr>
              <w:t>排放量为1.555t/a；NOx产生量为1.656t/a；非甲烷总烃排放量为0.72t/a；硫化氢的排放量为0.792t/a。现有工程验收监测数据见附件。</w:t>
            </w:r>
          </w:p>
          <w:p>
            <w:pPr>
              <w:bidi w:val="0"/>
              <w:rPr>
                <w:rFonts w:hint="default" w:eastAsia="宋体"/>
                <w:b/>
                <w:bCs/>
                <w:color w:val="auto"/>
                <w:lang w:val="en-US" w:eastAsia="zh-CN"/>
              </w:rPr>
            </w:pPr>
            <w:r>
              <w:rPr>
                <w:rFonts w:hint="eastAsia"/>
                <w:b/>
                <w:bCs/>
                <w:color w:val="auto"/>
                <w:lang w:val="en-US" w:eastAsia="zh-CN"/>
              </w:rPr>
              <w:t>2.2废水</w:t>
            </w:r>
          </w:p>
          <w:p>
            <w:pPr>
              <w:bidi w:val="0"/>
              <w:rPr>
                <w:rFonts w:hint="eastAsia"/>
                <w:color w:val="auto"/>
                <w:lang w:eastAsia="zh-CN"/>
              </w:rPr>
            </w:pPr>
            <w:r>
              <w:rPr>
                <w:rFonts w:hint="eastAsia"/>
                <w:color w:val="auto"/>
                <w:lang w:eastAsia="zh-CN"/>
              </w:rPr>
              <w:t>现有工程运营期产生的废水主要包括生产废水和生活污水，生产废水包括脱硫废气冷凝液、碱喷淋废水、冷却系统循环水、车间地面冲洗废水和以及余热炉排水。</w:t>
            </w:r>
          </w:p>
          <w:p>
            <w:pPr>
              <w:bidi w:val="0"/>
              <w:rPr>
                <w:rFonts w:hint="default"/>
                <w:color w:val="auto"/>
                <w:lang w:val="en-US" w:eastAsia="zh-CN"/>
              </w:rPr>
            </w:pPr>
            <w:r>
              <w:rPr>
                <w:rFonts w:hint="eastAsia"/>
                <w:color w:val="auto"/>
                <w:lang w:val="en-US" w:eastAsia="zh-CN"/>
              </w:rPr>
              <w:t>脱硫废气冷凝液回用于硫化罐内；碱喷淋废水回用于脱硫工段，冷却系统循环水循环使用不外排；车间地面冲洗废水产生量为60m</w:t>
            </w:r>
            <w:r>
              <w:rPr>
                <w:rFonts w:hint="eastAsia"/>
                <w:color w:val="auto"/>
                <w:vertAlign w:val="superscript"/>
                <w:lang w:val="en-US" w:eastAsia="zh-CN"/>
              </w:rPr>
              <w:t>3</w:t>
            </w:r>
            <w:r>
              <w:rPr>
                <w:rFonts w:hint="eastAsia"/>
                <w:color w:val="auto"/>
                <w:lang w:val="en-US" w:eastAsia="zh-CN"/>
              </w:rPr>
              <w:t>/a，最终排入园区污水处理厂统一处理；余热炉排水产生量为1800m</w:t>
            </w:r>
            <w:r>
              <w:rPr>
                <w:rFonts w:hint="eastAsia"/>
                <w:color w:val="auto"/>
                <w:vertAlign w:val="superscript"/>
                <w:lang w:val="en-US" w:eastAsia="zh-CN"/>
              </w:rPr>
              <w:t>3</w:t>
            </w:r>
            <w:r>
              <w:rPr>
                <w:rFonts w:hint="eastAsia"/>
                <w:color w:val="auto"/>
                <w:lang w:val="en-US" w:eastAsia="zh-CN"/>
              </w:rPr>
              <w:t>/a，用于员工洗澡，最终排入园区污水处理厂统一处理。</w:t>
            </w:r>
          </w:p>
          <w:p>
            <w:pPr>
              <w:bidi w:val="0"/>
              <w:rPr>
                <w:color w:val="auto"/>
              </w:rPr>
            </w:pPr>
            <w:r>
              <w:rPr>
                <w:rFonts w:hint="eastAsia"/>
                <w:color w:val="auto"/>
                <w:lang w:val="en-US" w:eastAsia="zh-CN"/>
              </w:rPr>
              <w:t>生活污水产生量为1440m</w:t>
            </w:r>
            <w:r>
              <w:rPr>
                <w:rFonts w:hint="eastAsia"/>
                <w:color w:val="auto"/>
                <w:vertAlign w:val="superscript"/>
                <w:lang w:val="en-US" w:eastAsia="zh-CN"/>
              </w:rPr>
              <w:t>3</w:t>
            </w:r>
            <w:r>
              <w:rPr>
                <w:rFonts w:hint="eastAsia"/>
                <w:color w:val="auto"/>
                <w:lang w:val="en-US" w:eastAsia="zh-CN"/>
              </w:rPr>
              <w:t>/a，</w:t>
            </w:r>
            <w:r>
              <w:rPr>
                <w:color w:val="auto"/>
              </w:rPr>
              <w:t>排入厂区化粪池，最终经污水管网排至园区污水管网。</w:t>
            </w:r>
          </w:p>
          <w:p>
            <w:pPr>
              <w:bidi w:val="0"/>
              <w:rPr>
                <w:rFonts w:hint="default" w:eastAsia="宋体"/>
                <w:b/>
                <w:bCs/>
                <w:color w:val="auto"/>
                <w:lang w:val="en-US" w:eastAsia="zh-CN"/>
              </w:rPr>
            </w:pPr>
            <w:r>
              <w:rPr>
                <w:rFonts w:hint="eastAsia"/>
                <w:b/>
                <w:bCs/>
                <w:color w:val="auto"/>
                <w:lang w:val="en-US" w:eastAsia="zh-CN"/>
              </w:rPr>
              <w:t>2.3噪声</w:t>
            </w:r>
          </w:p>
          <w:p>
            <w:pPr>
              <w:shd w:val="clear"/>
              <w:bidi w:val="0"/>
              <w:rPr>
                <w:rFonts w:hint="default"/>
                <w:color w:val="auto"/>
                <w:sz w:val="24"/>
                <w:szCs w:val="24"/>
                <w:highlight w:val="none"/>
              </w:rPr>
            </w:pPr>
            <w:r>
              <w:rPr>
                <w:rFonts w:hint="eastAsia"/>
                <w:color w:val="auto"/>
                <w:sz w:val="24"/>
                <w:szCs w:val="24"/>
                <w:highlight w:val="none"/>
                <w:lang w:val="en-US" w:eastAsia="zh-CN"/>
              </w:rPr>
              <w:t>2021年12月13日至14日对现有工程厂界现状进行噪声监测，</w:t>
            </w:r>
            <w:r>
              <w:rPr>
                <w:rFonts w:hint="eastAsia"/>
                <w:color w:val="auto"/>
                <w:sz w:val="24"/>
                <w:szCs w:val="24"/>
                <w:highlight w:val="none"/>
                <w:lang w:eastAsia="zh-CN"/>
              </w:rPr>
              <w:t>根据内蒙古邦润迪测试技术有限责任公司出具的</w:t>
            </w:r>
            <w:r>
              <w:rPr>
                <w:rFonts w:hint="default"/>
                <w:color w:val="auto"/>
                <w:sz w:val="24"/>
                <w:szCs w:val="24"/>
                <w:highlight w:val="none"/>
              </w:rPr>
              <w:t>《</w:t>
            </w:r>
            <w:r>
              <w:rPr>
                <w:rFonts w:hint="eastAsia"/>
                <w:color w:val="auto"/>
                <w:sz w:val="24"/>
                <w:szCs w:val="24"/>
                <w:highlight w:val="none"/>
                <w:lang w:eastAsia="zh-CN"/>
              </w:rPr>
              <w:t>内蒙古美华科技发展有限公司年产</w:t>
            </w:r>
            <w:r>
              <w:rPr>
                <w:rFonts w:hint="eastAsia"/>
                <w:color w:val="auto"/>
                <w:sz w:val="24"/>
                <w:szCs w:val="24"/>
                <w:highlight w:val="none"/>
                <w:lang w:val="en-US" w:eastAsia="zh-CN"/>
              </w:rPr>
              <w:t>6万吨再生胶、2万吨胶板、2万吨汽车垫带、210万m</w:t>
            </w:r>
            <w:r>
              <w:rPr>
                <w:rFonts w:hint="eastAsia"/>
                <w:color w:val="auto"/>
                <w:sz w:val="24"/>
                <w:szCs w:val="24"/>
                <w:highlight w:val="none"/>
                <w:vertAlign w:val="superscript"/>
                <w:lang w:val="en-US" w:eastAsia="zh-CN"/>
              </w:rPr>
              <w:t>2</w:t>
            </w:r>
            <w:r>
              <w:rPr>
                <w:rFonts w:hint="eastAsia"/>
                <w:color w:val="auto"/>
                <w:sz w:val="24"/>
                <w:szCs w:val="24"/>
                <w:highlight w:val="none"/>
                <w:lang w:val="en-US" w:eastAsia="zh-CN"/>
              </w:rPr>
              <w:t>食品输送带项目</w:t>
            </w:r>
            <w:r>
              <w:rPr>
                <w:rFonts w:hint="eastAsia"/>
                <w:color w:val="auto"/>
                <w:sz w:val="24"/>
                <w:szCs w:val="24"/>
                <w:highlight w:val="none"/>
                <w:vertAlign w:val="baseline"/>
                <w:lang w:val="en-US" w:eastAsia="zh-CN"/>
              </w:rPr>
              <w:t>（一期工程）环保竣工验收检测报告</w:t>
            </w:r>
            <w:r>
              <w:rPr>
                <w:rFonts w:hint="default"/>
                <w:color w:val="auto"/>
                <w:sz w:val="24"/>
                <w:szCs w:val="24"/>
                <w:highlight w:val="none"/>
              </w:rPr>
              <w:t>》</w:t>
            </w:r>
            <w:r>
              <w:rPr>
                <w:rFonts w:hint="eastAsia"/>
                <w:color w:val="auto"/>
                <w:sz w:val="24"/>
                <w:szCs w:val="24"/>
                <w:highlight w:val="none"/>
                <w:lang w:eastAsia="zh-CN"/>
              </w:rPr>
              <w:t>中噪声监测数据可知，厂界昼间最大噪声值为</w:t>
            </w:r>
            <w:r>
              <w:rPr>
                <w:rFonts w:hint="eastAsia"/>
                <w:color w:val="auto"/>
                <w:sz w:val="24"/>
                <w:szCs w:val="24"/>
                <w:highlight w:val="none"/>
                <w:lang w:val="en-US" w:eastAsia="zh-CN"/>
              </w:rPr>
              <w:t>63.1dB(A)，夜间最大噪声值为52.6dB(A)，</w:t>
            </w:r>
            <w:r>
              <w:rPr>
                <w:rFonts w:hint="default"/>
                <w:color w:val="auto"/>
                <w:sz w:val="24"/>
                <w:szCs w:val="24"/>
                <w:highlight w:val="none"/>
              </w:rPr>
              <w:t>厂界噪声满足《工业企业厂界环境噪声排放标准》(GB12348-2008)中</w:t>
            </w:r>
            <w:r>
              <w:rPr>
                <w:rFonts w:hint="eastAsia"/>
                <w:color w:val="auto"/>
                <w:sz w:val="24"/>
                <w:szCs w:val="24"/>
                <w:highlight w:val="none"/>
                <w:lang w:val="en-US" w:eastAsia="zh-CN"/>
              </w:rPr>
              <w:t>3</w:t>
            </w:r>
            <w:r>
              <w:rPr>
                <w:rFonts w:hint="default"/>
                <w:color w:val="auto"/>
                <w:sz w:val="24"/>
                <w:szCs w:val="24"/>
                <w:highlight w:val="none"/>
              </w:rPr>
              <w:t>类标准的限值</w:t>
            </w:r>
            <w:r>
              <w:rPr>
                <w:rFonts w:hint="eastAsia"/>
                <w:color w:val="auto"/>
                <w:sz w:val="24"/>
                <w:szCs w:val="24"/>
                <w:highlight w:val="none"/>
                <w:lang w:eastAsia="zh-CN"/>
              </w:rPr>
              <w:t>（标准为：昼间</w:t>
            </w:r>
            <w:r>
              <w:rPr>
                <w:rFonts w:hint="eastAsia"/>
                <w:color w:val="auto"/>
                <w:sz w:val="24"/>
                <w:szCs w:val="24"/>
                <w:highlight w:val="none"/>
                <w:lang w:val="en-US" w:eastAsia="zh-CN"/>
              </w:rPr>
              <w:t>65</w:t>
            </w:r>
            <w:r>
              <w:rPr>
                <w:rFonts w:hint="eastAsia"/>
                <w:color w:val="auto"/>
                <w:sz w:val="24"/>
                <w:szCs w:val="24"/>
                <w:highlight w:val="none"/>
                <w:lang w:eastAsia="zh-CN"/>
              </w:rPr>
              <w:t>dB(A)；夜间5</w:t>
            </w:r>
            <w:r>
              <w:rPr>
                <w:rFonts w:hint="eastAsia"/>
                <w:color w:val="auto"/>
                <w:sz w:val="24"/>
                <w:szCs w:val="24"/>
                <w:highlight w:val="none"/>
                <w:lang w:val="en-US" w:eastAsia="zh-CN"/>
              </w:rPr>
              <w:t>5</w:t>
            </w:r>
            <w:r>
              <w:rPr>
                <w:rFonts w:hint="eastAsia"/>
                <w:color w:val="auto"/>
                <w:sz w:val="24"/>
                <w:szCs w:val="24"/>
                <w:highlight w:val="none"/>
                <w:lang w:eastAsia="zh-CN"/>
              </w:rPr>
              <w:t>dB(A)）</w:t>
            </w:r>
            <w:r>
              <w:rPr>
                <w:rFonts w:hint="default"/>
                <w:color w:val="auto"/>
                <w:sz w:val="24"/>
                <w:szCs w:val="24"/>
                <w:highlight w:val="none"/>
              </w:rPr>
              <w:t>要求。</w:t>
            </w:r>
          </w:p>
          <w:p>
            <w:pPr>
              <w:bidi w:val="0"/>
              <w:rPr>
                <w:rFonts w:hint="default" w:eastAsia="宋体"/>
                <w:b/>
                <w:bCs/>
                <w:color w:val="auto"/>
                <w:lang w:val="en-US" w:eastAsia="zh-CN"/>
              </w:rPr>
            </w:pPr>
            <w:r>
              <w:rPr>
                <w:rFonts w:hint="eastAsia"/>
                <w:b/>
                <w:bCs/>
                <w:color w:val="auto"/>
                <w:lang w:val="en-US" w:eastAsia="zh-CN"/>
              </w:rPr>
              <w:t>2.4固废</w:t>
            </w:r>
          </w:p>
          <w:p>
            <w:pPr>
              <w:bidi w:val="0"/>
              <w:rPr>
                <w:rFonts w:hint="eastAsia" w:ascii="宋体" w:hAnsi="宋体" w:eastAsia="宋体" w:cs="宋体"/>
                <w:color w:val="auto"/>
                <w:szCs w:val="20"/>
                <w:lang w:eastAsia="zh-CN"/>
              </w:rPr>
            </w:pPr>
            <w:r>
              <w:rPr>
                <w:rFonts w:hint="eastAsia"/>
                <w:color w:val="auto"/>
                <w:lang w:eastAsia="zh-CN"/>
              </w:rPr>
              <w:t>现有工程运营期产生的固废</w:t>
            </w:r>
            <w:r>
              <w:rPr>
                <w:color w:val="auto"/>
              </w:rPr>
              <w:t>主要为胶板车间布袋除尘器收集的颗粒物；胶板修剪过程产生的边角料及检验产生 的不合格产品；生物质锅炉产生的炉渣以及生活垃圾。</w:t>
            </w:r>
            <w:r>
              <w:rPr>
                <w:rFonts w:hint="eastAsia"/>
                <w:color w:val="auto"/>
                <w:lang w:eastAsia="zh-CN"/>
              </w:rPr>
              <w:t>产生情况见下表</w:t>
            </w:r>
            <w:r>
              <w:rPr>
                <w:rFonts w:hint="eastAsia"/>
                <w:color w:val="auto"/>
                <w:lang w:val="en-US" w:eastAsia="zh-CN"/>
              </w:rPr>
              <w:t>2</w:t>
            </w:r>
            <w:r>
              <w:rPr>
                <w:rFonts w:hint="eastAsia"/>
                <w:color w:val="auto"/>
                <w:lang w:eastAsia="zh-CN"/>
              </w:rPr>
              <w:t>。</w:t>
            </w:r>
          </w:p>
          <w:p>
            <w:pPr>
              <w:bidi w:val="0"/>
              <w:jc w:val="center"/>
              <w:rPr>
                <w:rFonts w:hint="default" w:eastAsia="宋体"/>
                <w:b/>
                <w:bCs/>
                <w:color w:val="auto"/>
                <w:lang w:val="en-US" w:eastAsia="zh-CN"/>
              </w:rPr>
            </w:pPr>
            <w:r>
              <w:rPr>
                <w:rFonts w:hint="eastAsia"/>
                <w:b/>
                <w:bCs/>
                <w:color w:val="auto"/>
                <w:lang w:eastAsia="zh-CN"/>
              </w:rPr>
              <w:t>表</w:t>
            </w:r>
            <w:r>
              <w:rPr>
                <w:rFonts w:hint="eastAsia"/>
                <w:b/>
                <w:bCs/>
                <w:color w:val="auto"/>
                <w:lang w:val="en-US" w:eastAsia="zh-CN"/>
              </w:rPr>
              <w:t>2  固废产生及处置情况一览表</w:t>
            </w:r>
          </w:p>
          <w:tbl>
            <w:tblPr>
              <w:tblStyle w:val="17"/>
              <w:tblW w:w="79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32"/>
              <w:gridCol w:w="1048"/>
              <w:gridCol w:w="1395"/>
              <w:gridCol w:w="846"/>
              <w:gridCol w:w="670"/>
              <w:gridCol w:w="1691"/>
              <w:gridCol w:w="87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21" w:hRule="atLeast"/>
                <w:jc w:val="center"/>
              </w:trPr>
              <w:tc>
                <w:tcPr>
                  <w:tcW w:w="1432" w:type="dxa"/>
                  <w:tcBorders>
                    <w:tl2br w:val="nil"/>
                    <w:tr2bl w:val="nil"/>
                  </w:tcBorders>
                  <w:vAlign w:val="center"/>
                </w:tcPr>
                <w:p>
                  <w:pPr>
                    <w:spacing w:line="240" w:lineRule="auto"/>
                    <w:ind w:firstLine="0" w:firstLineChars="0"/>
                    <w:jc w:val="center"/>
                    <w:rPr>
                      <w:b/>
                      <w:bCs/>
                      <w:color w:val="auto"/>
                      <w:sz w:val="21"/>
                      <w:szCs w:val="21"/>
                    </w:rPr>
                  </w:pPr>
                  <w:r>
                    <w:rPr>
                      <w:rFonts w:hint="eastAsia"/>
                      <w:b/>
                      <w:bCs/>
                      <w:color w:val="auto"/>
                      <w:sz w:val="21"/>
                      <w:szCs w:val="21"/>
                    </w:rPr>
                    <w:t>产生环节</w:t>
                  </w:r>
                </w:p>
              </w:tc>
              <w:tc>
                <w:tcPr>
                  <w:tcW w:w="1048" w:type="dxa"/>
                  <w:tcBorders>
                    <w:tl2br w:val="nil"/>
                    <w:tr2bl w:val="nil"/>
                  </w:tcBorders>
                  <w:vAlign w:val="center"/>
                </w:tcPr>
                <w:p>
                  <w:pPr>
                    <w:spacing w:line="240" w:lineRule="auto"/>
                    <w:ind w:firstLine="0" w:firstLineChars="0"/>
                    <w:jc w:val="center"/>
                    <w:rPr>
                      <w:b/>
                      <w:bCs/>
                      <w:color w:val="auto"/>
                      <w:sz w:val="21"/>
                      <w:szCs w:val="21"/>
                    </w:rPr>
                  </w:pPr>
                  <w:r>
                    <w:rPr>
                      <w:rFonts w:hint="eastAsia"/>
                      <w:b/>
                      <w:bCs/>
                      <w:color w:val="auto"/>
                      <w:sz w:val="21"/>
                      <w:szCs w:val="21"/>
                    </w:rPr>
                    <w:t>名称</w:t>
                  </w:r>
                </w:p>
              </w:tc>
              <w:tc>
                <w:tcPr>
                  <w:tcW w:w="1395" w:type="dxa"/>
                  <w:tcBorders>
                    <w:tl2br w:val="nil"/>
                    <w:tr2bl w:val="nil"/>
                  </w:tcBorders>
                  <w:vAlign w:val="center"/>
                </w:tcPr>
                <w:p>
                  <w:pPr>
                    <w:spacing w:line="240" w:lineRule="auto"/>
                    <w:ind w:firstLine="0" w:firstLineChars="0"/>
                    <w:jc w:val="center"/>
                    <w:rPr>
                      <w:b/>
                      <w:bCs/>
                      <w:color w:val="auto"/>
                      <w:sz w:val="21"/>
                      <w:szCs w:val="21"/>
                    </w:rPr>
                  </w:pPr>
                  <w:r>
                    <w:rPr>
                      <w:rFonts w:hint="eastAsia"/>
                      <w:b/>
                      <w:bCs/>
                      <w:color w:val="auto"/>
                      <w:sz w:val="21"/>
                      <w:szCs w:val="21"/>
                    </w:rPr>
                    <w:t>属性</w:t>
                  </w:r>
                </w:p>
              </w:tc>
              <w:tc>
                <w:tcPr>
                  <w:tcW w:w="846" w:type="dxa"/>
                  <w:tcBorders>
                    <w:tl2br w:val="nil"/>
                    <w:tr2bl w:val="nil"/>
                  </w:tcBorders>
                  <w:vAlign w:val="center"/>
                </w:tcPr>
                <w:p>
                  <w:pPr>
                    <w:spacing w:line="240" w:lineRule="auto"/>
                    <w:ind w:firstLine="0" w:firstLineChars="0"/>
                    <w:jc w:val="center"/>
                    <w:rPr>
                      <w:b/>
                      <w:bCs/>
                      <w:color w:val="auto"/>
                      <w:sz w:val="21"/>
                      <w:szCs w:val="21"/>
                    </w:rPr>
                  </w:pPr>
                  <w:r>
                    <w:rPr>
                      <w:rFonts w:hint="eastAsia"/>
                      <w:b/>
                      <w:bCs/>
                      <w:color w:val="auto"/>
                      <w:sz w:val="21"/>
                      <w:szCs w:val="21"/>
                    </w:rPr>
                    <w:t>年产</w:t>
                  </w:r>
                </w:p>
                <w:p>
                  <w:pPr>
                    <w:spacing w:line="240" w:lineRule="auto"/>
                    <w:ind w:firstLine="0" w:firstLineChars="0"/>
                    <w:jc w:val="center"/>
                    <w:rPr>
                      <w:b/>
                      <w:bCs/>
                      <w:color w:val="auto"/>
                      <w:sz w:val="21"/>
                      <w:szCs w:val="21"/>
                    </w:rPr>
                  </w:pPr>
                  <w:r>
                    <w:rPr>
                      <w:rFonts w:hint="eastAsia"/>
                      <w:b/>
                      <w:bCs/>
                      <w:color w:val="auto"/>
                      <w:sz w:val="21"/>
                      <w:szCs w:val="21"/>
                    </w:rPr>
                    <w:t>生量（</w:t>
                  </w:r>
                  <w:r>
                    <w:rPr>
                      <w:rFonts w:hint="eastAsia"/>
                      <w:b/>
                      <w:bCs/>
                      <w:color w:val="auto"/>
                      <w:sz w:val="21"/>
                      <w:szCs w:val="21"/>
                      <w:lang w:val="en-US"/>
                    </w:rPr>
                    <w:t>t/a</w:t>
                  </w:r>
                  <w:r>
                    <w:rPr>
                      <w:rFonts w:hint="eastAsia"/>
                      <w:b/>
                      <w:bCs/>
                      <w:color w:val="auto"/>
                      <w:sz w:val="21"/>
                      <w:szCs w:val="21"/>
                    </w:rPr>
                    <w:t>）</w:t>
                  </w:r>
                </w:p>
              </w:tc>
              <w:tc>
                <w:tcPr>
                  <w:tcW w:w="670" w:type="dxa"/>
                  <w:tcBorders>
                    <w:tl2br w:val="nil"/>
                    <w:tr2bl w:val="nil"/>
                  </w:tcBorders>
                  <w:vAlign w:val="center"/>
                </w:tcPr>
                <w:p>
                  <w:pPr>
                    <w:spacing w:line="240" w:lineRule="auto"/>
                    <w:ind w:firstLine="0" w:firstLineChars="0"/>
                    <w:jc w:val="center"/>
                    <w:rPr>
                      <w:b/>
                      <w:bCs/>
                      <w:color w:val="auto"/>
                      <w:sz w:val="21"/>
                      <w:szCs w:val="21"/>
                    </w:rPr>
                  </w:pPr>
                  <w:r>
                    <w:rPr>
                      <w:rFonts w:hint="eastAsia"/>
                      <w:b/>
                      <w:bCs/>
                      <w:color w:val="auto"/>
                      <w:sz w:val="21"/>
                      <w:szCs w:val="21"/>
                    </w:rPr>
                    <w:t>贮存</w:t>
                  </w:r>
                </w:p>
                <w:p>
                  <w:pPr>
                    <w:spacing w:line="240" w:lineRule="auto"/>
                    <w:ind w:firstLine="0" w:firstLineChars="0"/>
                    <w:jc w:val="center"/>
                    <w:rPr>
                      <w:b/>
                      <w:bCs/>
                      <w:color w:val="auto"/>
                      <w:sz w:val="21"/>
                      <w:szCs w:val="21"/>
                    </w:rPr>
                  </w:pPr>
                  <w:r>
                    <w:rPr>
                      <w:rFonts w:hint="eastAsia"/>
                      <w:b/>
                      <w:bCs/>
                      <w:color w:val="auto"/>
                      <w:sz w:val="21"/>
                      <w:szCs w:val="21"/>
                    </w:rPr>
                    <w:t>方式</w:t>
                  </w:r>
                </w:p>
              </w:tc>
              <w:tc>
                <w:tcPr>
                  <w:tcW w:w="1691" w:type="dxa"/>
                  <w:tcBorders>
                    <w:tl2br w:val="nil"/>
                    <w:tr2bl w:val="nil"/>
                  </w:tcBorders>
                  <w:vAlign w:val="center"/>
                </w:tcPr>
                <w:p>
                  <w:pPr>
                    <w:spacing w:line="240" w:lineRule="auto"/>
                    <w:ind w:firstLine="0" w:firstLineChars="0"/>
                    <w:jc w:val="center"/>
                    <w:rPr>
                      <w:b/>
                      <w:bCs/>
                      <w:color w:val="auto"/>
                      <w:sz w:val="21"/>
                      <w:szCs w:val="21"/>
                    </w:rPr>
                  </w:pPr>
                  <w:r>
                    <w:rPr>
                      <w:rFonts w:hint="eastAsia"/>
                      <w:b/>
                      <w:bCs/>
                      <w:color w:val="auto"/>
                      <w:sz w:val="21"/>
                      <w:szCs w:val="21"/>
                    </w:rPr>
                    <w:t>处置方式</w:t>
                  </w:r>
                </w:p>
              </w:tc>
              <w:tc>
                <w:tcPr>
                  <w:tcW w:w="875" w:type="dxa"/>
                  <w:tcBorders>
                    <w:tl2br w:val="nil"/>
                    <w:tr2bl w:val="nil"/>
                  </w:tcBorders>
                  <w:vAlign w:val="center"/>
                </w:tcPr>
                <w:p>
                  <w:pPr>
                    <w:spacing w:line="240" w:lineRule="auto"/>
                    <w:ind w:firstLine="0" w:firstLineChars="0"/>
                    <w:jc w:val="center"/>
                    <w:rPr>
                      <w:b/>
                      <w:bCs/>
                      <w:color w:val="auto"/>
                      <w:sz w:val="21"/>
                      <w:szCs w:val="21"/>
                    </w:rPr>
                  </w:pPr>
                  <w:r>
                    <w:rPr>
                      <w:rFonts w:hint="eastAsia"/>
                      <w:b/>
                      <w:bCs/>
                      <w:color w:val="auto"/>
                      <w:sz w:val="21"/>
                      <w:szCs w:val="21"/>
                    </w:rPr>
                    <w:t>处置量（</w:t>
                  </w:r>
                  <w:r>
                    <w:rPr>
                      <w:rFonts w:hint="eastAsia"/>
                      <w:b/>
                      <w:bCs/>
                      <w:color w:val="auto"/>
                      <w:sz w:val="21"/>
                      <w:szCs w:val="21"/>
                      <w:lang w:val="en-US"/>
                    </w:rPr>
                    <w:t>t/a</w:t>
                  </w:r>
                  <w:r>
                    <w:rPr>
                      <w:rFonts w:hint="eastAsia"/>
                      <w:b/>
                      <w:b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05" w:hRule="atLeast"/>
                <w:jc w:val="center"/>
              </w:trPr>
              <w:tc>
                <w:tcPr>
                  <w:tcW w:w="1432" w:type="dxa"/>
                  <w:tcBorders>
                    <w:tl2br w:val="nil"/>
                    <w:tr2bl w:val="nil"/>
                  </w:tcBorders>
                  <w:vAlign w:val="center"/>
                </w:tcPr>
                <w:p>
                  <w:pPr>
                    <w:spacing w:line="240" w:lineRule="auto"/>
                    <w:ind w:firstLine="0" w:firstLineChars="0"/>
                    <w:jc w:val="center"/>
                    <w:rPr>
                      <w:rFonts w:hint="eastAsia" w:eastAsia="宋体"/>
                      <w:color w:val="auto"/>
                      <w:sz w:val="21"/>
                      <w:szCs w:val="21"/>
                      <w:lang w:val="en-US" w:eastAsia="zh-CN"/>
                    </w:rPr>
                  </w:pPr>
                  <w:r>
                    <w:rPr>
                      <w:rFonts w:hint="eastAsia"/>
                      <w:color w:val="auto"/>
                      <w:sz w:val="21"/>
                      <w:szCs w:val="21"/>
                      <w:lang w:val="en-US" w:eastAsia="zh-CN"/>
                    </w:rPr>
                    <w:t>再生胶生产车间和胶板生产车间</w:t>
                  </w:r>
                </w:p>
              </w:tc>
              <w:tc>
                <w:tcPr>
                  <w:tcW w:w="1048" w:type="dxa"/>
                  <w:tcBorders>
                    <w:tl2br w:val="nil"/>
                    <w:tr2bl w:val="nil"/>
                  </w:tcBorders>
                  <w:vAlign w:val="center"/>
                </w:tcPr>
                <w:p>
                  <w:pPr>
                    <w:spacing w:line="240" w:lineRule="auto"/>
                    <w:ind w:firstLine="0" w:firstLineChars="0"/>
                    <w:jc w:val="center"/>
                    <w:rPr>
                      <w:rFonts w:hint="eastAsia" w:eastAsia="宋体"/>
                      <w:color w:val="auto"/>
                      <w:sz w:val="21"/>
                      <w:szCs w:val="21"/>
                      <w:lang w:val="en-US" w:eastAsia="zh-CN"/>
                    </w:rPr>
                  </w:pPr>
                  <w:r>
                    <w:rPr>
                      <w:rFonts w:hint="eastAsia"/>
                      <w:color w:val="auto"/>
                      <w:sz w:val="21"/>
                      <w:szCs w:val="21"/>
                    </w:rPr>
                    <w:t>除尘灰</w:t>
                  </w:r>
                </w:p>
              </w:tc>
              <w:tc>
                <w:tcPr>
                  <w:tcW w:w="1395" w:type="dxa"/>
                  <w:vMerge w:val="restart"/>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lang w:eastAsia="zh-CN"/>
                    </w:rPr>
                    <w:t>一般固废</w:t>
                  </w:r>
                </w:p>
              </w:tc>
              <w:tc>
                <w:tcPr>
                  <w:tcW w:w="846" w:type="dxa"/>
                  <w:tcBorders>
                    <w:tl2br w:val="nil"/>
                    <w:tr2bl w:val="nil"/>
                  </w:tcBorders>
                  <w:vAlign w:val="center"/>
                </w:tcPr>
                <w:p>
                  <w:pPr>
                    <w:spacing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zh-CN"/>
                    </w:rPr>
                  </w:pPr>
                  <w:r>
                    <w:rPr>
                      <w:rFonts w:hint="eastAsia"/>
                      <w:color w:val="auto"/>
                      <w:sz w:val="21"/>
                      <w:szCs w:val="21"/>
                      <w:lang w:val="en-US" w:eastAsia="zh-CN"/>
                    </w:rPr>
                    <w:t>38.708</w:t>
                  </w:r>
                </w:p>
              </w:tc>
              <w:tc>
                <w:tcPr>
                  <w:tcW w:w="670" w:type="dxa"/>
                  <w:vMerge w:val="restart"/>
                  <w:tcBorders>
                    <w:tl2br w:val="nil"/>
                    <w:tr2bl w:val="nil"/>
                  </w:tcBorders>
                  <w:vAlign w:val="center"/>
                </w:tcPr>
                <w:p>
                  <w:pPr>
                    <w:spacing w:line="240" w:lineRule="auto"/>
                    <w:ind w:firstLine="0" w:firstLineChars="0"/>
                    <w:jc w:val="center"/>
                    <w:rPr>
                      <w:color w:val="auto"/>
                      <w:sz w:val="21"/>
                      <w:szCs w:val="21"/>
                    </w:rPr>
                  </w:pPr>
                  <w:r>
                    <w:rPr>
                      <w:rFonts w:hint="default" w:ascii="Times New Roman" w:hAnsi="Times New Roman" w:cs="Times New Roman"/>
                      <w:color w:val="auto"/>
                      <w:sz w:val="21"/>
                      <w:szCs w:val="21"/>
                    </w:rPr>
                    <w:t>一般固废区</w:t>
                  </w:r>
                </w:p>
              </w:tc>
              <w:tc>
                <w:tcPr>
                  <w:tcW w:w="1691" w:type="dxa"/>
                  <w:tcBorders>
                    <w:tl2br w:val="nil"/>
                    <w:tr2bl w:val="nil"/>
                  </w:tcBorders>
                  <w:vAlign w:val="center"/>
                </w:tcPr>
                <w:p>
                  <w:pPr>
                    <w:spacing w:line="240" w:lineRule="auto"/>
                    <w:ind w:firstLine="0" w:firstLineChars="0"/>
                    <w:jc w:val="center"/>
                    <w:rPr>
                      <w:color w:val="auto"/>
                      <w:sz w:val="21"/>
                      <w:szCs w:val="21"/>
                    </w:rPr>
                  </w:pPr>
                  <w:r>
                    <w:rPr>
                      <w:rFonts w:hint="default" w:ascii="Times New Roman" w:hAnsi="Times New Roman" w:cs="Times New Roman"/>
                      <w:color w:val="auto"/>
                      <w:sz w:val="21"/>
                      <w:szCs w:val="21"/>
                    </w:rPr>
                    <w:t>布袋除尘器收集后，暂存于袋 中， 回用于生产</w:t>
                  </w:r>
                </w:p>
              </w:tc>
              <w:tc>
                <w:tcPr>
                  <w:tcW w:w="875" w:type="dxa"/>
                  <w:tcBorders>
                    <w:tl2br w:val="nil"/>
                    <w:tr2bl w:val="nil"/>
                  </w:tcBorders>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38.708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05" w:hRule="atLeast"/>
                <w:jc w:val="center"/>
              </w:trPr>
              <w:tc>
                <w:tcPr>
                  <w:tcW w:w="1432" w:type="dxa"/>
                  <w:tcBorders>
                    <w:tl2br w:val="nil"/>
                    <w:tr2bl w:val="nil"/>
                  </w:tcBorders>
                  <w:vAlign w:val="center"/>
                </w:tcPr>
                <w:p>
                  <w:pPr>
                    <w:spacing w:line="240" w:lineRule="auto"/>
                    <w:ind w:firstLine="0" w:firstLineChars="0"/>
                    <w:jc w:val="center"/>
                    <w:rPr>
                      <w:rFonts w:hint="eastAsia"/>
                      <w:color w:val="auto"/>
                      <w:sz w:val="21"/>
                      <w:szCs w:val="21"/>
                      <w:lang w:val="en-US" w:eastAsia="zh-CN"/>
                    </w:rPr>
                  </w:pPr>
                  <w:r>
                    <w:rPr>
                      <w:rFonts w:hint="eastAsia"/>
                      <w:color w:val="auto"/>
                      <w:sz w:val="21"/>
                      <w:szCs w:val="21"/>
                      <w:lang w:val="en-US" w:eastAsia="zh-CN"/>
                    </w:rPr>
                    <w:t>检验</w:t>
                  </w:r>
                </w:p>
              </w:tc>
              <w:tc>
                <w:tcPr>
                  <w:tcW w:w="1048" w:type="dxa"/>
                  <w:tcBorders>
                    <w:tl2br w:val="nil"/>
                    <w:tr2bl w:val="nil"/>
                  </w:tcBorders>
                  <w:vAlign w:val="center"/>
                </w:tcPr>
                <w:p>
                  <w:pPr>
                    <w:spacing w:line="240" w:lineRule="auto"/>
                    <w:ind w:firstLine="0" w:firstLineChars="0"/>
                    <w:jc w:val="center"/>
                    <w:rPr>
                      <w:rFonts w:hint="eastAsia"/>
                      <w:color w:val="auto"/>
                      <w:sz w:val="21"/>
                      <w:szCs w:val="21"/>
                    </w:rPr>
                  </w:pPr>
                  <w:r>
                    <w:rPr>
                      <w:rFonts w:hint="default" w:ascii="Times New Roman" w:hAnsi="Times New Roman" w:cs="Times New Roman"/>
                      <w:color w:val="auto"/>
                      <w:sz w:val="21"/>
                      <w:szCs w:val="21"/>
                    </w:rPr>
                    <w:t>胶板边角料及检验的不合格产品</w:t>
                  </w:r>
                </w:p>
              </w:tc>
              <w:tc>
                <w:tcPr>
                  <w:tcW w:w="1395" w:type="dxa"/>
                  <w:vMerge w:val="continue"/>
                  <w:tcBorders>
                    <w:tl2br w:val="nil"/>
                    <w:tr2bl w:val="nil"/>
                  </w:tcBorders>
                  <w:vAlign w:val="center"/>
                </w:tcPr>
                <w:p>
                  <w:pPr>
                    <w:spacing w:line="240" w:lineRule="auto"/>
                    <w:ind w:firstLine="0" w:firstLineChars="0"/>
                    <w:jc w:val="center"/>
                    <w:rPr>
                      <w:rFonts w:hint="eastAsia"/>
                      <w:color w:val="auto"/>
                      <w:sz w:val="21"/>
                      <w:szCs w:val="21"/>
                      <w:lang w:eastAsia="zh-CN"/>
                    </w:rPr>
                  </w:pPr>
                </w:p>
              </w:tc>
              <w:tc>
                <w:tcPr>
                  <w:tcW w:w="846" w:type="dxa"/>
                  <w:tcBorders>
                    <w:tl2br w:val="nil"/>
                    <w:tr2bl w:val="nil"/>
                  </w:tcBorders>
                  <w:vAlign w:val="center"/>
                </w:tcPr>
                <w:p>
                  <w:pPr>
                    <w:spacing w:line="240" w:lineRule="auto"/>
                    <w:ind w:left="0" w:leftChars="0" w:right="0" w:rightChars="0" w:firstLine="0" w:firstLineChars="0"/>
                    <w:jc w:val="center"/>
                    <w:rPr>
                      <w:rFonts w:hint="default"/>
                      <w:color w:val="auto"/>
                      <w:sz w:val="21"/>
                      <w:szCs w:val="21"/>
                      <w:lang w:val="en-US" w:eastAsia="zh-CN"/>
                    </w:rPr>
                  </w:pPr>
                  <w:r>
                    <w:rPr>
                      <w:rFonts w:hint="eastAsia"/>
                      <w:color w:val="auto"/>
                      <w:sz w:val="21"/>
                      <w:szCs w:val="21"/>
                      <w:lang w:val="en-US" w:eastAsia="zh-CN"/>
                    </w:rPr>
                    <w:t>11.31</w:t>
                  </w:r>
                </w:p>
              </w:tc>
              <w:tc>
                <w:tcPr>
                  <w:tcW w:w="670" w:type="dxa"/>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auto"/>
                      <w:sz w:val="21"/>
                      <w:szCs w:val="21"/>
                    </w:rPr>
                  </w:pPr>
                </w:p>
              </w:tc>
              <w:tc>
                <w:tcPr>
                  <w:tcW w:w="1691" w:type="dxa"/>
                  <w:tcBorders>
                    <w:tl2br w:val="nil"/>
                    <w:tr2bl w:val="nil"/>
                  </w:tcBorders>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产生部位收集后回用于生产</w:t>
                  </w:r>
                </w:p>
              </w:tc>
              <w:tc>
                <w:tcPr>
                  <w:tcW w:w="875" w:type="dxa"/>
                  <w:tcBorders>
                    <w:tl2br w:val="nil"/>
                    <w:tr2bl w:val="nil"/>
                  </w:tcBorders>
                  <w:vAlign w:val="center"/>
                </w:tcPr>
                <w:p>
                  <w:pPr>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11.31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05" w:hRule="atLeast"/>
                <w:jc w:val="center"/>
              </w:trPr>
              <w:tc>
                <w:tcPr>
                  <w:tcW w:w="1432" w:type="dxa"/>
                  <w:tcBorders>
                    <w:tl2br w:val="nil"/>
                    <w:tr2bl w:val="nil"/>
                  </w:tcBorders>
                  <w:vAlign w:val="center"/>
                </w:tcPr>
                <w:p>
                  <w:pPr>
                    <w:spacing w:line="240" w:lineRule="auto"/>
                    <w:ind w:firstLine="0" w:firstLineChars="0"/>
                    <w:jc w:val="center"/>
                    <w:rPr>
                      <w:rFonts w:hint="eastAsia"/>
                      <w:color w:val="auto"/>
                      <w:sz w:val="21"/>
                      <w:szCs w:val="21"/>
                      <w:lang w:val="en-US" w:eastAsia="zh-CN"/>
                    </w:rPr>
                  </w:pPr>
                  <w:r>
                    <w:rPr>
                      <w:rFonts w:hint="eastAsia"/>
                      <w:color w:val="auto"/>
                      <w:sz w:val="21"/>
                      <w:szCs w:val="21"/>
                      <w:lang w:val="en-US" w:eastAsia="zh-CN"/>
                    </w:rPr>
                    <w:t>生物质燃烧锅炉</w:t>
                  </w:r>
                </w:p>
              </w:tc>
              <w:tc>
                <w:tcPr>
                  <w:tcW w:w="1048"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炉渣</w:t>
                  </w:r>
                </w:p>
              </w:tc>
              <w:tc>
                <w:tcPr>
                  <w:tcW w:w="1395" w:type="dxa"/>
                  <w:vMerge w:val="continue"/>
                  <w:tcBorders>
                    <w:tl2br w:val="nil"/>
                    <w:tr2bl w:val="nil"/>
                  </w:tcBorders>
                  <w:vAlign w:val="center"/>
                </w:tcPr>
                <w:p>
                  <w:pPr>
                    <w:spacing w:line="240" w:lineRule="auto"/>
                    <w:ind w:firstLine="0" w:firstLineChars="0"/>
                    <w:jc w:val="center"/>
                    <w:rPr>
                      <w:rFonts w:hint="eastAsia"/>
                      <w:color w:val="auto"/>
                      <w:sz w:val="21"/>
                      <w:szCs w:val="21"/>
                      <w:lang w:eastAsia="zh-CN"/>
                    </w:rPr>
                  </w:pPr>
                </w:p>
              </w:tc>
              <w:tc>
                <w:tcPr>
                  <w:tcW w:w="846" w:type="dxa"/>
                  <w:tcBorders>
                    <w:tl2br w:val="nil"/>
                    <w:tr2bl w:val="nil"/>
                  </w:tcBorders>
                  <w:vAlign w:val="center"/>
                </w:tcPr>
                <w:p>
                  <w:pPr>
                    <w:spacing w:line="240" w:lineRule="auto"/>
                    <w:ind w:left="0" w:leftChars="0" w:right="0" w:rightChars="0" w:firstLine="0" w:firstLineChars="0"/>
                    <w:jc w:val="center"/>
                    <w:rPr>
                      <w:rFonts w:hint="default"/>
                      <w:color w:val="auto"/>
                      <w:sz w:val="21"/>
                      <w:szCs w:val="21"/>
                      <w:lang w:val="en-US" w:eastAsia="zh-CN"/>
                    </w:rPr>
                  </w:pPr>
                  <w:r>
                    <w:rPr>
                      <w:rFonts w:hint="eastAsia"/>
                      <w:color w:val="auto"/>
                      <w:sz w:val="21"/>
                      <w:szCs w:val="21"/>
                      <w:lang w:val="en-US" w:eastAsia="zh-CN"/>
                    </w:rPr>
                    <w:t>120</w:t>
                  </w:r>
                </w:p>
              </w:tc>
              <w:tc>
                <w:tcPr>
                  <w:tcW w:w="670" w:type="dxa"/>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auto"/>
                      <w:sz w:val="21"/>
                      <w:szCs w:val="21"/>
                    </w:rPr>
                  </w:pPr>
                </w:p>
              </w:tc>
              <w:tc>
                <w:tcPr>
                  <w:tcW w:w="1691"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外售</w:t>
                  </w:r>
                </w:p>
              </w:tc>
              <w:tc>
                <w:tcPr>
                  <w:tcW w:w="875" w:type="dxa"/>
                  <w:tcBorders>
                    <w:tl2br w:val="nil"/>
                    <w:tr2bl w:val="nil"/>
                  </w:tcBorders>
                  <w:vAlign w:val="center"/>
                </w:tcPr>
                <w:p>
                  <w:pPr>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120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05" w:hRule="atLeast"/>
                <w:jc w:val="center"/>
              </w:trPr>
              <w:tc>
                <w:tcPr>
                  <w:tcW w:w="1432" w:type="dxa"/>
                  <w:tcBorders>
                    <w:tl2br w:val="nil"/>
                    <w:tr2bl w:val="nil"/>
                  </w:tcBorders>
                  <w:vAlign w:val="center"/>
                </w:tcPr>
                <w:p>
                  <w:pPr>
                    <w:spacing w:line="240" w:lineRule="auto"/>
                    <w:ind w:firstLine="0" w:firstLineChars="0"/>
                    <w:jc w:val="center"/>
                    <w:rPr>
                      <w:rFonts w:hint="eastAsia"/>
                      <w:color w:val="auto"/>
                      <w:sz w:val="21"/>
                      <w:szCs w:val="21"/>
                      <w:lang w:val="en-US" w:eastAsia="zh-CN"/>
                    </w:rPr>
                  </w:pPr>
                  <w:r>
                    <w:rPr>
                      <w:rFonts w:hint="eastAsia"/>
                      <w:color w:val="auto"/>
                      <w:sz w:val="21"/>
                      <w:szCs w:val="21"/>
                      <w:lang w:val="en-US" w:eastAsia="zh-CN"/>
                    </w:rPr>
                    <w:t>职工生活</w:t>
                  </w:r>
                </w:p>
              </w:tc>
              <w:tc>
                <w:tcPr>
                  <w:tcW w:w="1048" w:type="dxa"/>
                  <w:tcBorders>
                    <w:tl2br w:val="nil"/>
                    <w:tr2bl w:val="nil"/>
                  </w:tcBorders>
                  <w:vAlign w:val="center"/>
                </w:tcPr>
                <w:p>
                  <w:pPr>
                    <w:spacing w:line="240" w:lineRule="auto"/>
                    <w:ind w:firstLine="0" w:firstLineChars="0"/>
                    <w:jc w:val="center"/>
                    <w:rPr>
                      <w:rFonts w:hint="eastAsia" w:ascii="Times New Roman" w:hAnsi="Times New Roman" w:cs="Times New Roman"/>
                      <w:color w:val="auto"/>
                      <w:sz w:val="21"/>
                      <w:szCs w:val="21"/>
                      <w:lang w:eastAsia="zh-CN"/>
                    </w:rPr>
                  </w:pPr>
                  <w:r>
                    <w:rPr>
                      <w:rFonts w:hint="eastAsia"/>
                      <w:color w:val="auto"/>
                      <w:sz w:val="21"/>
                      <w:szCs w:val="21"/>
                      <w:lang w:val="en-US" w:eastAsia="zh-CN"/>
                    </w:rPr>
                    <w:t>生活垃圾</w:t>
                  </w:r>
                </w:p>
              </w:tc>
              <w:tc>
                <w:tcPr>
                  <w:tcW w:w="1395" w:type="dxa"/>
                  <w:tcBorders>
                    <w:tl2br w:val="nil"/>
                    <w:tr2bl w:val="nil"/>
                  </w:tcBorders>
                  <w:vAlign w:val="center"/>
                </w:tcPr>
                <w:p>
                  <w:pPr>
                    <w:spacing w:line="240" w:lineRule="auto"/>
                    <w:ind w:firstLine="0" w:firstLineChars="0"/>
                    <w:jc w:val="center"/>
                    <w:rPr>
                      <w:rFonts w:hint="eastAsia"/>
                      <w:color w:val="auto"/>
                      <w:sz w:val="21"/>
                      <w:szCs w:val="21"/>
                      <w:lang w:eastAsia="zh-CN"/>
                    </w:rPr>
                  </w:pPr>
                  <w:r>
                    <w:rPr>
                      <w:rFonts w:hint="eastAsia"/>
                      <w:color w:val="auto"/>
                      <w:sz w:val="21"/>
                      <w:szCs w:val="21"/>
                      <w:lang w:eastAsia="zh-CN"/>
                    </w:rPr>
                    <w:t>生活垃圾</w:t>
                  </w:r>
                </w:p>
              </w:tc>
              <w:tc>
                <w:tcPr>
                  <w:tcW w:w="846" w:type="dxa"/>
                  <w:tcBorders>
                    <w:tl2br w:val="nil"/>
                    <w:tr2bl w:val="nil"/>
                  </w:tcBorders>
                  <w:vAlign w:val="center"/>
                </w:tcPr>
                <w:p>
                  <w:pPr>
                    <w:spacing w:line="240" w:lineRule="auto"/>
                    <w:ind w:left="0" w:leftChars="0" w:right="0" w:rightChars="0" w:firstLine="0" w:firstLineChars="0"/>
                    <w:jc w:val="center"/>
                    <w:rPr>
                      <w:rFonts w:hint="default"/>
                      <w:color w:val="auto"/>
                      <w:sz w:val="21"/>
                      <w:szCs w:val="21"/>
                      <w:lang w:val="en-US" w:eastAsia="zh-CN"/>
                    </w:rPr>
                  </w:pPr>
                  <w:r>
                    <w:rPr>
                      <w:rFonts w:hint="eastAsia"/>
                      <w:color w:val="auto"/>
                      <w:sz w:val="21"/>
                      <w:szCs w:val="21"/>
                      <w:lang w:val="en-US" w:eastAsia="zh-CN"/>
                    </w:rPr>
                    <w:t>22.5</w:t>
                  </w:r>
                </w:p>
              </w:tc>
              <w:tc>
                <w:tcPr>
                  <w:tcW w:w="670"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垃圾箱</w:t>
                  </w:r>
                </w:p>
              </w:tc>
              <w:tc>
                <w:tcPr>
                  <w:tcW w:w="1691" w:type="dxa"/>
                  <w:tcBorders>
                    <w:tl2br w:val="nil"/>
                    <w:tr2bl w:val="nil"/>
                  </w:tcBorders>
                  <w:vAlign w:val="center"/>
                </w:tcPr>
                <w:p>
                  <w:pPr>
                    <w:spacing w:line="240" w:lineRule="auto"/>
                    <w:ind w:firstLine="0" w:firstLineChars="0"/>
                    <w:jc w:val="center"/>
                    <w:rPr>
                      <w:rFonts w:hint="eastAsia" w:ascii="Times New Roman" w:hAnsi="Times New Roman" w:cs="Times New Roman"/>
                      <w:color w:val="auto"/>
                      <w:sz w:val="21"/>
                      <w:szCs w:val="21"/>
                      <w:lang w:eastAsia="zh-CN"/>
                    </w:rPr>
                  </w:pPr>
                  <w:r>
                    <w:rPr>
                      <w:rFonts w:hint="default" w:ascii="Times New Roman" w:hAnsi="Times New Roman" w:cs="Times New Roman"/>
                      <w:color w:val="auto"/>
                      <w:sz w:val="21"/>
                      <w:szCs w:val="21"/>
                    </w:rPr>
                    <w:t>厂区设封闭式垃圾箱，定期由 环卫部门统一处理</w:t>
                  </w:r>
                </w:p>
              </w:tc>
              <w:tc>
                <w:tcPr>
                  <w:tcW w:w="875" w:type="dxa"/>
                  <w:tcBorders>
                    <w:tl2br w:val="nil"/>
                    <w:tr2bl w:val="nil"/>
                  </w:tcBorders>
                  <w:vAlign w:val="center"/>
                </w:tcPr>
                <w:p>
                  <w:pPr>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22.5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200" w:hRule="atLeast"/>
                <w:jc w:val="center"/>
              </w:trPr>
              <w:tc>
                <w:tcPr>
                  <w:tcW w:w="1432" w:type="dxa"/>
                  <w:tcBorders>
                    <w:tl2br w:val="nil"/>
                    <w:tr2bl w:val="nil"/>
                  </w:tcBorders>
                  <w:vAlign w:val="center"/>
                </w:tcPr>
                <w:p>
                  <w:pPr>
                    <w:spacing w:line="240" w:lineRule="auto"/>
                    <w:ind w:firstLine="0" w:firstLineChars="0"/>
                    <w:jc w:val="center"/>
                    <w:rPr>
                      <w:rFonts w:hint="eastAsia" w:eastAsia="宋体"/>
                      <w:color w:val="auto"/>
                      <w:sz w:val="21"/>
                      <w:szCs w:val="21"/>
                      <w:lang w:eastAsia="zh-CN"/>
                    </w:rPr>
                  </w:pPr>
                  <w:r>
                    <w:rPr>
                      <w:rFonts w:hint="eastAsia"/>
                      <w:color w:val="auto"/>
                      <w:sz w:val="21"/>
                      <w:szCs w:val="21"/>
                      <w:lang w:eastAsia="zh-CN"/>
                    </w:rPr>
                    <w:t>废气处置</w:t>
                  </w:r>
                </w:p>
              </w:tc>
              <w:tc>
                <w:tcPr>
                  <w:tcW w:w="1048" w:type="dxa"/>
                  <w:tcBorders>
                    <w:tl2br w:val="nil"/>
                    <w:tr2bl w:val="nil"/>
                  </w:tcBorders>
                  <w:vAlign w:val="center"/>
                </w:tcPr>
                <w:p>
                  <w:pPr>
                    <w:spacing w:line="240" w:lineRule="auto"/>
                    <w:ind w:firstLine="0" w:firstLineChars="0"/>
                    <w:jc w:val="center"/>
                    <w:rPr>
                      <w:color w:val="auto"/>
                      <w:sz w:val="21"/>
                      <w:szCs w:val="21"/>
                    </w:rPr>
                  </w:pPr>
                  <w:r>
                    <w:rPr>
                      <w:rFonts w:hint="eastAsia"/>
                      <w:color w:val="auto"/>
                      <w:sz w:val="21"/>
                      <w:szCs w:val="21"/>
                      <w:lang w:eastAsia="zh-CN"/>
                    </w:rPr>
                    <w:t>废活性炭</w:t>
                  </w:r>
                </w:p>
              </w:tc>
              <w:tc>
                <w:tcPr>
                  <w:tcW w:w="1395" w:type="dxa"/>
                  <w:tcBorders>
                    <w:tl2br w:val="nil"/>
                    <w:tr2bl w:val="nil"/>
                  </w:tcBorders>
                  <w:vAlign w:val="center"/>
                </w:tcPr>
                <w:p>
                  <w:pPr>
                    <w:spacing w:line="240" w:lineRule="auto"/>
                    <w:ind w:firstLine="0" w:firstLineChars="0"/>
                    <w:jc w:val="center"/>
                    <w:rPr>
                      <w:rFonts w:hint="eastAsia" w:eastAsia="宋体"/>
                      <w:color w:val="auto"/>
                      <w:sz w:val="21"/>
                      <w:szCs w:val="21"/>
                      <w:lang w:eastAsia="zh-CN"/>
                    </w:rPr>
                  </w:pPr>
                  <w:r>
                    <w:rPr>
                      <w:rFonts w:hint="eastAsia"/>
                      <w:color w:val="auto"/>
                      <w:sz w:val="21"/>
                      <w:szCs w:val="21"/>
                      <w:lang w:eastAsia="zh-CN"/>
                    </w:rPr>
                    <w:t>危险废物</w:t>
                  </w:r>
                  <w:r>
                    <w:rPr>
                      <w:rFonts w:hint="default" w:ascii="Times New Roman" w:hAnsi="Times New Roman" w:cs="Times New Roman"/>
                      <w:color w:val="auto"/>
                      <w:sz w:val="21"/>
                      <w:szCs w:val="21"/>
                    </w:rPr>
                    <w:t>HW49</w:t>
                  </w:r>
                  <w:r>
                    <w:rPr>
                      <w:rFonts w:hint="eastAsia" w:ascii="Times New Roman" w:hAnsi="Times New Roman" w:cs="Times New Roman"/>
                      <w:color w:val="auto"/>
                      <w:sz w:val="21"/>
                      <w:szCs w:val="21"/>
                      <w:lang w:eastAsia="zh-CN"/>
                    </w:rPr>
                    <w:t>类废物，废物代码</w:t>
                  </w:r>
                  <w:r>
                    <w:rPr>
                      <w:rFonts w:hint="default" w:ascii="Times New Roman" w:hAnsi="Times New Roman" w:cs="Times New Roman"/>
                      <w:color w:val="auto"/>
                      <w:sz w:val="21"/>
                      <w:szCs w:val="21"/>
                    </w:rPr>
                    <w:t xml:space="preserve">  900-039-49</w:t>
                  </w:r>
                </w:p>
              </w:tc>
              <w:tc>
                <w:tcPr>
                  <w:tcW w:w="846" w:type="dxa"/>
                  <w:tcBorders>
                    <w:tl2br w:val="nil"/>
                    <w:tr2bl w:val="nil"/>
                  </w:tcBorders>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0.4</w:t>
                  </w:r>
                </w:p>
              </w:tc>
              <w:tc>
                <w:tcPr>
                  <w:tcW w:w="670" w:type="dxa"/>
                  <w:vMerge w:val="restart"/>
                  <w:tcBorders>
                    <w:tl2br w:val="nil"/>
                    <w:tr2bl w:val="nil"/>
                  </w:tcBorders>
                  <w:vAlign w:val="center"/>
                </w:tcPr>
                <w:p>
                  <w:pPr>
                    <w:spacing w:line="240" w:lineRule="auto"/>
                    <w:ind w:firstLine="0" w:firstLineChars="0"/>
                    <w:jc w:val="center"/>
                    <w:rPr>
                      <w:rFonts w:hint="eastAsia" w:eastAsia="宋体"/>
                      <w:color w:val="auto"/>
                      <w:sz w:val="21"/>
                      <w:szCs w:val="21"/>
                      <w:lang w:eastAsia="zh-CN"/>
                    </w:rPr>
                  </w:pPr>
                  <w:r>
                    <w:rPr>
                      <w:rFonts w:hint="eastAsia"/>
                      <w:color w:val="auto"/>
                      <w:sz w:val="21"/>
                      <w:szCs w:val="21"/>
                      <w:lang w:eastAsia="zh-CN"/>
                    </w:rPr>
                    <w:t>危废暂存间</w:t>
                  </w:r>
                </w:p>
              </w:tc>
              <w:tc>
                <w:tcPr>
                  <w:tcW w:w="1691" w:type="dxa"/>
                  <w:vMerge w:val="restart"/>
                  <w:tcBorders>
                    <w:tl2br w:val="nil"/>
                    <w:tr2bl w:val="nil"/>
                  </w:tcBorders>
                  <w:vAlign w:val="center"/>
                </w:tcPr>
                <w:p>
                  <w:pPr>
                    <w:spacing w:line="240" w:lineRule="auto"/>
                    <w:ind w:firstLine="0" w:firstLineChars="0"/>
                    <w:jc w:val="center"/>
                    <w:rPr>
                      <w:rFonts w:hint="eastAsia" w:eastAsia="宋体"/>
                      <w:color w:val="auto"/>
                      <w:sz w:val="21"/>
                      <w:szCs w:val="21"/>
                      <w:lang w:eastAsia="zh-CN"/>
                    </w:rPr>
                  </w:pPr>
                  <w:r>
                    <w:rPr>
                      <w:rFonts w:hint="default" w:ascii="Times New Roman" w:hAnsi="Times New Roman" w:cs="Times New Roman"/>
                      <w:color w:val="auto"/>
                      <w:sz w:val="21"/>
                      <w:szCs w:val="21"/>
                    </w:rPr>
                    <w:t>废导热油可作为再生胶生产的软化剂，暂存于危废间，过剩</w:t>
                  </w:r>
                  <w:r>
                    <w:rPr>
                      <w:rFonts w:hint="eastAsia" w:ascii="Times New Roman" w:hAnsi="Times New Roman" w:cs="Times New Roman"/>
                      <w:color w:val="auto"/>
                      <w:sz w:val="21"/>
                      <w:szCs w:val="21"/>
                      <w:lang w:eastAsia="zh-CN"/>
                    </w:rPr>
                    <w:t>的废导热油和废活性炭</w:t>
                  </w:r>
                  <w:r>
                    <w:rPr>
                      <w:rFonts w:hint="default" w:ascii="Times New Roman" w:hAnsi="Times New Roman" w:cs="Times New Roman"/>
                      <w:color w:val="auto"/>
                      <w:sz w:val="21"/>
                      <w:szCs w:val="21"/>
                    </w:rPr>
                    <w:t>定期交由内蒙古九瑞能源科技有限责任公司处置</w:t>
                  </w:r>
                  <w:r>
                    <w:rPr>
                      <w:rFonts w:hint="eastAsia" w:ascii="Times New Roman" w:hAnsi="Times New Roman" w:cs="Times New Roman"/>
                      <w:color w:val="auto"/>
                      <w:sz w:val="21"/>
                      <w:szCs w:val="21"/>
                      <w:lang w:eastAsia="zh-CN"/>
                    </w:rPr>
                    <w:t>。</w:t>
                  </w:r>
                </w:p>
              </w:tc>
              <w:tc>
                <w:tcPr>
                  <w:tcW w:w="875" w:type="dxa"/>
                  <w:tcBorders>
                    <w:tl2br w:val="nil"/>
                    <w:tr2bl w:val="nil"/>
                  </w:tcBorders>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0.4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200" w:hRule="atLeast"/>
                <w:jc w:val="center"/>
              </w:trPr>
              <w:tc>
                <w:tcPr>
                  <w:tcW w:w="1432" w:type="dxa"/>
                  <w:tcBorders>
                    <w:tl2br w:val="nil"/>
                    <w:tr2bl w:val="nil"/>
                  </w:tcBorders>
                  <w:vAlign w:val="center"/>
                </w:tcPr>
                <w:p>
                  <w:pPr>
                    <w:spacing w:line="240" w:lineRule="auto"/>
                    <w:ind w:firstLine="0" w:firstLineChars="0"/>
                    <w:jc w:val="center"/>
                    <w:rPr>
                      <w:rFonts w:hint="eastAsia" w:eastAsia="宋体"/>
                      <w:color w:val="auto"/>
                      <w:sz w:val="21"/>
                      <w:szCs w:val="21"/>
                      <w:lang w:eastAsia="zh-CN"/>
                    </w:rPr>
                  </w:pPr>
                  <w:r>
                    <w:rPr>
                      <w:rFonts w:hint="eastAsia"/>
                      <w:color w:val="auto"/>
                      <w:sz w:val="21"/>
                      <w:szCs w:val="21"/>
                      <w:lang w:eastAsia="zh-CN"/>
                    </w:rPr>
                    <w:t>生产工序</w:t>
                  </w:r>
                </w:p>
              </w:tc>
              <w:tc>
                <w:tcPr>
                  <w:tcW w:w="1048" w:type="dxa"/>
                  <w:tcBorders>
                    <w:tl2br w:val="nil"/>
                    <w:tr2bl w:val="nil"/>
                  </w:tcBorders>
                  <w:vAlign w:val="center"/>
                </w:tcPr>
                <w:p>
                  <w:pPr>
                    <w:spacing w:line="240" w:lineRule="auto"/>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color w:val="auto"/>
                      <w:sz w:val="21"/>
                      <w:szCs w:val="21"/>
                    </w:rPr>
                    <w:t>废</w:t>
                  </w:r>
                  <w:r>
                    <w:rPr>
                      <w:rFonts w:hint="eastAsia"/>
                      <w:color w:val="auto"/>
                      <w:sz w:val="21"/>
                      <w:szCs w:val="21"/>
                      <w:lang w:eastAsia="zh-CN"/>
                    </w:rPr>
                    <w:t>导热油</w:t>
                  </w:r>
                </w:p>
              </w:tc>
              <w:tc>
                <w:tcPr>
                  <w:tcW w:w="1395" w:type="dxa"/>
                  <w:tcBorders>
                    <w:tl2br w:val="nil"/>
                    <w:tr2bl w:val="nil"/>
                  </w:tcBorders>
                  <w:vAlign w:val="center"/>
                </w:tcPr>
                <w:p>
                  <w:pPr>
                    <w:spacing w:line="240" w:lineRule="auto"/>
                    <w:ind w:firstLine="0" w:firstLineChars="0"/>
                    <w:jc w:val="center"/>
                    <w:rPr>
                      <w:color w:val="auto"/>
                      <w:sz w:val="21"/>
                      <w:szCs w:val="21"/>
                    </w:rPr>
                  </w:pPr>
                  <w:r>
                    <w:rPr>
                      <w:color w:val="auto"/>
                      <w:sz w:val="21"/>
                      <w:szCs w:val="21"/>
                    </w:rPr>
                    <w:t>危险废物HW0</w:t>
                  </w:r>
                  <w:r>
                    <w:rPr>
                      <w:color w:val="auto"/>
                      <w:sz w:val="21"/>
                      <w:szCs w:val="21"/>
                      <w:lang w:val="en-US"/>
                    </w:rPr>
                    <w:t>8</w:t>
                  </w:r>
                  <w:r>
                    <w:rPr>
                      <w:color w:val="auto"/>
                      <w:sz w:val="21"/>
                      <w:szCs w:val="21"/>
                    </w:rPr>
                    <w:t>类废物，废物代码</w:t>
                  </w:r>
                </w:p>
                <w:p>
                  <w:pPr>
                    <w:spacing w:line="240" w:lineRule="auto"/>
                    <w:ind w:firstLine="0" w:firstLineChars="0"/>
                    <w:jc w:val="center"/>
                    <w:rPr>
                      <w:rFonts w:ascii="Times New Roman" w:hAnsi="Times New Roman" w:eastAsia="宋体" w:cstheme="minorBidi"/>
                      <w:color w:val="auto"/>
                      <w:kern w:val="2"/>
                      <w:sz w:val="21"/>
                      <w:szCs w:val="21"/>
                      <w:lang w:val="en-US" w:eastAsia="zh-CN" w:bidi="ar-SA"/>
                    </w:rPr>
                  </w:pPr>
                  <w:r>
                    <w:rPr>
                      <w:rFonts w:hint="default" w:ascii="Times New Roman" w:hAnsi="Times New Roman" w:cs="Times New Roman"/>
                      <w:color w:val="auto"/>
                      <w:sz w:val="21"/>
                      <w:szCs w:val="21"/>
                    </w:rPr>
                    <w:t>291-001-08</w:t>
                  </w:r>
                </w:p>
              </w:tc>
              <w:tc>
                <w:tcPr>
                  <w:tcW w:w="846" w:type="dxa"/>
                  <w:tcBorders>
                    <w:tl2br w:val="nil"/>
                    <w:tr2bl w:val="nil"/>
                  </w:tcBorders>
                  <w:vAlign w:val="center"/>
                </w:tcPr>
                <w:p>
                  <w:pPr>
                    <w:spacing w:line="240" w:lineRule="auto"/>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color w:val="auto"/>
                      <w:sz w:val="21"/>
                      <w:szCs w:val="21"/>
                      <w:lang w:val="en-US" w:eastAsia="zh-CN"/>
                    </w:rPr>
                    <w:t>5</w:t>
                  </w:r>
                </w:p>
              </w:tc>
              <w:tc>
                <w:tcPr>
                  <w:tcW w:w="670" w:type="dxa"/>
                  <w:vMerge w:val="continue"/>
                  <w:tcBorders>
                    <w:tl2br w:val="nil"/>
                    <w:tr2bl w:val="nil"/>
                  </w:tcBorders>
                  <w:vAlign w:val="center"/>
                </w:tcPr>
                <w:p>
                  <w:pPr>
                    <w:spacing w:line="240" w:lineRule="auto"/>
                    <w:ind w:firstLine="0" w:firstLineChars="0"/>
                    <w:jc w:val="center"/>
                    <w:rPr>
                      <w:rFonts w:hint="eastAsia" w:ascii="Times New Roman" w:hAnsi="Times New Roman" w:eastAsia="宋体" w:cstheme="minorBidi"/>
                      <w:color w:val="auto"/>
                      <w:kern w:val="2"/>
                      <w:sz w:val="21"/>
                      <w:szCs w:val="21"/>
                      <w:lang w:val="en-US" w:eastAsia="zh-CN" w:bidi="ar-SA"/>
                    </w:rPr>
                  </w:pPr>
                </w:p>
              </w:tc>
              <w:tc>
                <w:tcPr>
                  <w:tcW w:w="1691" w:type="dxa"/>
                  <w:vMerge w:val="continue"/>
                  <w:tcBorders>
                    <w:tl2br w:val="nil"/>
                    <w:tr2bl w:val="nil"/>
                  </w:tcBorders>
                  <w:vAlign w:val="center"/>
                </w:tcPr>
                <w:p>
                  <w:pPr>
                    <w:spacing w:line="240" w:lineRule="auto"/>
                    <w:ind w:firstLine="0" w:firstLineChars="0"/>
                    <w:jc w:val="center"/>
                    <w:rPr>
                      <w:rFonts w:hint="default" w:ascii="Times New Roman" w:hAnsi="Times New Roman" w:eastAsia="宋体" w:cstheme="minorBidi"/>
                      <w:color w:val="auto"/>
                      <w:kern w:val="2"/>
                      <w:sz w:val="21"/>
                      <w:szCs w:val="21"/>
                      <w:lang w:val="en-US" w:eastAsia="zh-CN" w:bidi="ar-SA"/>
                    </w:rPr>
                  </w:pPr>
                </w:p>
              </w:tc>
              <w:tc>
                <w:tcPr>
                  <w:tcW w:w="875" w:type="dxa"/>
                  <w:tcBorders>
                    <w:tl2br w:val="nil"/>
                    <w:tr2bl w:val="nil"/>
                  </w:tcBorders>
                  <w:vAlign w:val="center"/>
                </w:tcPr>
                <w:p>
                  <w:pPr>
                    <w:spacing w:line="240" w:lineRule="auto"/>
                    <w:ind w:firstLine="0" w:firstLineChars="0"/>
                    <w:jc w:val="center"/>
                    <w:rPr>
                      <w:rFonts w:hint="eastAsia" w:ascii="Times New Roman" w:hAnsi="Times New Roman" w:eastAsia="宋体" w:cstheme="minorBidi"/>
                      <w:color w:val="auto"/>
                      <w:kern w:val="2"/>
                      <w:sz w:val="21"/>
                      <w:szCs w:val="21"/>
                      <w:lang w:val="en-US" w:eastAsia="zh-CN" w:bidi="ar-SA"/>
                    </w:rPr>
                  </w:pPr>
                  <w:r>
                    <w:rPr>
                      <w:rFonts w:hint="eastAsia"/>
                      <w:color w:val="auto"/>
                      <w:sz w:val="21"/>
                      <w:szCs w:val="21"/>
                      <w:lang w:val="en-US" w:eastAsia="zh-CN"/>
                    </w:rPr>
                    <w:t>5</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b/>
                <w:bCs/>
                <w:color w:val="auto"/>
                <w:sz w:val="24"/>
                <w:szCs w:val="24"/>
                <w:highlight w:val="none"/>
                <w:lang w:val="en-US" w:eastAsia="zh-CN"/>
              </w:rPr>
            </w:pPr>
            <w:r>
              <w:rPr>
                <w:rFonts w:hint="eastAsia"/>
                <w:b/>
                <w:bCs/>
                <w:color w:val="auto"/>
                <w:lang w:val="en-US" w:eastAsia="zh-CN"/>
              </w:rPr>
              <w:t>2.5</w:t>
            </w:r>
            <w:r>
              <w:rPr>
                <w:rFonts w:hint="eastAsia"/>
                <w:b/>
                <w:bCs/>
                <w:color w:val="auto"/>
                <w:sz w:val="24"/>
                <w:szCs w:val="24"/>
                <w:highlight w:val="none"/>
                <w:lang w:val="en-US" w:eastAsia="zh-CN"/>
              </w:rPr>
              <w:t>现有工程污染物排放情况汇总</w:t>
            </w:r>
          </w:p>
          <w:p>
            <w:pPr>
              <w:bidi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现有工程污染物排放情况汇总见</w:t>
            </w:r>
            <w:r>
              <w:rPr>
                <w:rFonts w:hint="eastAsia" w:cs="Times New Roman"/>
                <w:color w:val="auto"/>
                <w:sz w:val="24"/>
                <w:szCs w:val="24"/>
                <w:highlight w:val="none"/>
                <w:lang w:eastAsia="zh-CN"/>
              </w:rPr>
              <w:t>下表</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b/>
                <w:bCs/>
                <w:color w:val="auto"/>
                <w:sz w:val="24"/>
                <w:szCs w:val="24"/>
                <w:highlight w:val="none"/>
              </w:rPr>
            </w:pPr>
            <w:r>
              <w:rPr>
                <w:rFonts w:hint="default"/>
                <w:b/>
                <w:bCs/>
                <w:color w:val="auto"/>
                <w:sz w:val="24"/>
                <w:szCs w:val="24"/>
                <w:highlight w:val="none"/>
              </w:rPr>
              <w:t>表</w:t>
            </w:r>
            <w:r>
              <w:rPr>
                <w:rFonts w:hint="eastAsia"/>
                <w:b/>
                <w:bCs/>
                <w:color w:val="auto"/>
                <w:sz w:val="24"/>
                <w:szCs w:val="24"/>
                <w:highlight w:val="none"/>
                <w:lang w:val="en-US" w:eastAsia="zh-CN"/>
              </w:rPr>
              <w:t xml:space="preserve">3    </w:t>
            </w:r>
            <w:r>
              <w:rPr>
                <w:rFonts w:hint="default"/>
                <w:b/>
                <w:bCs/>
                <w:color w:val="auto"/>
                <w:sz w:val="24"/>
                <w:szCs w:val="24"/>
                <w:highlight w:val="none"/>
              </w:rPr>
              <w:t>现有工程污染物排放情况一览表</w:t>
            </w:r>
          </w:p>
          <w:tbl>
            <w:tblPr>
              <w:tblStyle w:val="17"/>
              <w:tblW w:w="497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15"/>
              <w:gridCol w:w="766"/>
              <w:gridCol w:w="1133"/>
              <w:gridCol w:w="611"/>
              <w:gridCol w:w="738"/>
              <w:gridCol w:w="373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57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项目</w:t>
                  </w: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污染物名称</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单位</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合计</w:t>
                  </w:r>
                </w:p>
              </w:tc>
              <w:tc>
                <w:tcPr>
                  <w:tcW w:w="236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579"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废气</w:t>
                  </w: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颗粒物</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2.513</w:t>
                  </w:r>
                </w:p>
              </w:tc>
              <w:tc>
                <w:tcPr>
                  <w:tcW w:w="2364"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57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非甲烷总烃</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0.72</w:t>
                  </w:r>
                </w:p>
              </w:tc>
              <w:tc>
                <w:tcPr>
                  <w:tcW w:w="236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57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硫化氢</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color w:val="auto"/>
                      <w:sz w:val="21"/>
                      <w:szCs w:val="21"/>
                      <w:highlight w:val="none"/>
                    </w:rPr>
                  </w:pPr>
                  <w:r>
                    <w:rPr>
                      <w:rFonts w:hint="default"/>
                      <w:color w:val="auto"/>
                      <w:sz w:val="21"/>
                      <w:szCs w:val="21"/>
                      <w:highlight w:val="none"/>
                    </w:rPr>
                    <w:t>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0.792</w:t>
                  </w:r>
                </w:p>
              </w:tc>
              <w:tc>
                <w:tcPr>
                  <w:tcW w:w="236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57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r>
                    <w:rPr>
                      <w:rFonts w:hint="eastAsia"/>
                      <w:color w:val="auto"/>
                      <w:sz w:val="21"/>
                      <w:szCs w:val="21"/>
                      <w:highlight w:val="none"/>
                      <w:lang w:eastAsia="zh-CN"/>
                    </w:rPr>
                    <w:t>氮氧化物</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color w:val="auto"/>
                      <w:sz w:val="21"/>
                      <w:szCs w:val="21"/>
                      <w:highlight w:val="none"/>
                    </w:rPr>
                  </w:pPr>
                  <w:r>
                    <w:rPr>
                      <w:rFonts w:hint="default"/>
                      <w:color w:val="auto"/>
                      <w:sz w:val="21"/>
                      <w:szCs w:val="21"/>
                      <w:highlight w:val="none"/>
                    </w:rPr>
                    <w:t>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1.656</w:t>
                  </w:r>
                </w:p>
              </w:tc>
              <w:tc>
                <w:tcPr>
                  <w:tcW w:w="236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57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二氧化硫</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color w:val="auto"/>
                      <w:sz w:val="21"/>
                      <w:szCs w:val="21"/>
                      <w:highlight w:val="none"/>
                    </w:rPr>
                  </w:pPr>
                  <w:r>
                    <w:rPr>
                      <w:rFonts w:hint="default"/>
                      <w:color w:val="auto"/>
                      <w:sz w:val="21"/>
                      <w:szCs w:val="21"/>
                      <w:highlight w:val="none"/>
                    </w:rPr>
                    <w:t>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1.555</w:t>
                  </w:r>
                </w:p>
              </w:tc>
              <w:tc>
                <w:tcPr>
                  <w:tcW w:w="236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579"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废水</w:t>
                  </w: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r>
                    <w:rPr>
                      <w:rFonts w:hint="eastAsia"/>
                      <w:color w:val="auto"/>
                      <w:sz w:val="21"/>
                      <w:szCs w:val="21"/>
                      <w:highlight w:val="none"/>
                      <w:lang w:eastAsia="zh-CN"/>
                    </w:rPr>
                    <w:t>生活污水</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1440</w:t>
                  </w:r>
                </w:p>
              </w:tc>
              <w:tc>
                <w:tcPr>
                  <w:tcW w:w="236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经化粪池收集预处理后，由污水管网最终进入园区污水处理厂进行最终处置。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57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p>
              </w:tc>
              <w:tc>
                <w:tcPr>
                  <w:tcW w:w="484" w:type="pct"/>
                  <w:vMerge w:val="restart"/>
                  <w:tcBorders>
                    <w:right w:val="single" w:color="000000" w:sz="2"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r>
                    <w:rPr>
                      <w:rFonts w:hint="eastAsia"/>
                      <w:color w:val="auto"/>
                      <w:sz w:val="21"/>
                      <w:szCs w:val="21"/>
                      <w:highlight w:val="none"/>
                      <w:lang w:eastAsia="zh-CN"/>
                    </w:rPr>
                    <w:t>生产废水</w:t>
                  </w:r>
                </w:p>
              </w:tc>
              <w:tc>
                <w:tcPr>
                  <w:tcW w:w="717" w:type="pct"/>
                  <w:tcBorders>
                    <w:left w:val="single" w:color="000000" w:sz="2"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r>
                    <w:rPr>
                      <w:rFonts w:hint="eastAsia"/>
                      <w:color w:val="auto"/>
                      <w:sz w:val="21"/>
                      <w:szCs w:val="21"/>
                      <w:highlight w:val="none"/>
                      <w:lang w:eastAsia="zh-CN"/>
                    </w:rPr>
                    <w:t>车间地面冲洗废水</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60</w:t>
                  </w:r>
                </w:p>
              </w:tc>
              <w:tc>
                <w:tcPr>
                  <w:tcW w:w="2364"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r>
                    <w:rPr>
                      <w:rFonts w:hint="eastAsia"/>
                      <w:color w:val="auto"/>
                      <w:sz w:val="21"/>
                      <w:szCs w:val="21"/>
                      <w:highlight w:val="none"/>
                      <w:lang w:eastAsia="zh-CN"/>
                    </w:rPr>
                    <w:t>由污水管网最终进入园区污水处理厂进行最终处置。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57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p>
              </w:tc>
              <w:tc>
                <w:tcPr>
                  <w:tcW w:w="484" w:type="pct"/>
                  <w:vMerge w:val="continue"/>
                  <w:tcBorders>
                    <w:right w:val="single" w:color="000000" w:sz="2"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p>
              </w:tc>
              <w:tc>
                <w:tcPr>
                  <w:tcW w:w="717" w:type="pct"/>
                  <w:tcBorders>
                    <w:left w:val="single" w:color="000000" w:sz="2"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r>
                    <w:rPr>
                      <w:rFonts w:hint="eastAsia"/>
                      <w:color w:val="auto"/>
                      <w:sz w:val="21"/>
                      <w:szCs w:val="21"/>
                      <w:highlight w:val="none"/>
                      <w:lang w:eastAsia="zh-CN"/>
                    </w:rPr>
                    <w:t>余热炉排水</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1800</w:t>
                  </w:r>
                </w:p>
              </w:tc>
              <w:tc>
                <w:tcPr>
                  <w:tcW w:w="236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8" w:hRule="atLeast"/>
                <w:jc w:val="center"/>
              </w:trPr>
              <w:tc>
                <w:tcPr>
                  <w:tcW w:w="579"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一般体</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固废物</w:t>
                  </w: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eastAsia="zh-CN"/>
                    </w:rPr>
                    <w:t>除尘灰</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color w:val="auto"/>
                      <w:sz w:val="21"/>
                      <w:szCs w:val="21"/>
                      <w:highlight w:val="none"/>
                    </w:rPr>
                  </w:pPr>
                  <w:r>
                    <w:rPr>
                      <w:rFonts w:hint="default"/>
                      <w:color w:val="auto"/>
                      <w:sz w:val="21"/>
                      <w:szCs w:val="21"/>
                      <w:highlight w:val="none"/>
                    </w:rPr>
                    <w:t>t/a</w:t>
                  </w:r>
                </w:p>
              </w:tc>
              <w:tc>
                <w:tcPr>
                  <w:tcW w:w="467" w:type="pct"/>
                  <w:tcBorders>
                    <w:tl2br w:val="nil"/>
                    <w:tr2bl w:val="nil"/>
                  </w:tcBorders>
                  <w:noWrap w:val="0"/>
                  <w:vAlign w:val="center"/>
                </w:tcPr>
                <w:p>
                  <w:pPr>
                    <w:spacing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zh-CN"/>
                    </w:rPr>
                  </w:pPr>
                  <w:r>
                    <w:rPr>
                      <w:rFonts w:hint="eastAsia"/>
                      <w:color w:val="auto"/>
                      <w:sz w:val="21"/>
                      <w:szCs w:val="21"/>
                      <w:lang w:val="en-US" w:eastAsia="zh-CN"/>
                    </w:rPr>
                    <w:t>38.708</w:t>
                  </w:r>
                </w:p>
              </w:tc>
              <w:tc>
                <w:tcPr>
                  <w:tcW w:w="236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eastAsia="zh-CN"/>
                    </w:rPr>
                  </w:pPr>
                  <w:r>
                    <w:rPr>
                      <w:rFonts w:hint="eastAsia"/>
                      <w:color w:val="auto"/>
                      <w:sz w:val="21"/>
                      <w:szCs w:val="21"/>
                      <w:highlight w:val="none"/>
                      <w:lang w:eastAsia="zh-CN"/>
                    </w:rPr>
                    <w:t>回用于生产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57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废边角料和不合格品</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11.31</w:t>
                  </w:r>
                </w:p>
              </w:tc>
              <w:tc>
                <w:tcPr>
                  <w:tcW w:w="236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eastAsia"/>
                      <w:color w:val="auto"/>
                      <w:sz w:val="21"/>
                      <w:szCs w:val="21"/>
                      <w:highlight w:val="none"/>
                      <w:lang w:eastAsia="zh-CN"/>
                    </w:rPr>
                    <w:t>回用于生产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57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炉渣</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120</w:t>
                  </w:r>
                </w:p>
              </w:tc>
              <w:tc>
                <w:tcPr>
                  <w:tcW w:w="236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外售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57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生活垃圾</w:t>
                  </w: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生活垃圾</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22.5</w:t>
                  </w:r>
                </w:p>
              </w:tc>
              <w:tc>
                <w:tcPr>
                  <w:tcW w:w="236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rPr>
                  </w:pPr>
                  <w:r>
                    <w:rPr>
                      <w:rFonts w:hint="default"/>
                      <w:color w:val="auto"/>
                      <w:sz w:val="21"/>
                      <w:szCs w:val="21"/>
                      <w:highlight w:val="none"/>
                    </w:rPr>
                    <w:t>生活垃圾经</w:t>
                  </w:r>
                  <w:r>
                    <w:rPr>
                      <w:rFonts w:hint="default"/>
                      <w:color w:val="auto"/>
                      <w:sz w:val="21"/>
                      <w:szCs w:val="21"/>
                      <w:highlight w:val="none"/>
                      <w:lang w:eastAsia="zh-CN"/>
                    </w:rPr>
                    <w:t>厂区内</w:t>
                  </w:r>
                  <w:r>
                    <w:rPr>
                      <w:rFonts w:hint="default"/>
                      <w:color w:val="auto"/>
                      <w:sz w:val="21"/>
                      <w:szCs w:val="21"/>
                      <w:highlight w:val="none"/>
                    </w:rPr>
                    <w:t>垃圾箱集中收集后，</w:t>
                  </w:r>
                  <w:r>
                    <w:rPr>
                      <w:rFonts w:hint="default"/>
                      <w:color w:val="auto"/>
                      <w:sz w:val="21"/>
                      <w:szCs w:val="21"/>
                      <w:highlight w:val="none"/>
                      <w:lang w:eastAsia="zh-CN"/>
                    </w:rPr>
                    <w:t>定期委托环卫部门清运。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579"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危险废物</w:t>
                  </w: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废活性炭</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0.03</w:t>
                  </w:r>
                </w:p>
              </w:tc>
              <w:tc>
                <w:tcPr>
                  <w:tcW w:w="2364"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交由</w:t>
                  </w:r>
                  <w:r>
                    <w:rPr>
                      <w:rFonts w:hint="default" w:ascii="Times New Roman" w:hAnsi="Times New Roman" w:cs="Times New Roman"/>
                      <w:color w:val="auto"/>
                      <w:sz w:val="21"/>
                      <w:szCs w:val="21"/>
                    </w:rPr>
                    <w:t>内蒙古九瑞能源科技有限责任公司处置</w:t>
                  </w:r>
                  <w:r>
                    <w:rPr>
                      <w:rFonts w:hint="eastAsia" w:ascii="Times New Roman" w:hAnsi="Times New Roman" w:cs="Times New Roman"/>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57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p>
              </w:tc>
              <w:tc>
                <w:tcPr>
                  <w:tcW w:w="1202"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r>
                    <w:rPr>
                      <w:rFonts w:hint="eastAsia"/>
                      <w:color w:val="auto"/>
                      <w:sz w:val="21"/>
                      <w:szCs w:val="21"/>
                      <w:highlight w:val="none"/>
                      <w:lang w:eastAsia="zh-CN"/>
                    </w:rPr>
                    <w:t>废导热油</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t/a</w:t>
                  </w:r>
                </w:p>
              </w:tc>
              <w:tc>
                <w:tcPr>
                  <w:tcW w:w="46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236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p>
              </w:tc>
            </w:tr>
          </w:tbl>
          <w:p>
            <w:pPr>
              <w:bidi w:val="0"/>
              <w:rPr>
                <w:rFonts w:hint="eastAsia"/>
                <w:b/>
                <w:bCs/>
                <w:color w:val="auto"/>
                <w:lang w:val="en-US" w:eastAsia="zh-CN"/>
              </w:rPr>
            </w:pPr>
            <w:r>
              <w:rPr>
                <w:rFonts w:hint="eastAsia"/>
                <w:b/>
                <w:bCs/>
                <w:color w:val="auto"/>
                <w:lang w:val="en-US" w:eastAsia="zh-CN"/>
              </w:rPr>
              <w:t>3、现有工程存在问题</w:t>
            </w:r>
          </w:p>
          <w:p>
            <w:pPr>
              <w:keepNext w:val="0"/>
              <w:keepLines w:val="0"/>
              <w:pageBreakBefore w:val="0"/>
              <w:widowControl w:val="0"/>
              <w:kinsoku/>
              <w:wordWrap/>
              <w:overflowPunct/>
              <w:topLinePunct w:val="0"/>
              <w:autoSpaceDE w:val="0"/>
              <w:autoSpaceDN w:val="0"/>
              <w:bidi w:val="0"/>
              <w:adjustRightInd/>
              <w:snapToGrid/>
              <w:spacing w:before="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经对现有工程现场踏勘，现有工程主要存在以下问题：</w:t>
            </w:r>
          </w:p>
          <w:p>
            <w:pPr>
              <w:bidi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未张贴环保标识，建设单位应在“三废”产生点张贴符合要求的保标识</w:t>
            </w:r>
            <w:r>
              <w:rPr>
                <w:rFonts w:hint="default" w:ascii="Times New Roman" w:hAnsi="Times New Roman" w:cs="Times New Roman"/>
                <w:color w:val="auto"/>
                <w:sz w:val="24"/>
                <w:szCs w:val="24"/>
                <w:highlight w:val="none"/>
                <w:lang w:val="en-US" w:eastAsia="zh-CN"/>
              </w:rPr>
              <w:t>。</w:t>
            </w:r>
          </w:p>
          <w:p>
            <w:pPr>
              <w:bidi w:val="0"/>
              <w:rPr>
                <w:rFonts w:hint="eastAsia"/>
                <w:b/>
                <w:bCs/>
                <w:color w:val="auto"/>
                <w:lang w:val="en-US" w:eastAsia="zh-CN"/>
              </w:rPr>
            </w:pPr>
            <w:r>
              <w:rPr>
                <w:rFonts w:hint="eastAsia"/>
                <w:b/>
                <w:bCs/>
                <w:color w:val="auto"/>
                <w:lang w:val="en-US" w:eastAsia="zh-CN"/>
              </w:rPr>
              <w:t>4、整改措施</w:t>
            </w:r>
          </w:p>
          <w:p>
            <w:pPr>
              <w:rPr>
                <w:rFonts w:hint="default"/>
                <w:color w:val="auto"/>
              </w:rPr>
            </w:pPr>
            <w:r>
              <w:rPr>
                <w:rFonts w:hint="default"/>
                <w:color w:val="auto"/>
              </w:rPr>
              <w:t>根据《环境保护图形标志 排放口（源）》（GB15562.1-1995）的相关要求在噪声排放源及废气排放源设置环保标识；</w:t>
            </w:r>
          </w:p>
          <w:p>
            <w:pPr>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color w:val="auto"/>
                <w:sz w:val="24"/>
                <w:szCs w:val="24"/>
                <w:highlight w:val="none"/>
                <w:lang w:eastAsia="zh-CN"/>
              </w:rPr>
              <w:t>表</w:t>
            </w:r>
            <w:r>
              <w:rPr>
                <w:rFonts w:hint="eastAsia"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污染源排放图形标志</w:t>
            </w:r>
          </w:p>
          <w:tbl>
            <w:tblPr>
              <w:tblStyle w:val="17"/>
              <w:tblW w:w="8787"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889"/>
              <w:gridCol w:w="2795"/>
              <w:gridCol w:w="310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374" w:hRule="atLeast"/>
                <w:jc w:val="center"/>
              </w:trPr>
              <w:tc>
                <w:tcPr>
                  <w:tcW w:w="2889" w:type="dxa"/>
                  <w:tcBorders>
                    <w:tl2br w:val="nil"/>
                    <w:tr2bl w:val="nil"/>
                  </w:tcBorders>
                  <w:noWrap w:val="0"/>
                  <w:vAlign w:val="top"/>
                </w:tcPr>
                <w:p>
                  <w:pPr>
                    <w:bidi w:val="0"/>
                    <w:spacing w:line="240" w:lineRule="auto"/>
                    <w:rPr>
                      <w:color w:val="auto"/>
                      <w:sz w:val="21"/>
                      <w:szCs w:val="21"/>
                      <w:highlight w:val="none"/>
                    </w:rPr>
                  </w:pPr>
                  <w:r>
                    <w:rPr>
                      <w:color w:val="auto"/>
                      <w:sz w:val="21"/>
                      <w:szCs w:val="21"/>
                      <w:highlight w:val="none"/>
                    </w:rPr>
                    <w:drawing>
                      <wp:anchor distT="0" distB="0" distL="114300" distR="114300" simplePos="0" relativeHeight="251659264" behindDoc="0" locked="0" layoutInCell="1" allowOverlap="1">
                        <wp:simplePos x="0" y="0"/>
                        <wp:positionH relativeFrom="column">
                          <wp:posOffset>289560</wp:posOffset>
                        </wp:positionH>
                        <wp:positionV relativeFrom="paragraph">
                          <wp:posOffset>60325</wp:posOffset>
                        </wp:positionV>
                        <wp:extent cx="743585" cy="743585"/>
                        <wp:effectExtent l="0" t="0" r="3175" b="3175"/>
                        <wp:wrapNone/>
                        <wp:docPr id="3" name="图片 23" descr="点击看大图及详细资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descr="点击看大图及详细资料"/>
                                <pic:cNvPicPr>
                                  <a:picLocks noChangeAspect="1"/>
                                </pic:cNvPicPr>
                              </pic:nvPicPr>
                              <pic:blipFill>
                                <a:blip r:embed="rId28"/>
                                <a:stretch>
                                  <a:fillRect/>
                                </a:stretch>
                              </pic:blipFill>
                              <pic:spPr>
                                <a:xfrm>
                                  <a:off x="0" y="0"/>
                                  <a:ext cx="743585" cy="743585"/>
                                </a:xfrm>
                                <a:prstGeom prst="rect">
                                  <a:avLst/>
                                </a:prstGeom>
                                <a:noFill/>
                                <a:ln>
                                  <a:noFill/>
                                </a:ln>
                              </pic:spPr>
                            </pic:pic>
                          </a:graphicData>
                        </a:graphic>
                      </wp:anchor>
                    </w:drawing>
                  </w:r>
                </w:p>
                <w:p>
                  <w:pPr>
                    <w:bidi w:val="0"/>
                    <w:spacing w:line="240" w:lineRule="auto"/>
                    <w:rPr>
                      <w:color w:val="auto"/>
                      <w:sz w:val="21"/>
                      <w:szCs w:val="21"/>
                      <w:highlight w:val="none"/>
                    </w:rPr>
                  </w:pPr>
                </w:p>
                <w:p>
                  <w:pPr>
                    <w:bidi w:val="0"/>
                    <w:spacing w:line="240" w:lineRule="auto"/>
                    <w:rPr>
                      <w:color w:val="auto"/>
                      <w:sz w:val="21"/>
                      <w:szCs w:val="21"/>
                      <w:highlight w:val="none"/>
                    </w:rPr>
                  </w:pPr>
                </w:p>
                <w:p>
                  <w:pPr>
                    <w:bidi w:val="0"/>
                    <w:spacing w:line="240" w:lineRule="auto"/>
                    <w:rPr>
                      <w:color w:val="auto"/>
                      <w:sz w:val="21"/>
                      <w:szCs w:val="21"/>
                      <w:highlight w:val="none"/>
                    </w:rPr>
                  </w:pPr>
                </w:p>
              </w:tc>
              <w:tc>
                <w:tcPr>
                  <w:tcW w:w="2795" w:type="dxa"/>
                  <w:tcBorders>
                    <w:tl2br w:val="nil"/>
                    <w:tr2bl w:val="nil"/>
                  </w:tcBorders>
                  <w:noWrap w:val="0"/>
                  <w:vAlign w:val="center"/>
                </w:tcPr>
                <w:p>
                  <w:pPr>
                    <w:bidi w:val="0"/>
                    <w:spacing w:line="240" w:lineRule="auto"/>
                    <w:rPr>
                      <w:color w:val="auto"/>
                      <w:sz w:val="21"/>
                      <w:szCs w:val="21"/>
                      <w:highlight w:val="none"/>
                    </w:rPr>
                  </w:pPr>
                  <w:r>
                    <w:rPr>
                      <w:color w:val="auto"/>
                      <w:sz w:val="21"/>
                      <w:szCs w:val="21"/>
                      <w:highlight w:val="none"/>
                    </w:rPr>
                    <w:t>标志名称：噪声排放源</w:t>
                  </w:r>
                </w:p>
                <w:p>
                  <w:pPr>
                    <w:bidi w:val="0"/>
                    <w:spacing w:line="240" w:lineRule="auto"/>
                    <w:rPr>
                      <w:color w:val="auto"/>
                      <w:sz w:val="21"/>
                      <w:szCs w:val="21"/>
                      <w:highlight w:val="none"/>
                    </w:rPr>
                  </w:pPr>
                  <w:r>
                    <w:rPr>
                      <w:color w:val="auto"/>
                      <w:sz w:val="21"/>
                      <w:szCs w:val="21"/>
                      <w:highlight w:val="none"/>
                    </w:rPr>
                    <w:t>国标代码：GB 15562.1－1995</w:t>
                  </w:r>
                </w:p>
              </w:tc>
              <w:tc>
                <w:tcPr>
                  <w:tcW w:w="3103" w:type="dxa"/>
                  <w:tcBorders>
                    <w:tl2br w:val="nil"/>
                    <w:tr2bl w:val="nil"/>
                  </w:tcBorders>
                  <w:noWrap w:val="0"/>
                  <w:vAlign w:val="center"/>
                </w:tcPr>
                <w:p>
                  <w:pPr>
                    <w:bidi w:val="0"/>
                    <w:spacing w:line="240" w:lineRule="auto"/>
                    <w:ind w:left="0" w:leftChars="0" w:firstLine="0" w:firstLineChars="0"/>
                    <w:rPr>
                      <w:color w:val="auto"/>
                      <w:sz w:val="21"/>
                      <w:szCs w:val="21"/>
                      <w:highlight w:val="none"/>
                    </w:rPr>
                  </w:pPr>
                  <w:r>
                    <w:rPr>
                      <w:color w:val="auto"/>
                      <w:sz w:val="21"/>
                      <w:szCs w:val="21"/>
                      <w:highlight w:val="none"/>
                    </w:rPr>
                    <w:t>简介：</w:t>
                  </w:r>
                </w:p>
                <w:p>
                  <w:pPr>
                    <w:bidi w:val="0"/>
                    <w:spacing w:line="240" w:lineRule="auto"/>
                    <w:rPr>
                      <w:color w:val="auto"/>
                      <w:sz w:val="21"/>
                      <w:szCs w:val="21"/>
                      <w:highlight w:val="none"/>
                    </w:rPr>
                  </w:pPr>
                  <w:r>
                    <w:rPr>
                      <w:color w:val="auto"/>
                      <w:sz w:val="21"/>
                      <w:szCs w:val="21"/>
                      <w:highlight w:val="none"/>
                    </w:rPr>
                    <w:t>提示图形符号</w:t>
                  </w:r>
                </w:p>
                <w:p>
                  <w:pPr>
                    <w:bidi w:val="0"/>
                    <w:spacing w:line="240" w:lineRule="auto"/>
                    <w:rPr>
                      <w:color w:val="auto"/>
                      <w:sz w:val="21"/>
                      <w:szCs w:val="21"/>
                      <w:highlight w:val="none"/>
                    </w:rPr>
                  </w:pPr>
                  <w:r>
                    <w:rPr>
                      <w:color w:val="auto"/>
                      <w:sz w:val="21"/>
                      <w:szCs w:val="21"/>
                      <w:highlight w:val="none"/>
                    </w:rPr>
                    <w:t>噪声排放源</w:t>
                  </w:r>
                </w:p>
                <w:p>
                  <w:pPr>
                    <w:bidi w:val="0"/>
                    <w:spacing w:line="240" w:lineRule="auto"/>
                    <w:rPr>
                      <w:color w:val="auto"/>
                      <w:sz w:val="21"/>
                      <w:szCs w:val="21"/>
                      <w:highlight w:val="none"/>
                    </w:rPr>
                  </w:pPr>
                  <w:r>
                    <w:rPr>
                      <w:color w:val="auto"/>
                      <w:sz w:val="21"/>
                      <w:szCs w:val="21"/>
                      <w:highlight w:val="none"/>
                    </w:rPr>
                    <w:t>表示噪声向外环境排放</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421" w:hRule="atLeast"/>
                <w:jc w:val="center"/>
              </w:trPr>
              <w:tc>
                <w:tcPr>
                  <w:tcW w:w="2889" w:type="dxa"/>
                  <w:tcBorders>
                    <w:tl2br w:val="nil"/>
                    <w:tr2bl w:val="nil"/>
                  </w:tcBorders>
                  <w:noWrap w:val="0"/>
                  <w:vAlign w:val="top"/>
                </w:tcPr>
                <w:p>
                  <w:pPr>
                    <w:bidi w:val="0"/>
                    <w:spacing w:line="240" w:lineRule="auto"/>
                    <w:rPr>
                      <w:color w:val="auto"/>
                      <w:sz w:val="21"/>
                      <w:szCs w:val="21"/>
                      <w:highlight w:val="none"/>
                    </w:rPr>
                  </w:pPr>
                  <w:r>
                    <w:rPr>
                      <w:color w:val="auto"/>
                      <w:sz w:val="21"/>
                      <w:szCs w:val="21"/>
                      <w:highlight w:val="none"/>
                    </w:rPr>
                    <w:drawing>
                      <wp:anchor distT="0" distB="0" distL="114300" distR="114300" simplePos="0" relativeHeight="251660288" behindDoc="0" locked="0" layoutInCell="1" allowOverlap="1">
                        <wp:simplePos x="0" y="0"/>
                        <wp:positionH relativeFrom="column">
                          <wp:posOffset>318135</wp:posOffset>
                        </wp:positionH>
                        <wp:positionV relativeFrom="paragraph">
                          <wp:posOffset>51435</wp:posOffset>
                        </wp:positionV>
                        <wp:extent cx="742950" cy="742950"/>
                        <wp:effectExtent l="0" t="0" r="3810" b="3810"/>
                        <wp:wrapNone/>
                        <wp:docPr id="4" name="图片 22" descr="点击看大图及详细资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descr="点击看大图及详细资料"/>
                                <pic:cNvPicPr>
                                  <a:picLocks noChangeAspect="1"/>
                                </pic:cNvPicPr>
                              </pic:nvPicPr>
                              <pic:blipFill>
                                <a:blip r:embed="rId29"/>
                                <a:stretch>
                                  <a:fillRect/>
                                </a:stretch>
                              </pic:blipFill>
                              <pic:spPr>
                                <a:xfrm>
                                  <a:off x="0" y="0"/>
                                  <a:ext cx="742950" cy="742950"/>
                                </a:xfrm>
                                <a:prstGeom prst="rect">
                                  <a:avLst/>
                                </a:prstGeom>
                                <a:noFill/>
                                <a:ln>
                                  <a:noFill/>
                                </a:ln>
                              </pic:spPr>
                            </pic:pic>
                          </a:graphicData>
                        </a:graphic>
                      </wp:anchor>
                    </w:drawing>
                  </w:r>
                </w:p>
                <w:p>
                  <w:pPr>
                    <w:bidi w:val="0"/>
                    <w:spacing w:line="240" w:lineRule="auto"/>
                    <w:rPr>
                      <w:color w:val="auto"/>
                      <w:sz w:val="21"/>
                      <w:szCs w:val="21"/>
                      <w:highlight w:val="none"/>
                    </w:rPr>
                  </w:pPr>
                </w:p>
                <w:p>
                  <w:pPr>
                    <w:bidi w:val="0"/>
                    <w:spacing w:line="240" w:lineRule="auto"/>
                    <w:rPr>
                      <w:color w:val="auto"/>
                      <w:sz w:val="21"/>
                      <w:szCs w:val="21"/>
                      <w:highlight w:val="none"/>
                    </w:rPr>
                  </w:pPr>
                </w:p>
                <w:p>
                  <w:pPr>
                    <w:bidi w:val="0"/>
                    <w:spacing w:line="240" w:lineRule="auto"/>
                    <w:rPr>
                      <w:color w:val="auto"/>
                      <w:sz w:val="21"/>
                      <w:szCs w:val="21"/>
                      <w:highlight w:val="none"/>
                    </w:rPr>
                  </w:pPr>
                </w:p>
              </w:tc>
              <w:tc>
                <w:tcPr>
                  <w:tcW w:w="2795" w:type="dxa"/>
                  <w:tcBorders>
                    <w:tl2br w:val="nil"/>
                    <w:tr2bl w:val="nil"/>
                  </w:tcBorders>
                  <w:noWrap w:val="0"/>
                  <w:vAlign w:val="center"/>
                </w:tcPr>
                <w:p>
                  <w:pPr>
                    <w:bidi w:val="0"/>
                    <w:spacing w:line="240" w:lineRule="auto"/>
                    <w:rPr>
                      <w:color w:val="auto"/>
                      <w:sz w:val="21"/>
                      <w:szCs w:val="21"/>
                      <w:highlight w:val="none"/>
                    </w:rPr>
                  </w:pPr>
                  <w:r>
                    <w:rPr>
                      <w:color w:val="auto"/>
                      <w:sz w:val="21"/>
                      <w:szCs w:val="21"/>
                      <w:highlight w:val="none"/>
                    </w:rPr>
                    <w:t>标志名称：废气排放口</w:t>
                  </w:r>
                </w:p>
                <w:p>
                  <w:pPr>
                    <w:bidi w:val="0"/>
                    <w:spacing w:line="240" w:lineRule="auto"/>
                    <w:rPr>
                      <w:color w:val="auto"/>
                      <w:sz w:val="21"/>
                      <w:szCs w:val="21"/>
                      <w:highlight w:val="none"/>
                    </w:rPr>
                  </w:pPr>
                  <w:r>
                    <w:rPr>
                      <w:color w:val="auto"/>
                      <w:sz w:val="21"/>
                      <w:szCs w:val="21"/>
                      <w:highlight w:val="none"/>
                    </w:rPr>
                    <w:t>国标代码：GB 15562.1－1995</w:t>
                  </w:r>
                </w:p>
              </w:tc>
              <w:tc>
                <w:tcPr>
                  <w:tcW w:w="3103" w:type="dxa"/>
                  <w:tcBorders>
                    <w:tl2br w:val="nil"/>
                    <w:tr2bl w:val="nil"/>
                  </w:tcBorders>
                  <w:noWrap w:val="0"/>
                  <w:vAlign w:val="center"/>
                </w:tcPr>
                <w:p>
                  <w:pPr>
                    <w:bidi w:val="0"/>
                    <w:spacing w:line="240" w:lineRule="auto"/>
                    <w:ind w:left="0" w:leftChars="0" w:firstLine="0" w:firstLineChars="0"/>
                    <w:rPr>
                      <w:color w:val="auto"/>
                      <w:sz w:val="21"/>
                      <w:szCs w:val="21"/>
                      <w:highlight w:val="none"/>
                    </w:rPr>
                  </w:pPr>
                  <w:r>
                    <w:rPr>
                      <w:color w:val="auto"/>
                      <w:sz w:val="21"/>
                      <w:szCs w:val="21"/>
                      <w:highlight w:val="none"/>
                    </w:rPr>
                    <w:t>简介：</w:t>
                  </w:r>
                </w:p>
                <w:p>
                  <w:pPr>
                    <w:bidi w:val="0"/>
                    <w:spacing w:line="240" w:lineRule="auto"/>
                    <w:rPr>
                      <w:color w:val="auto"/>
                      <w:sz w:val="21"/>
                      <w:szCs w:val="21"/>
                      <w:highlight w:val="none"/>
                    </w:rPr>
                  </w:pPr>
                  <w:r>
                    <w:rPr>
                      <w:color w:val="auto"/>
                      <w:sz w:val="21"/>
                      <w:szCs w:val="21"/>
                      <w:highlight w:val="none"/>
                    </w:rPr>
                    <w:t>提示图形符号</w:t>
                  </w:r>
                </w:p>
                <w:p>
                  <w:pPr>
                    <w:bidi w:val="0"/>
                    <w:spacing w:line="240" w:lineRule="auto"/>
                    <w:rPr>
                      <w:color w:val="auto"/>
                      <w:sz w:val="21"/>
                      <w:szCs w:val="21"/>
                      <w:highlight w:val="none"/>
                    </w:rPr>
                  </w:pPr>
                  <w:r>
                    <w:rPr>
                      <w:color w:val="auto"/>
                      <w:sz w:val="21"/>
                      <w:szCs w:val="21"/>
                      <w:highlight w:val="none"/>
                    </w:rPr>
                    <w:t>废气排放口</w:t>
                  </w:r>
                </w:p>
                <w:p>
                  <w:pPr>
                    <w:bidi w:val="0"/>
                    <w:spacing w:line="240" w:lineRule="auto"/>
                    <w:rPr>
                      <w:color w:val="auto"/>
                      <w:sz w:val="21"/>
                      <w:szCs w:val="21"/>
                      <w:highlight w:val="none"/>
                    </w:rPr>
                  </w:pPr>
                  <w:r>
                    <w:rPr>
                      <w:color w:val="auto"/>
                      <w:sz w:val="21"/>
                      <w:szCs w:val="21"/>
                      <w:highlight w:val="none"/>
                    </w:rPr>
                    <w:t>表示废气向大气环境排放</w:t>
                  </w:r>
                </w:p>
              </w:tc>
            </w:tr>
          </w:tbl>
          <w:p>
            <w:pPr>
              <w:keepNext w:val="0"/>
              <w:keepLines w:val="0"/>
              <w:pageBreakBefore w:val="0"/>
              <w:widowControl w:val="0"/>
              <w:kinsoku/>
              <w:wordWrap/>
              <w:overflowPunct/>
              <w:topLinePunct w:val="0"/>
              <w:autoSpaceDE w:val="0"/>
              <w:autoSpaceDN w:val="0"/>
              <w:bidi w:val="0"/>
              <w:adjustRightInd/>
              <w:snapToGrid/>
              <w:spacing w:before="0"/>
              <w:ind w:left="0" w:firstLine="480" w:firstLineChars="200"/>
              <w:textAlignment w:val="auto"/>
              <w:rPr>
                <w:rFonts w:hint="eastAsia"/>
                <w:color w:val="auto"/>
                <w:sz w:val="24"/>
                <w:szCs w:val="24"/>
                <w:lang w:val="en-US" w:eastAsia="zh-CN"/>
              </w:rPr>
            </w:pPr>
            <w:r>
              <w:rPr>
                <w:rFonts w:hint="eastAsia"/>
                <w:color w:val="auto"/>
                <w:sz w:val="24"/>
                <w:szCs w:val="24"/>
                <w:lang w:val="en-US" w:eastAsia="zh-CN"/>
              </w:rPr>
              <w:t>具体整改内容级整改投资见下表。</w:t>
            </w:r>
          </w:p>
          <w:p>
            <w:pPr>
              <w:keepNext w:val="0"/>
              <w:keepLines w:val="0"/>
              <w:pageBreakBefore w:val="0"/>
              <w:widowControl w:val="0"/>
              <w:kinsoku/>
              <w:wordWrap/>
              <w:overflowPunct/>
              <w:topLinePunct w:val="0"/>
              <w:autoSpaceDE w:val="0"/>
              <w:autoSpaceDN w:val="0"/>
              <w:bidi w:val="0"/>
              <w:adjustRightInd/>
              <w:snapToGrid/>
              <w:spacing w:before="0"/>
              <w:ind w:firstLine="0" w:firstLineChars="0"/>
              <w:jc w:val="center"/>
              <w:textAlignment w:val="auto"/>
              <w:rPr>
                <w:rFonts w:hint="eastAsia"/>
                <w:b/>
                <w:bCs/>
                <w:color w:val="auto"/>
                <w:sz w:val="24"/>
                <w:szCs w:val="24"/>
                <w:lang w:val="en-US" w:eastAsia="zh-CN"/>
              </w:rPr>
            </w:pPr>
            <w:r>
              <w:rPr>
                <w:rFonts w:hint="eastAsia"/>
                <w:b/>
                <w:bCs/>
                <w:color w:val="auto"/>
                <w:sz w:val="24"/>
                <w:szCs w:val="24"/>
                <w:lang w:val="en-US" w:eastAsia="zh-CN"/>
              </w:rPr>
              <w:t>表5   整改内容及整改投资一览表</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34"/>
              <w:gridCol w:w="2001"/>
              <w:gridCol w:w="2530"/>
              <w:gridCol w:w="1029"/>
              <w:gridCol w:w="176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39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序号</w:t>
                  </w:r>
                </w:p>
              </w:tc>
              <w:tc>
                <w:tcPr>
                  <w:tcW w:w="125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存在问题</w:t>
                  </w:r>
                </w:p>
              </w:tc>
              <w:tc>
                <w:tcPr>
                  <w:tcW w:w="158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整改措施</w:t>
                  </w:r>
                </w:p>
              </w:tc>
              <w:tc>
                <w:tcPr>
                  <w:tcW w:w="6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整改时限</w:t>
                  </w:r>
                </w:p>
              </w:tc>
              <w:tc>
                <w:tcPr>
                  <w:tcW w:w="110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整改投资（万元）</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39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vertAlign w:val="baseline"/>
                      <w:lang w:val="en-US" w:eastAsia="zh-CN" w:bidi="zh-CN"/>
                    </w:rPr>
                  </w:pPr>
                  <w:r>
                    <w:rPr>
                      <w:rFonts w:hint="eastAsia" w:eastAsia="宋体" w:cs="Times New Roman"/>
                      <w:color w:val="auto"/>
                      <w:sz w:val="21"/>
                      <w:szCs w:val="21"/>
                      <w:vertAlign w:val="baseline"/>
                      <w:lang w:val="en-US" w:eastAsia="zh-CN"/>
                    </w:rPr>
                    <w:t>1</w:t>
                  </w:r>
                </w:p>
              </w:tc>
              <w:tc>
                <w:tcPr>
                  <w:tcW w:w="125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未张贴环保标识，建设单位应在“三废”产生点张贴符合要求的保标识</w:t>
                  </w:r>
                </w:p>
              </w:tc>
              <w:tc>
                <w:tcPr>
                  <w:tcW w:w="158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根据《环境保护图形标志 排放口（源）》（GB15562.1-1995）的相关要求在噪声排放源及废气排放源设置环保标识</w:t>
                  </w:r>
                </w:p>
              </w:tc>
              <w:tc>
                <w:tcPr>
                  <w:tcW w:w="646" w:type="pct"/>
                  <w:tcBorders>
                    <w:tl2br w:val="nil"/>
                    <w:tr2bl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0" w:right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2022年5月-6月</w:t>
                  </w:r>
                </w:p>
              </w:tc>
              <w:tc>
                <w:tcPr>
                  <w:tcW w:w="110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3891" w:type="pct"/>
                  <w:gridSpan w:val="4"/>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合计</w:t>
                  </w:r>
                </w:p>
              </w:tc>
              <w:tc>
                <w:tcPr>
                  <w:tcW w:w="110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0.05</w:t>
                  </w:r>
                </w:p>
              </w:tc>
            </w:tr>
          </w:tbl>
          <w:p>
            <w:pPr>
              <w:rPr>
                <w:rFonts w:hint="default"/>
                <w:color w:val="auto"/>
              </w:rPr>
            </w:pPr>
          </w:p>
          <w:p>
            <w:pPr>
              <w:bidi w:val="0"/>
              <w:rPr>
                <w:rFonts w:hint="default"/>
                <w:color w:val="auto"/>
                <w:lang w:val="en-US" w:eastAsia="zh-CN"/>
              </w:rPr>
            </w:pPr>
          </w:p>
        </w:tc>
      </w:tr>
    </w:tbl>
    <w:p>
      <w:pPr>
        <w:rPr>
          <w:rFonts w:hint="default" w:ascii="Times New Roman" w:hAnsi="Times New Roman" w:eastAsia="宋体" w:cs="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rPr>
          <w:rFonts w:hint="default" w:ascii="Times New Roman" w:hAnsi="Times New Roman" w:eastAsia="宋体" w:cs="Times New Roman"/>
          <w:color w:val="auto"/>
        </w:rPr>
      </w:pPr>
      <w:r>
        <w:rPr>
          <w:rFonts w:hint="default" w:ascii="Times New Roman" w:hAnsi="Times New Roman" w:eastAsia="宋体" w:cs="Times New Roman"/>
          <w:color w:val="auto"/>
        </w:rPr>
        <w:t>三、区域环境质量现状、环境保护目标及评价标准</w:t>
      </w:r>
    </w:p>
    <w:tbl>
      <w:tblPr>
        <w:tblStyle w:val="17"/>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8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68" w:type="dxa"/>
            <w:vAlign w:val="center"/>
          </w:tcPr>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区域</w:t>
            </w:r>
          </w:p>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环境</w:t>
            </w:r>
          </w:p>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质量</w:t>
            </w:r>
          </w:p>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现状</w:t>
            </w:r>
          </w:p>
        </w:tc>
        <w:tc>
          <w:tcPr>
            <w:tcW w:w="7854" w:type="dxa"/>
            <w:vAlign w:val="center"/>
          </w:tcPr>
          <w:p>
            <w:pPr>
              <w:ind w:firstLine="482"/>
              <w:rPr>
                <w:rFonts w:hint="default" w:ascii="Times New Roman" w:hAnsi="Times New Roman" w:eastAsia="宋体" w:cs="Times New Roman"/>
                <w:b/>
                <w:bCs/>
                <w:color w:val="auto"/>
              </w:rPr>
            </w:pPr>
            <w:r>
              <w:rPr>
                <w:rFonts w:hint="default" w:ascii="Times New Roman" w:hAnsi="Times New Roman" w:eastAsia="宋体" w:cs="Times New Roman"/>
                <w:b/>
                <w:bCs/>
                <w:color w:val="auto"/>
              </w:rPr>
              <w:t>1、环境空气质量现状</w:t>
            </w:r>
          </w:p>
          <w:p>
            <w:pPr>
              <w:ind w:firstLine="482"/>
              <w:rPr>
                <w:rFonts w:hint="default" w:ascii="Times New Roman" w:hAnsi="Times New Roman" w:eastAsia="宋体" w:cs="Times New Roman"/>
                <w:b/>
                <w:bCs/>
                <w:color w:val="auto"/>
              </w:rPr>
            </w:pPr>
            <w:r>
              <w:rPr>
                <w:rFonts w:hint="default" w:ascii="Times New Roman" w:hAnsi="Times New Roman" w:eastAsia="宋体" w:cs="Times New Roman"/>
                <w:b/>
                <w:bCs/>
                <w:color w:val="auto"/>
              </w:rPr>
              <w:t>1.1</w:t>
            </w:r>
            <w:r>
              <w:rPr>
                <w:rFonts w:hint="eastAsia" w:cs="Times New Roman"/>
                <w:b/>
                <w:bCs/>
                <w:color w:val="auto"/>
                <w:lang w:val="en-US" w:eastAsia="zh-CN"/>
              </w:rPr>
              <w:t>项目所在</w:t>
            </w:r>
            <w:r>
              <w:rPr>
                <w:rFonts w:hint="default" w:ascii="Times New Roman" w:hAnsi="Times New Roman" w:eastAsia="宋体" w:cs="Times New Roman"/>
                <w:b/>
                <w:bCs/>
                <w:color w:val="auto"/>
              </w:rPr>
              <w:t>区域环境质量达标情况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根据《环境影响评价技术导则 大气环境》（HJ2.2-2018）中6.4.1.1中的内容“城市环境空气质量达标评价指标为SO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，六项污染物全部达标即为城市环境空气质量达标”。</w:t>
            </w:r>
          </w:p>
          <w:p>
            <w:pPr>
              <w:pStyle w:val="7"/>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kern w:val="0"/>
                <w:sz w:val="24"/>
                <w:szCs w:val="24"/>
                <w:highlight w:val="none"/>
              </w:rPr>
              <w:t>本项目环境质量现状数据来源于乌拉特前旗区控自动站2021年数据作为评价区域达标情况的依据</w:t>
            </w:r>
            <w:r>
              <w:rPr>
                <w:rFonts w:hint="default"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eastAsia="zh-CN"/>
              </w:rPr>
              <w:t>见下表</w:t>
            </w:r>
            <w:r>
              <w:rPr>
                <w:rFonts w:hint="default" w:ascii="Times New Roman" w:hAnsi="Times New Roman" w:eastAsia="宋体" w:cs="Times New Roman"/>
                <w:color w:val="auto"/>
                <w:kern w:val="0"/>
                <w:sz w:val="24"/>
                <w:szCs w:val="24"/>
                <w:highlight w:val="none"/>
              </w:rPr>
              <w:t>。</w:t>
            </w:r>
          </w:p>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482" w:firstLineChars="200"/>
              <w:jc w:val="center"/>
              <w:textAlignment w:val="bottom"/>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eastAsia" w:cs="Times New Roman"/>
                <w:b/>
                <w:bCs/>
                <w:color w:val="auto"/>
                <w:sz w:val="24"/>
                <w:szCs w:val="24"/>
                <w:lang w:val="en-US" w:eastAsia="zh-CN"/>
              </w:rPr>
              <w:t>25</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大气环境质量现状与评价结果一览表</w:t>
            </w:r>
          </w:p>
          <w:tbl>
            <w:tblPr>
              <w:tblStyle w:val="17"/>
              <w:tblW w:w="77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087"/>
              <w:gridCol w:w="1701"/>
              <w:gridCol w:w="1124"/>
              <w:gridCol w:w="1222"/>
              <w:gridCol w:w="764"/>
              <w:gridCol w:w="8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2" w:hRule="atLeast"/>
                <w:tblHeader/>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r>
                    <w:rPr>
                      <w:rFonts w:hint="default"/>
                      <w:b/>
                      <w:bCs/>
                      <w:color w:val="auto"/>
                      <w:sz w:val="21"/>
                      <w:szCs w:val="21"/>
                    </w:rPr>
                    <w:t>污染物</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r>
                    <w:rPr>
                      <w:rFonts w:hint="default"/>
                      <w:b/>
                      <w:bCs/>
                      <w:color w:val="auto"/>
                      <w:sz w:val="21"/>
                      <w:szCs w:val="21"/>
                    </w:rPr>
                    <w:t>年评价指标</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r>
                    <w:rPr>
                      <w:rFonts w:hint="default"/>
                      <w:b/>
                      <w:bCs/>
                      <w:color w:val="auto"/>
                      <w:sz w:val="21"/>
                      <w:szCs w:val="21"/>
                    </w:rPr>
                    <w:t>现状浓度（ug/m</w:t>
                  </w:r>
                  <w:r>
                    <w:rPr>
                      <w:rFonts w:hint="default"/>
                      <w:b/>
                      <w:bCs/>
                      <w:color w:val="auto"/>
                      <w:sz w:val="21"/>
                      <w:szCs w:val="21"/>
                      <w:vertAlign w:val="superscript"/>
                    </w:rPr>
                    <w:t>3</w:t>
                  </w:r>
                  <w:r>
                    <w:rPr>
                      <w:rFonts w:hint="default"/>
                      <w:b/>
                      <w:bCs/>
                      <w:color w:val="auto"/>
                      <w:sz w:val="21"/>
                      <w:szCs w:val="21"/>
                    </w:rPr>
                    <w:t>）</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r>
                    <w:rPr>
                      <w:rFonts w:hint="default"/>
                      <w:b/>
                      <w:bCs/>
                      <w:color w:val="auto"/>
                      <w:sz w:val="21"/>
                      <w:szCs w:val="21"/>
                    </w:rPr>
                    <w:t>标准值（ug/m</w:t>
                  </w:r>
                  <w:r>
                    <w:rPr>
                      <w:rFonts w:hint="default"/>
                      <w:b/>
                      <w:bCs/>
                      <w:color w:val="auto"/>
                      <w:sz w:val="21"/>
                      <w:szCs w:val="21"/>
                      <w:vertAlign w:val="superscript"/>
                    </w:rPr>
                    <w:t>3</w:t>
                  </w:r>
                  <w:r>
                    <w:rPr>
                      <w:rFonts w:hint="default"/>
                      <w:b/>
                      <w:bCs/>
                      <w:color w:val="auto"/>
                      <w:sz w:val="21"/>
                      <w:szCs w:val="21"/>
                    </w:rPr>
                    <w:t>）</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r>
                    <w:rPr>
                      <w:rFonts w:hint="default"/>
                      <w:b/>
                      <w:bCs/>
                      <w:color w:val="auto"/>
                      <w:sz w:val="21"/>
                      <w:szCs w:val="21"/>
                    </w:rPr>
                    <w:t>占标率%</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r>
                    <w:rPr>
                      <w:rFonts w:hint="default"/>
                      <w:b/>
                      <w:bCs/>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细颗粒物（PM2.5）</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年平均质量</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15</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35</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lang w:val="en-US"/>
                    </w:rPr>
                  </w:pPr>
                  <w:r>
                    <w:rPr>
                      <w:rFonts w:hint="eastAsia"/>
                      <w:color w:val="auto"/>
                      <w:sz w:val="21"/>
                      <w:szCs w:val="21"/>
                      <w:lang w:val="en-US" w:eastAsia="zh-CN"/>
                    </w:rPr>
                    <w:t>42.9</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可吸入颗粒（PM10）</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年平均质量</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59</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70</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lang w:val="en-US"/>
                    </w:rPr>
                  </w:pPr>
                  <w:r>
                    <w:rPr>
                      <w:rFonts w:hint="eastAsia"/>
                      <w:color w:val="auto"/>
                      <w:sz w:val="21"/>
                      <w:szCs w:val="21"/>
                      <w:lang w:val="en-US" w:eastAsia="zh-CN"/>
                    </w:rPr>
                    <w:t>84.3</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6" w:hRule="atLeast"/>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二氧化硫</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年平均质量</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13</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60</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lang w:val="en-US"/>
                    </w:rPr>
                  </w:pPr>
                  <w:r>
                    <w:rPr>
                      <w:rFonts w:hint="eastAsia"/>
                      <w:color w:val="auto"/>
                      <w:sz w:val="21"/>
                      <w:szCs w:val="21"/>
                      <w:lang w:val="en-US" w:eastAsia="zh-CN"/>
                    </w:rPr>
                    <w:t>21.7</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二氧化氮</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年平均质量</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26</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40</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lang w:val="en-US"/>
                    </w:rPr>
                  </w:pPr>
                  <w:r>
                    <w:rPr>
                      <w:rFonts w:hint="eastAsia"/>
                      <w:color w:val="auto"/>
                      <w:sz w:val="21"/>
                      <w:szCs w:val="21"/>
                      <w:lang w:val="en-US" w:eastAsia="zh-CN"/>
                    </w:rPr>
                    <w:t>65.0</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一氧化碳</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日平均浓度</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1200</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4000</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30.0</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0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臭氧</w:t>
                  </w:r>
                </w:p>
              </w:tc>
              <w:tc>
                <w:tcPr>
                  <w:tcW w:w="17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8小时平均浓度</w:t>
                  </w:r>
                </w:p>
              </w:tc>
              <w:tc>
                <w:tcPr>
                  <w:tcW w:w="112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140</w:t>
                  </w:r>
                </w:p>
              </w:tc>
              <w:tc>
                <w:tcPr>
                  <w:tcW w:w="12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160</w:t>
                  </w:r>
                </w:p>
              </w:tc>
              <w:tc>
                <w:tcPr>
                  <w:tcW w:w="76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87.5</w:t>
                  </w:r>
                </w:p>
              </w:tc>
              <w:tc>
                <w:tcPr>
                  <w:tcW w:w="8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sz w:val="21"/>
                      <w:szCs w:val="21"/>
                    </w:rPr>
                  </w:pPr>
                  <w:r>
                    <w:rPr>
                      <w:rFonts w:hint="default"/>
                      <w:color w:val="auto"/>
                      <w:sz w:val="21"/>
                      <w:szCs w:val="21"/>
                    </w:rPr>
                    <w:t>达标</w:t>
                  </w:r>
                </w:p>
              </w:tc>
            </w:tr>
          </w:tbl>
          <w:p>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highlight w:val="none"/>
              </w:rPr>
              <w:t>从上表可以看出，</w:t>
            </w:r>
            <w:r>
              <w:rPr>
                <w:rFonts w:hint="default" w:ascii="Times New Roman" w:hAnsi="Times New Roman" w:eastAsia="宋体" w:cs="Times New Roman"/>
                <w:color w:val="auto"/>
                <w:kern w:val="0"/>
                <w:sz w:val="24"/>
                <w:szCs w:val="24"/>
                <w:highlight w:val="none"/>
                <w:lang w:eastAsia="zh-CN"/>
              </w:rPr>
              <w:t>巴彦淖尔市乌拉特前旗</w:t>
            </w:r>
            <w:r>
              <w:rPr>
                <w:rFonts w:hint="default" w:ascii="Times New Roman" w:hAnsi="Times New Roman" w:eastAsia="宋体" w:cs="Times New Roman"/>
                <w:color w:val="auto"/>
                <w:kern w:val="0"/>
                <w:sz w:val="24"/>
                <w:szCs w:val="24"/>
                <w:highlight w:val="none"/>
                <w:lang w:val="en-US" w:eastAsia="zh-CN"/>
              </w:rPr>
              <w:t>2021年大气环境中6项</w:t>
            </w:r>
            <w:r>
              <w:rPr>
                <w:rFonts w:hint="default" w:ascii="Times New Roman" w:hAnsi="Times New Roman" w:eastAsia="宋体" w:cs="Times New Roman"/>
                <w:color w:val="auto"/>
                <w:kern w:val="0"/>
                <w:sz w:val="24"/>
                <w:szCs w:val="24"/>
                <w:highlight w:val="none"/>
              </w:rPr>
              <w:t>污染物</w:t>
            </w:r>
            <w:r>
              <w:rPr>
                <w:rFonts w:hint="default" w:ascii="Times New Roman" w:hAnsi="Times New Roman" w:eastAsia="宋体" w:cs="Times New Roman"/>
                <w:color w:val="auto"/>
                <w:kern w:val="0"/>
                <w:sz w:val="24"/>
                <w:szCs w:val="24"/>
                <w:highlight w:val="none"/>
                <w:lang w:eastAsia="zh-CN"/>
              </w:rPr>
              <w:t>中</w:t>
            </w:r>
            <w:r>
              <w:rPr>
                <w:rFonts w:hint="default" w:ascii="Times New Roman" w:hAnsi="Times New Roman" w:eastAsia="宋体" w:cs="Times New Roman"/>
                <w:color w:val="auto"/>
                <w:kern w:val="0"/>
                <w:sz w:val="24"/>
                <w:szCs w:val="24"/>
                <w:highlight w:val="none"/>
              </w:rPr>
              <w:t>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质量浓度</w:t>
            </w:r>
            <w:r>
              <w:rPr>
                <w:rFonts w:hint="default" w:ascii="Times New Roman" w:hAnsi="Times New Roman" w:eastAsia="宋体" w:cs="Times New Roman"/>
                <w:color w:val="auto"/>
                <w:kern w:val="0"/>
                <w:sz w:val="24"/>
                <w:szCs w:val="24"/>
                <w:highlight w:val="none"/>
                <w:lang w:eastAsia="zh-CN"/>
              </w:rPr>
              <w:t>均满足</w:t>
            </w:r>
            <w:r>
              <w:rPr>
                <w:rFonts w:hint="default" w:ascii="Times New Roman" w:hAnsi="Times New Roman" w:eastAsia="宋体" w:cs="Times New Roman"/>
                <w:color w:val="auto"/>
                <w:kern w:val="0"/>
                <w:sz w:val="24"/>
                <w:szCs w:val="24"/>
                <w:highlight w:val="none"/>
              </w:rPr>
              <w:t>《环境空气质量标准》（GB3095-2012）二级标准</w:t>
            </w:r>
            <w:r>
              <w:rPr>
                <w:rFonts w:hint="default" w:ascii="Times New Roman" w:hAnsi="Times New Roman" w:eastAsia="宋体" w:cs="Times New Roman"/>
                <w:color w:val="auto"/>
                <w:kern w:val="0"/>
                <w:sz w:val="24"/>
                <w:szCs w:val="24"/>
                <w:highlight w:val="none"/>
                <w:vertAlign w:val="baseline"/>
              </w:rPr>
              <w:t>限值</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由此可判断</w:t>
            </w:r>
            <w:r>
              <w:rPr>
                <w:rFonts w:hint="default" w:ascii="Times New Roman" w:hAnsi="Times New Roman" w:eastAsia="宋体" w:cs="Times New Roman"/>
                <w:color w:val="auto"/>
                <w:kern w:val="0"/>
                <w:sz w:val="24"/>
                <w:szCs w:val="24"/>
                <w:highlight w:val="none"/>
                <w:lang w:eastAsia="zh-CN"/>
              </w:rPr>
              <w:t>乌拉特前旗为</w:t>
            </w:r>
            <w:r>
              <w:rPr>
                <w:rFonts w:hint="default" w:ascii="Times New Roman" w:hAnsi="Times New Roman" w:eastAsia="宋体" w:cs="Times New Roman"/>
                <w:color w:val="auto"/>
                <w:kern w:val="0"/>
                <w:sz w:val="24"/>
                <w:szCs w:val="24"/>
                <w:highlight w:val="none"/>
              </w:rPr>
              <w:t>达标区</w:t>
            </w:r>
            <w:r>
              <w:rPr>
                <w:rFonts w:hint="default" w:ascii="Times New Roman" w:hAnsi="Times New Roman" w:eastAsia="宋体" w:cs="Times New Roman"/>
                <w:color w:val="auto"/>
                <w:sz w:val="24"/>
              </w:rPr>
              <w:t>。</w:t>
            </w:r>
          </w:p>
          <w:p>
            <w:pPr>
              <w:pStyle w:val="10"/>
              <w:spacing w:after="0" w:line="360" w:lineRule="auto"/>
              <w:ind w:firstLine="482" w:firstLineChars="200"/>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lang w:val="en-US" w:eastAsia="zh-CN"/>
              </w:rPr>
              <w:t>2</w:t>
            </w:r>
            <w:r>
              <w:rPr>
                <w:rFonts w:hint="default" w:ascii="Times New Roman" w:hAnsi="Times New Roman" w:eastAsia="宋体" w:cs="Times New Roman"/>
                <w:b/>
                <w:color w:val="auto"/>
                <w:kern w:val="0"/>
                <w:sz w:val="24"/>
                <w:szCs w:val="24"/>
              </w:rPr>
              <w:t>、</w:t>
            </w:r>
            <w:r>
              <w:rPr>
                <w:rFonts w:hint="default" w:ascii="Times New Roman" w:hAnsi="Times New Roman" w:eastAsia="宋体" w:cs="Times New Roman"/>
                <w:b/>
                <w:color w:val="auto"/>
                <w:kern w:val="0"/>
                <w:sz w:val="24"/>
                <w:szCs w:val="24"/>
                <w:lang w:eastAsia="zh-CN"/>
              </w:rPr>
              <w:t>声</w:t>
            </w:r>
            <w:r>
              <w:rPr>
                <w:rFonts w:hint="default" w:ascii="Times New Roman" w:hAnsi="Times New Roman" w:eastAsia="宋体" w:cs="Times New Roman"/>
                <w:b/>
                <w:color w:val="auto"/>
                <w:kern w:val="0"/>
                <w:sz w:val="24"/>
                <w:szCs w:val="24"/>
              </w:rPr>
              <w:t>环境质量</w:t>
            </w:r>
          </w:p>
          <w:p>
            <w:pPr>
              <w:bidi w:val="0"/>
              <w:rPr>
                <w:rFonts w:hint="default"/>
                <w:color w:val="auto"/>
              </w:rPr>
            </w:pPr>
            <w:r>
              <w:rPr>
                <w:rFonts w:hint="default" w:ascii="Times New Roman" w:hAnsi="Times New Roman" w:eastAsia="宋体" w:cs="Times New Roman"/>
                <w:bCs/>
                <w:color w:val="auto"/>
                <w:szCs w:val="24"/>
                <w:lang w:bidi="ar"/>
              </w:rPr>
              <w:t>根据《建设项目环境影响报告表编制技术指南（污染影响类）》（试行），本项目厂界外50米范围内不存在声环境保护目标，可不开展声环境质量现状调查</w:t>
            </w:r>
            <w:r>
              <w:rPr>
                <w:rFonts w:hint="default" w:ascii="Times New Roman" w:hAnsi="Times New Roman" w:eastAsia="宋体" w:cs="Times New Roman"/>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Align w:val="center"/>
          </w:tcPr>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环境</w:t>
            </w:r>
          </w:p>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保护</w:t>
            </w:r>
          </w:p>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目标</w:t>
            </w:r>
          </w:p>
        </w:tc>
        <w:tc>
          <w:tcPr>
            <w:tcW w:w="7854" w:type="dxa"/>
          </w:tcPr>
          <w:p>
            <w:pPr>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本项目位于巴彦淖尔市乌拉特前旗工业园区，</w:t>
            </w:r>
            <w:r>
              <w:rPr>
                <w:rFonts w:hint="default"/>
                <w:color w:val="auto"/>
              </w:rPr>
              <w:t>根据现场踏勘，</w:t>
            </w:r>
            <w:r>
              <w:rPr>
                <w:rFonts w:hint="default"/>
                <w:color w:val="auto"/>
                <w:lang w:val="en-US" w:eastAsia="zh-CN"/>
              </w:rPr>
              <w:t>项目厂界外500m范围内无自然保护区、风景名胜区、居住区、文化区和村庄等保护目标；500m范围内也</w:t>
            </w:r>
            <w:r>
              <w:rPr>
                <w:rFonts w:hint="eastAsia"/>
                <w:color w:val="auto"/>
                <w:lang w:val="en-US" w:eastAsia="zh-CN"/>
              </w:rPr>
              <w:t>无</w:t>
            </w:r>
            <w:r>
              <w:rPr>
                <w:rFonts w:hint="default"/>
                <w:color w:val="auto"/>
                <w:lang w:val="en-US" w:eastAsia="zh-CN"/>
              </w:rPr>
              <w:t>地下水集中式饮用水水源和热水、矿泉水、温泉等特殊地下水资源；厂界外50m范围内无声环境保护目标</w:t>
            </w:r>
            <w:r>
              <w:rPr>
                <w:rFonts w:hint="default"/>
                <w:color w:val="auto"/>
              </w:rPr>
              <w:t>。</w:t>
            </w:r>
            <w:r>
              <w:rPr>
                <w:rFonts w:hint="default" w:ascii="Times New Roman" w:hAnsi="Times New Roman" w:eastAsia="宋体" w:cs="Times New Roman"/>
                <w:color w:val="auto"/>
              </w:rPr>
              <w:t>本项目环境保护目标见表</w:t>
            </w:r>
            <w:r>
              <w:rPr>
                <w:rFonts w:hint="eastAsia" w:cs="Times New Roman"/>
                <w:color w:val="auto"/>
                <w:lang w:val="en-US" w:eastAsia="zh-CN"/>
              </w:rPr>
              <w:t>26</w:t>
            </w:r>
            <w:r>
              <w:rPr>
                <w:rFonts w:hint="default" w:ascii="Times New Roman" w:hAnsi="Times New Roman" w:eastAsia="宋体" w:cs="Times New Roman"/>
                <w:color w:val="auto"/>
              </w:rPr>
              <w:t>。</w:t>
            </w:r>
          </w:p>
          <w:p>
            <w:pPr>
              <w:bidi w:val="0"/>
              <w:jc w:val="center"/>
              <w:rPr>
                <w:rFonts w:hint="default"/>
                <w:b/>
                <w:bCs/>
                <w:color w:val="auto"/>
              </w:rPr>
            </w:pPr>
            <w:r>
              <w:rPr>
                <w:rFonts w:hint="default"/>
                <w:b/>
                <w:bCs/>
                <w:color w:val="auto"/>
              </w:rPr>
              <w:t>表</w:t>
            </w:r>
            <w:r>
              <w:rPr>
                <w:rFonts w:hint="eastAsia"/>
                <w:b/>
                <w:bCs/>
                <w:color w:val="auto"/>
                <w:lang w:val="en-US" w:eastAsia="zh-CN"/>
              </w:rPr>
              <w:t>26</w:t>
            </w:r>
            <w:r>
              <w:rPr>
                <w:rFonts w:hint="default"/>
                <w:b/>
                <w:bCs/>
                <w:color w:val="auto"/>
              </w:rPr>
              <w:t xml:space="preserve"> 主要环境保护目标一览表</w:t>
            </w:r>
          </w:p>
          <w:tbl>
            <w:tblPr>
              <w:tblStyle w:val="17"/>
              <w:tblW w:w="762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083"/>
              <w:gridCol w:w="937"/>
              <w:gridCol w:w="1371"/>
              <w:gridCol w:w="2169"/>
              <w:gridCol w:w="20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42" w:hRule="atLeast"/>
                <w:tblHeader/>
                <w:jc w:val="center"/>
              </w:trPr>
              <w:tc>
                <w:tcPr>
                  <w:tcW w:w="108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环境要素</w:t>
                  </w:r>
                </w:p>
              </w:tc>
              <w:tc>
                <w:tcPr>
                  <w:tcW w:w="937"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1371"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相对方位</w:t>
                  </w:r>
                </w:p>
              </w:tc>
              <w:tc>
                <w:tcPr>
                  <w:tcW w:w="2169"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相对厂界最近距离/m</w:t>
                  </w:r>
                </w:p>
              </w:tc>
              <w:tc>
                <w:tcPr>
                  <w:tcW w:w="2065"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环境功能区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95" w:hRule="atLeast"/>
                <w:jc w:val="center"/>
              </w:trPr>
              <w:tc>
                <w:tcPr>
                  <w:tcW w:w="108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w:t>
                  </w:r>
                </w:p>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空气</w:t>
                  </w:r>
                </w:p>
              </w:tc>
              <w:tc>
                <w:tcPr>
                  <w:tcW w:w="4477" w:type="dxa"/>
                  <w:gridSpan w:val="3"/>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厂界外500m范围内无自然保护区、风景名胜区、居民区、文化区和农村地区中人群较集中的区域等保护目标。</w:t>
                  </w:r>
                </w:p>
              </w:tc>
              <w:tc>
                <w:tcPr>
                  <w:tcW w:w="2065"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《环境空气质量标准》（GB3095-2012）中二类功能区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08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4477" w:type="dxa"/>
                  <w:gridSpan w:val="3"/>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rPr>
                  </w:pPr>
                  <w:r>
                    <w:rPr>
                      <w:rStyle w:val="21"/>
                      <w:rFonts w:hint="default" w:ascii="Times New Roman" w:hAnsi="Times New Roman" w:eastAsia="宋体" w:cs="Times New Roman"/>
                      <w:color w:val="auto"/>
                      <w:sz w:val="21"/>
                      <w:szCs w:val="21"/>
                    </w:rPr>
                    <w:t>厂界外50m范围内无声环境保护目标</w:t>
                  </w:r>
                </w:p>
              </w:tc>
              <w:tc>
                <w:tcPr>
                  <w:tcW w:w="2065"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《声环境质量标准》（GB3096-2008）</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rPr>
                    <w:t>类标准</w:t>
                  </w:r>
                </w:p>
              </w:tc>
            </w:tr>
          </w:tbl>
          <w:p>
            <w:pPr>
              <w:widowControl/>
              <w:ind w:left="0" w:leftChars="0" w:firstLine="0" w:firstLineChars="0"/>
              <w:rPr>
                <w:rFonts w:hint="default" w:ascii="Times New Roman" w:hAnsi="Times New Roman" w:eastAsia="宋体" w:cs="Times New Roman"/>
                <w:color w:val="auto"/>
                <w:kern w:val="0"/>
                <w:sz w:val="21"/>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21" w:hRule="atLeast"/>
          <w:jc w:val="center"/>
        </w:trPr>
        <w:tc>
          <w:tcPr>
            <w:tcW w:w="668" w:type="dxa"/>
            <w:vAlign w:val="center"/>
          </w:tcPr>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污染</w:t>
            </w:r>
          </w:p>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物排</w:t>
            </w:r>
          </w:p>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放控</w:t>
            </w:r>
          </w:p>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制标</w:t>
            </w:r>
          </w:p>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准</w:t>
            </w:r>
          </w:p>
        </w:tc>
        <w:tc>
          <w:tcPr>
            <w:tcW w:w="7854" w:type="dxa"/>
          </w:tcPr>
          <w:p>
            <w:pPr>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default" w:ascii="Times New Roman" w:hAnsi="Times New Roman" w:eastAsia="宋体" w:cs="Times New Roman"/>
                <w:b/>
                <w:bCs/>
                <w:color w:val="auto"/>
                <w:lang w:eastAsia="zh-CN"/>
              </w:rPr>
            </w:pPr>
            <w:r>
              <w:rPr>
                <w:rFonts w:hint="eastAsia" w:cs="Times New Roman"/>
                <w:b/>
                <w:bCs/>
                <w:color w:val="auto"/>
                <w:lang w:val="en-US" w:eastAsia="zh-CN"/>
              </w:rPr>
              <w:t>1、</w:t>
            </w:r>
            <w:r>
              <w:rPr>
                <w:rFonts w:hint="default" w:ascii="Times New Roman" w:hAnsi="Times New Roman" w:eastAsia="宋体" w:cs="Times New Roman"/>
                <w:b/>
                <w:bCs/>
                <w:color w:val="auto"/>
                <w:lang w:eastAsia="zh-CN"/>
              </w:rPr>
              <w:t>废气排放标准</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default" w:ascii="Times New Roman" w:hAnsi="Times New Roman" w:eastAsia="宋体" w:cs="Times New Roman"/>
                <w:b/>
                <w:bCs/>
                <w:color w:val="auto"/>
                <w:lang w:val="en-US" w:eastAsia="zh-CN"/>
              </w:rPr>
            </w:pPr>
            <w:r>
              <w:rPr>
                <w:rFonts w:hint="eastAsia" w:cs="Times New Roman"/>
                <w:b/>
                <w:bCs/>
                <w:color w:val="auto"/>
                <w:lang w:val="en-US" w:eastAsia="zh-CN"/>
              </w:rPr>
              <w:t>1.1施工期</w:t>
            </w:r>
          </w:p>
          <w:p>
            <w:pPr>
              <w:spacing w:line="360" w:lineRule="auto"/>
              <w:ind w:firstLine="480" w:firstLineChars="20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施工期</w:t>
            </w:r>
            <w:r>
              <w:rPr>
                <w:rFonts w:hint="default" w:ascii="Times New Roman" w:hAnsi="Times New Roman" w:cs="Times New Roman"/>
                <w:color w:val="auto"/>
                <w:sz w:val="24"/>
                <w:szCs w:val="24"/>
                <w:lang w:val="en-US" w:eastAsia="zh-CN"/>
              </w:rPr>
              <w:t>废气排放执行《大气污染物综合排放标准》（GB16297-1996）</w:t>
            </w:r>
            <w:r>
              <w:rPr>
                <w:rFonts w:hint="eastAsia" w:ascii="Times New Roman" w:hAnsi="Times New Roman" w:cs="Times New Roman"/>
                <w:color w:val="auto"/>
                <w:sz w:val="24"/>
                <w:szCs w:val="24"/>
                <w:lang w:val="en-US" w:eastAsia="zh-CN"/>
              </w:rPr>
              <w:t>表2新污染源大气污染物排放限值中无组织排放监控浓度限值</w:t>
            </w:r>
            <w:r>
              <w:rPr>
                <w:rFonts w:hint="default" w:ascii="Times New Roman" w:hAnsi="Times New Roman" w:cs="Times New Roman"/>
                <w:color w:val="auto"/>
                <w:sz w:val="24"/>
                <w:szCs w:val="24"/>
                <w:lang w:val="en-US" w:eastAsia="zh-CN"/>
              </w:rPr>
              <w:t>，具体标准值见表</w:t>
            </w:r>
            <w:r>
              <w:rPr>
                <w:rFonts w:hint="eastAsia" w:cs="Times New Roman"/>
                <w:color w:val="auto"/>
                <w:sz w:val="24"/>
                <w:szCs w:val="24"/>
                <w:lang w:val="en-US" w:eastAsia="zh-CN"/>
              </w:rPr>
              <w:t>27</w:t>
            </w:r>
            <w:r>
              <w:rPr>
                <w:rFonts w:hint="default"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w:t>
            </w:r>
            <w:r>
              <w:rPr>
                <w:rFonts w:hint="eastAsia" w:cs="Times New Roman"/>
                <w:b/>
                <w:bCs/>
                <w:color w:val="auto"/>
                <w:sz w:val="24"/>
                <w:szCs w:val="24"/>
                <w:lang w:val="en-US" w:eastAsia="zh-CN"/>
              </w:rPr>
              <w:t>27</w:t>
            </w:r>
            <w:r>
              <w:rPr>
                <w:rFonts w:hint="eastAsia" w:ascii="Times New Roman" w:hAnsi="Times New Roman" w:cs="Times New Roman"/>
                <w:b/>
                <w:bCs/>
                <w:color w:val="auto"/>
                <w:sz w:val="24"/>
                <w:szCs w:val="24"/>
                <w:lang w:val="en-US" w:eastAsia="zh-CN"/>
              </w:rPr>
              <w:t xml:space="preserve"> </w:t>
            </w:r>
            <w:r>
              <w:rPr>
                <w:rFonts w:hint="default" w:ascii="Times New Roman" w:hAnsi="Times New Roman" w:cs="Times New Roman"/>
                <w:b/>
                <w:bCs/>
                <w:color w:val="auto"/>
                <w:sz w:val="24"/>
                <w:szCs w:val="24"/>
                <w:lang w:val="en-US" w:eastAsia="zh-CN"/>
              </w:rPr>
              <w:t xml:space="preserve"> 《大气污染物综合排放标准》（GB16297-1996）</w:t>
            </w:r>
          </w:p>
          <w:tbl>
            <w:tblPr>
              <w:tblStyle w:val="18"/>
              <w:tblW w:w="7679"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558"/>
              <w:gridCol w:w="2558"/>
              <w:gridCol w:w="256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4" w:hRule="atLeast"/>
              </w:trPr>
              <w:tc>
                <w:tcPr>
                  <w:tcW w:w="255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污染源</w:t>
                  </w:r>
                </w:p>
              </w:tc>
              <w:tc>
                <w:tcPr>
                  <w:tcW w:w="51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表2新污染源大气污染物排放限值</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8" w:hRule="atLeast"/>
              </w:trPr>
              <w:tc>
                <w:tcPr>
                  <w:tcW w:w="255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lang w:val="en-US" w:eastAsia="zh-CN"/>
                    </w:rPr>
                  </w:pPr>
                </w:p>
              </w:tc>
              <w:tc>
                <w:tcPr>
                  <w:tcW w:w="25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监控点</w:t>
                  </w:r>
                </w:p>
              </w:tc>
              <w:tc>
                <w:tcPr>
                  <w:tcW w:w="25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浓度（mg/m</w:t>
                  </w:r>
                  <w:r>
                    <w:rPr>
                      <w:rFonts w:hint="default" w:ascii="Times New Roman" w:hAnsi="Times New Roman" w:cs="Times New Roman"/>
                      <w:b/>
                      <w:bCs/>
                      <w:color w:val="auto"/>
                      <w:sz w:val="21"/>
                      <w:szCs w:val="21"/>
                      <w:vertAlign w:val="superscript"/>
                      <w:lang w:val="en-US" w:eastAsia="zh-CN"/>
                    </w:rPr>
                    <w:t>3</w:t>
                  </w:r>
                  <w:r>
                    <w:rPr>
                      <w:rFonts w:hint="default" w:ascii="Times New Roman" w:hAnsi="Times New Roman" w:cs="Times New Roman"/>
                      <w:b/>
                      <w:bCs/>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6" w:hRule="atLeast"/>
              </w:trPr>
              <w:tc>
                <w:tcPr>
                  <w:tcW w:w="25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颗粒物</w:t>
                  </w:r>
                </w:p>
              </w:tc>
              <w:tc>
                <w:tcPr>
                  <w:tcW w:w="25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周界外浓度最高点</w:t>
                  </w:r>
                </w:p>
              </w:tc>
              <w:tc>
                <w:tcPr>
                  <w:tcW w:w="25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r>
          </w:tbl>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eastAsia="宋体" w:cs="Times New Roman"/>
                <w:b/>
                <w:bCs/>
                <w:color w:val="auto"/>
                <w:lang w:val="en-US" w:eastAsia="zh-CN"/>
              </w:rPr>
            </w:pPr>
            <w:r>
              <w:rPr>
                <w:rFonts w:hint="eastAsia" w:cs="Times New Roman"/>
                <w:b/>
                <w:bCs/>
                <w:color w:val="auto"/>
                <w:lang w:val="en-US" w:eastAsia="zh-CN"/>
              </w:rPr>
              <w:t>1.2运营期</w:t>
            </w:r>
          </w:p>
          <w:p>
            <w:pPr>
              <w:bidi w:val="0"/>
              <w:rPr>
                <w:rFonts w:hint="default" w:eastAsia="宋体"/>
                <w:color w:val="auto"/>
                <w:lang w:val="en-US" w:eastAsia="zh-CN"/>
              </w:rPr>
            </w:pPr>
            <w:r>
              <w:rPr>
                <w:rFonts w:hint="eastAsia"/>
                <w:color w:val="auto"/>
                <w:lang w:eastAsia="zh-CN"/>
              </w:rPr>
              <w:t>本项目运营期产生的废气主要为</w:t>
            </w:r>
            <w:r>
              <w:rPr>
                <w:rFonts w:hint="eastAsia"/>
                <w:color w:val="auto"/>
                <w:lang w:val="en-US" w:eastAsia="zh-CN"/>
              </w:rPr>
              <w:t>破碎筛分废气和磨粉废气。有组织废气的排放标准执行《大气污染物综合排放标准》（GB16297-1996）中的表2新污染源大气污染物排放限值要求。</w:t>
            </w:r>
          </w:p>
          <w:p>
            <w:pPr>
              <w:ind w:left="0" w:leftChars="0" w:firstLine="482" w:firstLineChars="200"/>
              <w:jc w:val="center"/>
              <w:rPr>
                <w:rFonts w:hint="default" w:ascii="Times New Roman" w:hAnsi="Times New Roman" w:eastAsia="宋体" w:cs="Times New Roman"/>
                <w:b/>
                <w:bCs/>
                <w:color w:val="auto"/>
                <w:lang w:val="en-US" w:eastAsia="zh-CN"/>
              </w:rPr>
            </w:pPr>
            <w:r>
              <w:rPr>
                <w:rFonts w:hint="eastAsia" w:cs="Times New Roman"/>
                <w:b/>
                <w:bCs/>
                <w:color w:val="auto"/>
                <w:lang w:val="en-US" w:eastAsia="zh-CN"/>
              </w:rPr>
              <w:t>表28  《大气污染物综合排放标准》（GB16297-1996）</w:t>
            </w:r>
          </w:p>
          <w:tbl>
            <w:tblPr>
              <w:tblStyle w:val="18"/>
              <w:tblW w:w="7638"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651"/>
              <w:gridCol w:w="885"/>
              <w:gridCol w:w="4005"/>
              <w:gridCol w:w="109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16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污染工序</w:t>
                  </w:r>
                </w:p>
              </w:tc>
              <w:tc>
                <w:tcPr>
                  <w:tcW w:w="8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污染物</w:t>
                  </w:r>
                </w:p>
              </w:tc>
              <w:tc>
                <w:tcPr>
                  <w:tcW w:w="4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执行标准</w:t>
                  </w:r>
                </w:p>
              </w:tc>
              <w:tc>
                <w:tcPr>
                  <w:tcW w:w="10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排放浓度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6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破碎、筛分工序</w:t>
                  </w:r>
                </w:p>
              </w:tc>
              <w:tc>
                <w:tcPr>
                  <w:tcW w:w="88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颗粒物</w:t>
                  </w:r>
                </w:p>
              </w:tc>
              <w:tc>
                <w:tcPr>
                  <w:tcW w:w="400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《大气污染物综合排放标准》（GB16297-1996）</w:t>
                  </w:r>
                </w:p>
              </w:tc>
              <w:tc>
                <w:tcPr>
                  <w:tcW w:w="109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120</w:t>
                  </w:r>
                  <w:r>
                    <w:rPr>
                      <w:rFonts w:hint="eastAsia" w:ascii="Times New Roman" w:hAnsi="Times New Roman" w:cs="Times New Roman"/>
                      <w:color w:val="auto"/>
                      <w:sz w:val="21"/>
                      <w:szCs w:val="21"/>
                      <w:vertAlign w:val="baseline"/>
                      <w:lang w:val="en-US" w:eastAsia="zh-CN"/>
                    </w:rPr>
                    <w:t>mg/m</w:t>
                  </w:r>
                  <w:r>
                    <w:rPr>
                      <w:rFonts w:hint="eastAsia" w:ascii="Times New Roman" w:hAnsi="Times New Roman" w:cs="Times New Roman"/>
                      <w:color w:val="auto"/>
                      <w:sz w:val="21"/>
                      <w:szCs w:val="21"/>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6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磁选工序</w:t>
                  </w:r>
                </w:p>
              </w:tc>
              <w:tc>
                <w:tcPr>
                  <w:tcW w:w="88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vertAlign w:val="baseline"/>
                      <w:lang w:val="en-US" w:eastAsia="zh-CN"/>
                    </w:rPr>
                  </w:pPr>
                </w:p>
              </w:tc>
              <w:tc>
                <w:tcPr>
                  <w:tcW w:w="400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vertAlign w:val="baseline"/>
                      <w:lang w:val="en-US" w:eastAsia="zh-CN"/>
                    </w:rPr>
                  </w:pPr>
                </w:p>
              </w:tc>
              <w:tc>
                <w:tcPr>
                  <w:tcW w:w="109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lang w:val="en-US" w:eastAsia="zh-CN"/>
              </w:rPr>
            </w:pPr>
            <w:r>
              <w:rPr>
                <w:rFonts w:hint="eastAsia"/>
                <w:b/>
                <w:bCs/>
                <w:color w:val="auto"/>
                <w:lang w:val="en-US" w:eastAsia="zh-CN"/>
              </w:rPr>
              <w:t>表29  大气污染物无组织排放限值</w:t>
            </w:r>
          </w:p>
          <w:tbl>
            <w:tblPr>
              <w:tblStyle w:val="18"/>
              <w:tblW w:w="7678" w:type="dxa"/>
              <w:tblInd w:w="-1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1045"/>
              <w:gridCol w:w="943"/>
              <w:gridCol w:w="2531"/>
              <w:gridCol w:w="1176"/>
              <w:gridCol w:w="1983"/>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23" w:hRule="atLeast"/>
              </w:trPr>
              <w:tc>
                <w:tcPr>
                  <w:tcW w:w="1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类别</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污染物</w:t>
                  </w:r>
                </w:p>
              </w:tc>
              <w:tc>
                <w:tcPr>
                  <w:tcW w:w="25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执行标准</w:t>
                  </w:r>
                </w:p>
              </w:tc>
              <w:tc>
                <w:tcPr>
                  <w:tcW w:w="11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21"/>
                      <w:szCs w:val="21"/>
                      <w:vertAlign w:val="baseline"/>
                      <w:lang w:val="en-US" w:eastAsia="zh-CN"/>
                    </w:rPr>
                  </w:pPr>
                  <w:r>
                    <w:rPr>
                      <w:rFonts w:hint="eastAsia"/>
                      <w:b/>
                      <w:bCs/>
                      <w:color w:val="auto"/>
                      <w:sz w:val="21"/>
                      <w:szCs w:val="21"/>
                      <w:vertAlign w:val="baseline"/>
                      <w:lang w:val="en-US" w:eastAsia="zh-CN"/>
                    </w:rPr>
                    <w:t>排放浓度</w:t>
                  </w:r>
                </w:p>
              </w:tc>
              <w:tc>
                <w:tcPr>
                  <w:tcW w:w="19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sz w:val="21"/>
                      <w:szCs w:val="21"/>
                      <w:vertAlign w:val="baseline"/>
                      <w:lang w:val="en-US" w:eastAsia="zh-CN"/>
                    </w:rPr>
                  </w:pPr>
                  <w:r>
                    <w:rPr>
                      <w:rFonts w:hint="eastAsia"/>
                      <w:b/>
                      <w:bCs/>
                      <w:color w:val="auto"/>
                      <w:sz w:val="21"/>
                      <w:szCs w:val="21"/>
                      <w:vertAlign w:val="baseline"/>
                      <w:lang w:val="en-US" w:eastAsia="zh-CN"/>
                    </w:rPr>
                    <w:t>监控位置</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08" w:hRule="atLeast"/>
              </w:trPr>
              <w:tc>
                <w:tcPr>
                  <w:tcW w:w="1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厂界无组织废气</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颗粒物</w:t>
                  </w:r>
                </w:p>
              </w:tc>
              <w:tc>
                <w:tcPr>
                  <w:tcW w:w="25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w:t>
                  </w:r>
                  <w:r>
                    <w:rPr>
                      <w:rFonts w:hint="eastAsia" w:cs="Times New Roman"/>
                      <w:color w:val="auto"/>
                      <w:sz w:val="21"/>
                      <w:szCs w:val="21"/>
                      <w:vertAlign w:val="baseline"/>
                      <w:lang w:val="en-US" w:eastAsia="zh-CN"/>
                    </w:rPr>
                    <w:t>大气污染物综合排放标准</w:t>
                  </w:r>
                  <w:r>
                    <w:rPr>
                      <w:rFonts w:hint="eastAsia" w:ascii="Times New Roman" w:hAnsi="Times New Roman" w:cs="Times New Roman"/>
                      <w:color w:val="auto"/>
                      <w:sz w:val="21"/>
                      <w:szCs w:val="21"/>
                      <w:vertAlign w:val="baseline"/>
                      <w:lang w:val="en-US" w:eastAsia="zh-CN"/>
                    </w:rPr>
                    <w:t>》（GB</w:t>
                  </w:r>
                  <w:r>
                    <w:rPr>
                      <w:rFonts w:hint="eastAsia" w:cs="Times New Roman"/>
                      <w:color w:val="auto"/>
                      <w:sz w:val="21"/>
                      <w:szCs w:val="21"/>
                      <w:vertAlign w:val="baseline"/>
                      <w:lang w:val="en-US" w:eastAsia="zh-CN"/>
                    </w:rPr>
                    <w:t>16297-1996</w:t>
                  </w:r>
                  <w:r>
                    <w:rPr>
                      <w:rFonts w:hint="eastAsia" w:ascii="Times New Roman" w:hAnsi="Times New Roman" w:cs="Times New Roman"/>
                      <w:color w:val="auto"/>
                      <w:sz w:val="21"/>
                      <w:szCs w:val="21"/>
                      <w:vertAlign w:val="baseline"/>
                      <w:lang w:val="en-US" w:eastAsia="zh-CN"/>
                    </w:rPr>
                    <w:t>）</w:t>
                  </w:r>
                </w:p>
              </w:tc>
              <w:tc>
                <w:tcPr>
                  <w:tcW w:w="11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1.0</w:t>
                  </w:r>
                  <w:r>
                    <w:rPr>
                      <w:rFonts w:hint="eastAsia" w:ascii="Times New Roman" w:hAnsi="Times New Roman" w:cs="Times New Roman"/>
                      <w:color w:val="auto"/>
                      <w:sz w:val="21"/>
                      <w:szCs w:val="21"/>
                      <w:vertAlign w:val="baseline"/>
                      <w:lang w:val="en-US" w:eastAsia="zh-CN"/>
                    </w:rPr>
                    <w:t>mg/m</w:t>
                  </w:r>
                  <w:r>
                    <w:rPr>
                      <w:rFonts w:hint="eastAsia" w:ascii="Times New Roman" w:hAnsi="Times New Roman" w:cs="Times New Roman"/>
                      <w:color w:val="auto"/>
                      <w:sz w:val="21"/>
                      <w:szCs w:val="21"/>
                      <w:vertAlign w:val="superscript"/>
                      <w:lang w:val="en-US" w:eastAsia="zh-CN"/>
                    </w:rPr>
                    <w:t>3</w:t>
                  </w:r>
                </w:p>
              </w:tc>
              <w:tc>
                <w:tcPr>
                  <w:tcW w:w="19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厂界外20m处上风向设参照点，下风向设监控点。</w:t>
                  </w:r>
                </w:p>
              </w:tc>
            </w:tr>
          </w:tbl>
          <w:p>
            <w:pPr>
              <w:spacing w:line="360" w:lineRule="auto"/>
              <w:ind w:firstLine="482" w:firstLineChars="200"/>
              <w:rPr>
                <w:rFonts w:hint="eastAsia" w:ascii="Times New Roman" w:hAnsi="Times New Roman" w:eastAsia="宋体" w:cs="Times New Roman"/>
                <w:b/>
                <w:bCs/>
                <w:color w:val="auto"/>
                <w:lang w:val="en-US" w:eastAsia="zh-CN"/>
              </w:rPr>
            </w:pPr>
            <w:r>
              <w:rPr>
                <w:rFonts w:hint="eastAsia" w:cs="Times New Roman"/>
                <w:b/>
                <w:bCs/>
                <w:color w:val="auto"/>
                <w:lang w:val="en-US" w:eastAsia="zh-CN"/>
              </w:rPr>
              <w:t>2、噪声</w:t>
            </w:r>
          </w:p>
          <w:p>
            <w:pPr>
              <w:ind w:left="0" w:leftChars="0" w:firstLine="482" w:firstLineChars="200"/>
              <w:rPr>
                <w:rFonts w:hint="eastAsia" w:cs="Times New Roman"/>
                <w:b/>
                <w:bCs/>
                <w:color w:val="auto"/>
                <w:lang w:val="en-US" w:eastAsia="zh-CN"/>
              </w:rPr>
            </w:pPr>
            <w:r>
              <w:rPr>
                <w:rFonts w:hint="eastAsia" w:cs="Times New Roman"/>
                <w:b/>
                <w:bCs/>
                <w:color w:val="auto"/>
                <w:lang w:val="en-US" w:eastAsia="zh-CN"/>
              </w:rPr>
              <w:t>2.1施工期</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w:t>
            </w:r>
            <w:r>
              <w:rPr>
                <w:rFonts w:hint="default" w:ascii="Times New Roman" w:hAnsi="Times New Roman" w:cs="Times New Roman"/>
                <w:color w:val="auto"/>
                <w:sz w:val="24"/>
                <w:szCs w:val="24"/>
                <w:lang w:eastAsia="zh-CN"/>
              </w:rPr>
              <w:t>期</w:t>
            </w:r>
            <w:r>
              <w:rPr>
                <w:rFonts w:hint="default" w:ascii="Times New Roman" w:hAnsi="Times New Roman" w:cs="Times New Roman"/>
                <w:color w:val="auto"/>
                <w:sz w:val="24"/>
                <w:szCs w:val="24"/>
              </w:rPr>
              <w:t>噪声执行《建筑施工场界环境噪声排放标准》(GB12523-2011)，具体标准值见表。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w:t>
            </w:r>
            <w:r>
              <w:rPr>
                <w:rFonts w:hint="eastAsia" w:cs="Times New Roman"/>
                <w:b/>
                <w:bCs/>
                <w:color w:val="auto"/>
                <w:sz w:val="24"/>
                <w:szCs w:val="24"/>
                <w:lang w:val="en-US" w:eastAsia="zh-CN"/>
              </w:rPr>
              <w:t>30</w:t>
            </w:r>
            <w:r>
              <w:rPr>
                <w:rFonts w:hint="default" w:ascii="Times New Roman" w:hAnsi="Times New Roman" w:cs="Times New Roman"/>
                <w:b/>
                <w:bCs/>
                <w:color w:val="auto"/>
                <w:sz w:val="24"/>
                <w:szCs w:val="24"/>
                <w:lang w:val="en-US" w:eastAsia="zh-CN"/>
              </w:rPr>
              <w:t xml:space="preserve"> 建筑施工场界环境噪声排放标准    单位：LAeq：dB(A)</w:t>
            </w:r>
          </w:p>
          <w:tbl>
            <w:tblPr>
              <w:tblStyle w:val="1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3817"/>
              <w:gridCol w:w="37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194" w:hRule="atLeast"/>
                <w:jc w:val="center"/>
              </w:trPr>
              <w:tc>
                <w:tcPr>
                  <w:tcW w:w="2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昼间</w:t>
                  </w:r>
                </w:p>
              </w:tc>
              <w:tc>
                <w:tcPr>
                  <w:tcW w:w="2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trHeight w:val="423" w:hRule="atLeast"/>
                <w:jc w:val="center"/>
              </w:trPr>
              <w:tc>
                <w:tcPr>
                  <w:tcW w:w="2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c>
                <w:tcPr>
                  <w:tcW w:w="2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2</w:t>
            </w:r>
            <w:r>
              <w:rPr>
                <w:rFonts w:hint="eastAsia"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rPr>
              <w:t>营运期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营运期噪声执行《工业企业厂界环境噪声排放标准》（GB12348-2008）</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类标准，见表</w:t>
            </w:r>
            <w:r>
              <w:rPr>
                <w:rFonts w:hint="eastAsia" w:cs="Times New Roman"/>
                <w:color w:val="auto"/>
                <w:sz w:val="24"/>
                <w:szCs w:val="24"/>
                <w:lang w:val="en-US" w:eastAsia="zh-CN"/>
              </w:rPr>
              <w:t>31</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w:t>
            </w:r>
            <w:r>
              <w:rPr>
                <w:rFonts w:hint="eastAsia" w:cs="Times New Roman"/>
                <w:b/>
                <w:bCs/>
                <w:color w:val="auto"/>
                <w:sz w:val="24"/>
                <w:szCs w:val="24"/>
                <w:lang w:val="en-US" w:eastAsia="zh-CN"/>
              </w:rPr>
              <w:t>31</w:t>
            </w:r>
            <w:r>
              <w:rPr>
                <w:rFonts w:hint="default" w:ascii="Times New Roman" w:hAnsi="Times New Roman" w:cs="Times New Roman"/>
                <w:b/>
                <w:bCs/>
                <w:color w:val="auto"/>
                <w:sz w:val="24"/>
                <w:szCs w:val="24"/>
                <w:lang w:val="en-US" w:eastAsia="zh-CN"/>
              </w:rPr>
              <w:t xml:space="preserve"> 工业企业厂界环境噪声排放标准    单位：LAeq：dB(A)</w:t>
            </w:r>
          </w:p>
          <w:tbl>
            <w:tblPr>
              <w:tblStyle w:val="17"/>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535"/>
              <w:gridCol w:w="25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标准类别</w:t>
                  </w:r>
                </w:p>
              </w:tc>
              <w:tc>
                <w:tcPr>
                  <w:tcW w:w="333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rPr>
                  </w:pP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昼间</w:t>
                  </w: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类</w:t>
                  </w:r>
                </w:p>
              </w:tc>
              <w:tc>
                <w:tcPr>
                  <w:tcW w:w="16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65</w:t>
                  </w:r>
                </w:p>
              </w:tc>
              <w:tc>
                <w:tcPr>
                  <w:tcW w:w="1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55</w:t>
                  </w:r>
                </w:p>
              </w:tc>
            </w:tr>
          </w:tbl>
          <w:p>
            <w:pPr>
              <w:spacing w:line="360" w:lineRule="auto"/>
              <w:ind w:firstLine="482" w:firstLineChars="200"/>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4、固体废物标准</w:t>
            </w:r>
          </w:p>
          <w:p>
            <w:pPr>
              <w:bidi w:val="0"/>
              <w:rPr>
                <w:rFonts w:hint="eastAsia"/>
                <w:color w:val="auto"/>
                <w:lang w:val="en-US"/>
              </w:rPr>
            </w:pPr>
            <w:r>
              <w:rPr>
                <w:rFonts w:hint="eastAsia"/>
                <w:color w:val="auto"/>
                <w:lang w:val="en-US" w:eastAsia="zh-CN"/>
              </w:rPr>
              <w:t>拟建项目</w:t>
            </w:r>
            <w:r>
              <w:rPr>
                <w:rFonts w:hint="eastAsia"/>
                <w:color w:val="auto"/>
              </w:rPr>
              <w:t>一般</w:t>
            </w:r>
            <w:r>
              <w:rPr>
                <w:rFonts w:hint="eastAsia"/>
                <w:color w:val="auto"/>
                <w:lang w:val="en-US" w:eastAsia="zh-CN"/>
              </w:rPr>
              <w:t>工业</w:t>
            </w:r>
            <w:r>
              <w:rPr>
                <w:rFonts w:hint="eastAsia"/>
                <w:color w:val="auto"/>
              </w:rPr>
              <w:t>固体废物执行《一般工业固体废物贮存</w:t>
            </w:r>
            <w:r>
              <w:rPr>
                <w:rFonts w:hint="eastAsia"/>
                <w:color w:val="auto"/>
                <w:lang w:val="en-US" w:eastAsia="zh-CN"/>
              </w:rPr>
              <w:t>和填埋污染控制标准</w:t>
            </w:r>
            <w:r>
              <w:rPr>
                <w:rFonts w:hint="eastAsia"/>
                <w:color w:val="auto"/>
              </w:rPr>
              <w:t>》（GB18599-2</w:t>
            </w:r>
            <w:r>
              <w:rPr>
                <w:rFonts w:hint="eastAsia"/>
                <w:color w:val="auto"/>
                <w:lang w:val="en-US" w:eastAsia="zh-CN"/>
              </w:rPr>
              <w:t>020</w:t>
            </w:r>
            <w:r>
              <w:rPr>
                <w:rFonts w:hint="eastAsia"/>
                <w:color w:val="auto"/>
              </w:rPr>
              <w:t>）中的有关规定</w:t>
            </w:r>
            <w:r>
              <w:rPr>
                <w:rFonts w:hint="eastAsia"/>
                <w:color w:val="auto"/>
                <w:lang w:val="en-US" w:eastAsia="zh-CN"/>
              </w:rPr>
              <w:t>。</w:t>
            </w:r>
          </w:p>
          <w:p>
            <w:pPr>
              <w:bidi w:val="0"/>
              <w:rPr>
                <w:rFonts w:hint="eastAsia"/>
                <w:color w:val="auto"/>
                <w:lang w:val="en-US" w:eastAsia="zh-CN"/>
              </w:rPr>
            </w:pPr>
            <w:r>
              <w:rPr>
                <w:rFonts w:hint="eastAsia"/>
                <w:color w:val="auto"/>
                <w:lang w:val="en-US" w:eastAsia="zh-CN"/>
              </w:rPr>
              <w:t>危险废物贮存执行《危险废物贮存污染控制标准》(GB18597-2001)及其修改单(2013)的有关规定。</w:t>
            </w:r>
          </w:p>
          <w:p>
            <w:pPr>
              <w:ind w:left="0" w:leftChars="0" w:firstLine="480" w:firstLineChars="200"/>
              <w:rPr>
                <w:rFonts w:hint="default" w:ascii="Times New Roman" w:hAnsi="Times New Roman" w:eastAsia="宋体" w:cs="Times New Roman"/>
                <w:color w:val="auto"/>
                <w:kern w:val="0"/>
                <w:szCs w:val="21"/>
              </w:rPr>
            </w:pPr>
            <w:r>
              <w:rPr>
                <w:rFonts w:ascii="Times New Roman" w:hAnsi="Times New Roman"/>
                <w:color w:val="auto"/>
                <w:sz w:val="24"/>
                <w:szCs w:val="24"/>
                <w:highlight w:val="none"/>
              </w:rPr>
              <w:t>生活垃圾执行《中华人民共和国固体废物污染环境防治法》（2015年修正）“生活垃圾污染环境的防治”中相关规定。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668" w:type="dxa"/>
            <w:vAlign w:val="center"/>
          </w:tcPr>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总量</w:t>
            </w:r>
          </w:p>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控制</w:t>
            </w:r>
          </w:p>
          <w:p>
            <w:pPr>
              <w:adjustRightInd w:val="0"/>
              <w:snapToGrid w:val="0"/>
              <w:ind w:firstLine="0" w:firstLineChars="0"/>
              <w:jc w:val="center"/>
              <w:rPr>
                <w:rFonts w:hint="default" w:ascii="Times New Roman" w:hAnsi="Times New Roman" w:eastAsia="宋体" w:cs="Times New Roman"/>
                <w:b/>
                <w:bCs/>
                <w:color w:val="auto"/>
                <w:kern w:val="0"/>
                <w:sz w:val="24"/>
                <w:szCs w:val="21"/>
                <w:lang w:val="en-US" w:eastAsia="zh-CN" w:bidi="ar-SA"/>
              </w:rPr>
            </w:pPr>
            <w:r>
              <w:rPr>
                <w:rFonts w:hint="default" w:ascii="Times New Roman" w:hAnsi="Times New Roman" w:eastAsia="宋体" w:cs="Times New Roman"/>
                <w:b/>
                <w:bCs/>
                <w:color w:val="auto"/>
                <w:kern w:val="0"/>
                <w:szCs w:val="21"/>
              </w:rPr>
              <w:t>指标</w:t>
            </w:r>
          </w:p>
        </w:tc>
        <w:tc>
          <w:tcPr>
            <w:tcW w:w="7854" w:type="dxa"/>
            <w:vAlign w:val="center"/>
          </w:tcPr>
          <w:p>
            <w:pPr>
              <w:bidi w:val="0"/>
              <w:rPr>
                <w:rFonts w:hint="default" w:eastAsia="宋体"/>
                <w:color w:val="auto"/>
                <w:lang w:val="en-US" w:eastAsia="zh-CN"/>
              </w:rPr>
            </w:pPr>
            <w:r>
              <w:rPr>
                <w:rFonts w:hint="eastAsia"/>
                <w:color w:val="auto"/>
                <w:lang w:val="en-US" w:eastAsia="zh-CN"/>
              </w:rPr>
              <w:t>扩建项目TSP的排放总量为0.192t/a，小于5t/a，免于申请总量。</w:t>
            </w:r>
          </w:p>
        </w:tc>
      </w:tr>
    </w:tbl>
    <w:p>
      <w:pPr>
        <w:adjustRightInd w:val="0"/>
        <w:snapToGrid w:val="0"/>
        <w:ind w:firstLine="0" w:firstLine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br w:type="page"/>
      </w:r>
    </w:p>
    <w:p>
      <w:pPr>
        <w:pStyle w:val="4"/>
        <w:bidi w:val="0"/>
        <w:rPr>
          <w:rFonts w:hint="default"/>
          <w:color w:val="auto"/>
        </w:rPr>
      </w:pPr>
      <w:r>
        <w:rPr>
          <w:rFonts w:hint="default"/>
          <w:color w:val="auto"/>
        </w:rPr>
        <w:t>四、主要环境影响和保护措施</w:t>
      </w:r>
    </w:p>
    <w:tbl>
      <w:tblPr>
        <w:tblStyle w:val="17"/>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42" w:hRule="atLeast"/>
          <w:jc w:val="center"/>
        </w:trPr>
        <w:tc>
          <w:tcPr>
            <w:tcW w:w="746" w:type="dxa"/>
            <w:tcMar>
              <w:left w:w="28" w:type="dxa"/>
              <w:right w:w="28" w:type="dxa"/>
            </w:tcMar>
            <w:vAlign w:val="center"/>
          </w:tcPr>
          <w:p>
            <w:pPr>
              <w:adjustRightInd w:val="0"/>
              <w:snapToGrid w:val="0"/>
              <w:ind w:firstLine="0" w:firstLine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lang w:eastAsia="zh-CN"/>
              </w:rPr>
              <w:t>施工</w:t>
            </w:r>
            <w:r>
              <w:rPr>
                <w:rFonts w:hint="default" w:ascii="Times New Roman" w:hAnsi="Times New Roman" w:eastAsia="宋体" w:cs="Times New Roman"/>
                <w:b/>
                <w:bCs/>
                <w:color w:val="auto"/>
              </w:rPr>
              <w:t>期环</w:t>
            </w:r>
          </w:p>
          <w:p>
            <w:pPr>
              <w:adjustRightInd w:val="0"/>
              <w:snapToGrid w:val="0"/>
              <w:ind w:firstLine="0" w:firstLine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境影</w:t>
            </w:r>
          </w:p>
          <w:p>
            <w:pPr>
              <w:adjustRightInd w:val="0"/>
              <w:snapToGrid w:val="0"/>
              <w:ind w:firstLine="0" w:firstLine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响和</w:t>
            </w:r>
          </w:p>
          <w:p>
            <w:pPr>
              <w:adjustRightInd w:val="0"/>
              <w:snapToGrid w:val="0"/>
              <w:ind w:firstLine="0" w:firstLine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保护</w:t>
            </w:r>
          </w:p>
          <w:p>
            <w:pPr>
              <w:ind w:left="0" w:lef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b/>
                <w:bCs/>
                <w:color w:val="auto"/>
              </w:rPr>
              <w:t>措施</w:t>
            </w:r>
          </w:p>
        </w:tc>
        <w:tc>
          <w:tcPr>
            <w:tcW w:w="8162" w:type="dxa"/>
            <w:tcBorders>
              <w:bottom w:val="single" w:color="000000" w:sz="2" w:space="0"/>
            </w:tcBorders>
            <w:vAlign w:val="center"/>
          </w:tcPr>
          <w:p>
            <w:pPr>
              <w:keepNext w:val="0"/>
              <w:keepLines w:val="0"/>
              <w:pageBreakBefore w:val="0"/>
              <w:widowControl w:val="0"/>
              <w:kinsoku/>
              <w:wordWrap/>
              <w:overflowPunct/>
              <w:topLinePunct w:val="0"/>
              <w:autoSpaceDE/>
              <w:autoSpaceDN/>
              <w:bidi w:val="0"/>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1、施工期</w:t>
            </w:r>
          </w:p>
          <w:p>
            <w:pPr>
              <w:bidi w:val="0"/>
              <w:rPr>
                <w:rFonts w:hint="default"/>
                <w:color w:val="auto"/>
                <w:lang w:val="en-US" w:eastAsia="zh-CN"/>
              </w:rPr>
            </w:pPr>
            <w:r>
              <w:rPr>
                <w:rFonts w:hint="eastAsia"/>
                <w:color w:val="auto"/>
                <w:lang w:val="en-US" w:eastAsia="zh-CN"/>
              </w:rPr>
              <w:t>扩建项目施工期主要为生产设备、环保设施的安装、调试。</w:t>
            </w:r>
          </w:p>
          <w:p>
            <w:pPr>
              <w:bidi w:val="0"/>
              <w:rPr>
                <w:rFonts w:hint="default"/>
                <w:color w:val="auto"/>
                <w:lang w:val="en-US" w:eastAsia="zh-CN"/>
              </w:rPr>
            </w:pPr>
            <w:r>
              <w:rPr>
                <w:rFonts w:hint="eastAsia"/>
                <w:color w:val="auto"/>
                <w:lang w:val="en-US" w:eastAsia="zh-CN"/>
              </w:rPr>
              <w:t>扩建项目施工期对环境产生影响的因子有：施工废水、固废、施工噪声等。</w:t>
            </w:r>
          </w:p>
          <w:p>
            <w:pPr>
              <w:keepNext w:val="0"/>
              <w:keepLines w:val="0"/>
              <w:pageBreakBefore w:val="0"/>
              <w:widowControl w:val="0"/>
              <w:kinsoku/>
              <w:wordWrap/>
              <w:overflowPunct/>
              <w:topLinePunct w:val="0"/>
              <w:autoSpaceDE/>
              <w:autoSpaceDN/>
              <w:bidi w:val="0"/>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1.</w:t>
            </w:r>
            <w:r>
              <w:rPr>
                <w:rFonts w:hint="eastAsia" w:cs="Times New Roman"/>
                <w:b/>
                <w:bCs/>
                <w:color w:val="auto"/>
                <w:lang w:val="en-US" w:eastAsia="zh-CN"/>
              </w:rPr>
              <w:t>1</w:t>
            </w:r>
            <w:r>
              <w:rPr>
                <w:rFonts w:hint="default" w:ascii="Times New Roman" w:hAnsi="Times New Roman" w:eastAsia="宋体" w:cs="Times New Roman"/>
                <w:b/>
                <w:bCs/>
                <w:color w:val="auto"/>
                <w:lang w:val="en-US" w:eastAsia="zh-CN"/>
              </w:rPr>
              <w:t>废水环保措施</w:t>
            </w:r>
          </w:p>
          <w:p>
            <w:pPr>
              <w:bidi w:val="0"/>
              <w:rPr>
                <w:rFonts w:hint="default"/>
                <w:color w:val="auto"/>
                <w:lang w:eastAsia="zh-CN"/>
              </w:rPr>
            </w:pPr>
            <w:r>
              <w:rPr>
                <w:rFonts w:hint="eastAsia"/>
                <w:color w:val="auto"/>
                <w:lang w:eastAsia="zh-CN"/>
              </w:rPr>
              <w:t>项目施工期不设立施工营地，</w:t>
            </w:r>
            <w:r>
              <w:rPr>
                <w:rFonts w:hint="default"/>
                <w:color w:val="auto"/>
                <w:lang w:eastAsia="zh-CN"/>
              </w:rPr>
              <w:t>施工人员的生活污水排入</w:t>
            </w:r>
            <w:r>
              <w:rPr>
                <w:rFonts w:hint="eastAsia"/>
                <w:color w:val="auto"/>
                <w:lang w:val="en-US" w:eastAsia="zh-CN"/>
              </w:rPr>
              <w:t>现有工程防渗化粪池</w:t>
            </w:r>
            <w:r>
              <w:rPr>
                <w:rFonts w:hint="default"/>
                <w:color w:val="auto"/>
                <w:lang w:eastAsia="zh-CN"/>
              </w:rPr>
              <w:t>；</w:t>
            </w:r>
          </w:p>
          <w:p>
            <w:pPr>
              <w:keepNext w:val="0"/>
              <w:keepLines w:val="0"/>
              <w:pageBreakBefore w:val="0"/>
              <w:widowControl w:val="0"/>
              <w:suppressLineNumbers w:val="0"/>
              <w:shd w:val="clear"/>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color w:val="auto"/>
                <w:sz w:val="24"/>
                <w:shd w:val="clear" w:color="auto" w:fill="auto"/>
                <w:lang w:eastAsia="zh-CN"/>
              </w:rPr>
            </w:pPr>
            <w:r>
              <w:rPr>
                <w:rFonts w:hint="default" w:ascii="Times New Roman" w:hAnsi="Times New Roman" w:eastAsia="宋体" w:cs="Times New Roman"/>
                <w:b/>
                <w:color w:val="auto"/>
                <w:sz w:val="24"/>
                <w:shd w:val="clear" w:color="auto" w:fill="auto"/>
                <w:lang w:val="en-US" w:eastAsia="zh-CN"/>
              </w:rPr>
              <w:t>1.</w:t>
            </w:r>
            <w:r>
              <w:rPr>
                <w:rFonts w:hint="eastAsia" w:cs="Times New Roman"/>
                <w:b/>
                <w:color w:val="auto"/>
                <w:sz w:val="24"/>
                <w:shd w:val="clear" w:color="auto" w:fill="auto"/>
                <w:lang w:val="en-US" w:eastAsia="zh-CN"/>
              </w:rPr>
              <w:t>2</w:t>
            </w:r>
            <w:r>
              <w:rPr>
                <w:rFonts w:hint="default" w:ascii="Times New Roman" w:hAnsi="Times New Roman" w:eastAsia="宋体" w:cs="Times New Roman"/>
                <w:b/>
                <w:color w:val="auto"/>
                <w:sz w:val="24"/>
                <w:shd w:val="clear" w:color="auto" w:fill="auto"/>
              </w:rPr>
              <w:t>噪声</w:t>
            </w:r>
            <w:r>
              <w:rPr>
                <w:rFonts w:hint="default" w:ascii="Times New Roman" w:hAnsi="Times New Roman" w:eastAsia="宋体" w:cs="Times New Roman"/>
                <w:b/>
                <w:color w:val="auto"/>
                <w:sz w:val="24"/>
                <w:shd w:val="clear" w:color="auto" w:fill="auto"/>
                <w:lang w:eastAsia="zh-CN"/>
              </w:rPr>
              <w:t>环保措施</w:t>
            </w:r>
          </w:p>
          <w:p>
            <w:pPr>
              <w:bidi w:val="0"/>
              <w:rPr>
                <w:rFonts w:hint="default"/>
                <w:color w:val="auto"/>
                <w:lang w:val="en-US" w:eastAsia="zh-CN"/>
              </w:rPr>
            </w:pPr>
            <w:r>
              <w:rPr>
                <w:rFonts w:hint="eastAsia"/>
                <w:color w:val="auto"/>
                <w:lang w:val="en-US" w:eastAsia="zh-CN"/>
              </w:rPr>
              <w:t>施工期只有设备安装时产生的安装噪声，为非连续，且施工周期较短，对周围影响较小。</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color w:val="auto"/>
                <w:sz w:val="24"/>
                <w:shd w:val="clear" w:color="auto" w:fill="auto"/>
                <w:lang w:eastAsia="zh-CN"/>
              </w:rPr>
            </w:pPr>
            <w:r>
              <w:rPr>
                <w:rFonts w:hint="default" w:ascii="Times New Roman" w:hAnsi="Times New Roman" w:eastAsia="宋体" w:cs="Times New Roman"/>
                <w:b/>
                <w:color w:val="auto"/>
                <w:sz w:val="24"/>
                <w:shd w:val="clear" w:color="auto" w:fill="auto"/>
                <w:lang w:val="en-US" w:eastAsia="zh-CN"/>
              </w:rPr>
              <w:t>1.</w:t>
            </w:r>
            <w:r>
              <w:rPr>
                <w:rFonts w:hint="eastAsia" w:cs="Times New Roman"/>
                <w:b/>
                <w:color w:val="auto"/>
                <w:sz w:val="24"/>
                <w:shd w:val="clear" w:color="auto" w:fill="auto"/>
                <w:lang w:val="en-US" w:eastAsia="zh-CN"/>
              </w:rPr>
              <w:t>3</w:t>
            </w:r>
            <w:r>
              <w:rPr>
                <w:rFonts w:hint="default" w:ascii="Times New Roman" w:hAnsi="Times New Roman" w:eastAsia="宋体" w:cs="Times New Roman"/>
                <w:b/>
                <w:color w:val="auto"/>
                <w:sz w:val="24"/>
                <w:shd w:val="clear" w:color="auto" w:fill="auto"/>
              </w:rPr>
              <w:t>固体废物</w:t>
            </w:r>
            <w:r>
              <w:rPr>
                <w:rFonts w:hint="default" w:ascii="Times New Roman" w:hAnsi="Times New Roman" w:eastAsia="宋体" w:cs="Times New Roman"/>
                <w:b/>
                <w:color w:val="auto"/>
                <w:sz w:val="24"/>
                <w:shd w:val="clear" w:color="auto" w:fill="auto"/>
                <w:lang w:eastAsia="zh-CN"/>
              </w:rPr>
              <w:t>环保措施</w:t>
            </w:r>
          </w:p>
          <w:p>
            <w:pPr>
              <w:bidi w:val="0"/>
              <w:rPr>
                <w:rFonts w:hint="eastAsia" w:eastAsia="宋体"/>
                <w:color w:val="auto"/>
                <w:lang w:eastAsia="zh-CN"/>
              </w:rPr>
            </w:pPr>
            <w:r>
              <w:rPr>
                <w:rFonts w:hint="default"/>
                <w:color w:val="auto"/>
              </w:rPr>
              <w:t>（1）</w:t>
            </w:r>
            <w:r>
              <w:rPr>
                <w:rFonts w:hint="eastAsia"/>
                <w:color w:val="auto"/>
                <w:lang w:eastAsia="zh-CN"/>
              </w:rPr>
              <w:t>职工人员产生的少量生活垃圾与现有工程生活垃圾统一投放至厂区垃圾桶内，委托环卫清运。</w:t>
            </w:r>
          </w:p>
          <w:p>
            <w:pPr>
              <w:bidi w:val="0"/>
              <w:rPr>
                <w:rFonts w:hint="default" w:ascii="Times New Roman" w:hAnsi="Times New Roman" w:eastAsia="宋体" w:cs="Times New Roman"/>
                <w:bCs/>
                <w:color w:val="auto"/>
                <w:spacing w:val="-10"/>
                <w:szCs w:val="21"/>
              </w:rPr>
            </w:pPr>
            <w:r>
              <w:rPr>
                <w:rFonts w:hint="default"/>
                <w:color w:val="auto"/>
              </w:rPr>
              <w:t>（2）</w:t>
            </w:r>
            <w:r>
              <w:rPr>
                <w:rFonts w:hint="eastAsia"/>
                <w:color w:val="auto"/>
                <w:lang w:eastAsia="zh-CN"/>
              </w:rPr>
              <w:t>扩建项目施工期会产生少量建筑垃圾。施工结束后，将建筑垃圾运至指定建筑垃圾场。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2" w:hRule="atLeast"/>
          <w:jc w:val="center"/>
        </w:trPr>
        <w:tc>
          <w:tcPr>
            <w:tcW w:w="746" w:type="dxa"/>
            <w:tcBorders>
              <w:right w:val="single" w:color="000000" w:sz="2" w:space="0"/>
            </w:tcBorders>
            <w:tcMar>
              <w:left w:w="28" w:type="dxa"/>
              <w:right w:w="28" w:type="dxa"/>
            </w:tcMar>
            <w:vAlign w:val="center"/>
          </w:tcPr>
          <w:p>
            <w:pPr>
              <w:adjustRightInd w:val="0"/>
              <w:snapToGrid w:val="0"/>
              <w:ind w:firstLine="0" w:firstLine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运营</w:t>
            </w:r>
          </w:p>
          <w:p>
            <w:pPr>
              <w:adjustRightInd w:val="0"/>
              <w:snapToGrid w:val="0"/>
              <w:ind w:firstLine="0" w:firstLine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期环</w:t>
            </w:r>
          </w:p>
          <w:p>
            <w:pPr>
              <w:adjustRightInd w:val="0"/>
              <w:snapToGrid w:val="0"/>
              <w:ind w:firstLine="0" w:firstLine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境影</w:t>
            </w:r>
          </w:p>
          <w:p>
            <w:pPr>
              <w:adjustRightInd w:val="0"/>
              <w:snapToGrid w:val="0"/>
              <w:ind w:firstLine="0" w:firstLine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响和</w:t>
            </w:r>
          </w:p>
          <w:p>
            <w:pPr>
              <w:adjustRightInd w:val="0"/>
              <w:snapToGrid w:val="0"/>
              <w:ind w:firstLine="0" w:firstLine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保护</w:t>
            </w:r>
          </w:p>
          <w:p>
            <w:pPr>
              <w:ind w:left="0" w:leftChars="0" w:firstLine="0" w:firstLineChars="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措施</w:t>
            </w:r>
          </w:p>
        </w:tc>
        <w:tc>
          <w:tcPr>
            <w:tcW w:w="8162" w:type="dxa"/>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ind w:firstLine="482"/>
              <w:jc w:val="both"/>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rPr>
              <w:t>1、废气</w:t>
            </w:r>
            <w:r>
              <w:rPr>
                <w:rFonts w:hint="eastAsia"/>
                <w:b/>
                <w:bCs/>
                <w:color w:val="auto"/>
                <w:lang w:val="en-US" w:eastAsia="zh-CN"/>
              </w:rPr>
              <w:t>产排情况及治理措施可行性分析</w:t>
            </w: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cs="Times New Roman"/>
                <w:b/>
                <w:bCs/>
                <w:color w:val="auto"/>
                <w:lang w:val="en-US" w:eastAsia="zh-CN"/>
              </w:rPr>
            </w:pPr>
            <w:r>
              <w:rPr>
                <w:rFonts w:hint="eastAsia" w:cs="Times New Roman"/>
                <w:b/>
                <w:bCs/>
                <w:color w:val="auto"/>
                <w:lang w:val="en-US" w:eastAsia="zh-CN"/>
              </w:rPr>
              <w:t>1.1废气产排情况</w:t>
            </w:r>
          </w:p>
          <w:p>
            <w:pPr>
              <w:rPr>
                <w:rFonts w:hint="eastAsia"/>
                <w:color w:val="auto"/>
                <w:lang w:val="en-US" w:eastAsia="zh-CN"/>
              </w:rPr>
            </w:pPr>
            <w:r>
              <w:rPr>
                <w:rFonts w:hint="eastAsia"/>
                <w:color w:val="auto"/>
                <w:lang w:val="en-US" w:eastAsia="zh-CN"/>
              </w:rPr>
              <w:t>本项目运营期产生的废气主要为破碎筛分产生的颗粒物。</w:t>
            </w:r>
          </w:p>
          <w:p>
            <w:pPr>
              <w:rPr>
                <w:rFonts w:hint="default"/>
                <w:color w:val="auto"/>
                <w:lang w:val="en-US" w:eastAsia="zh-CN"/>
              </w:rPr>
            </w:pPr>
            <w:r>
              <w:rPr>
                <w:rFonts w:hint="eastAsia"/>
                <w:color w:val="auto"/>
                <w:lang w:val="en-US" w:eastAsia="zh-CN"/>
              </w:rPr>
              <w:t>（1）破碎筛分粉尘</w:t>
            </w:r>
          </w:p>
          <w:p>
            <w:pPr>
              <w:rPr>
                <w:rFonts w:hint="default" w:ascii="Times New Roman" w:hAnsi="Times New Roman" w:eastAsia="宋体" w:cs="Times New Roman"/>
                <w:color w:val="auto"/>
                <w:lang w:val="en-US" w:eastAsia="zh-CN"/>
              </w:rPr>
            </w:pPr>
            <w:r>
              <w:rPr>
                <w:rFonts w:hint="eastAsia"/>
                <w:color w:val="auto"/>
                <w:lang w:val="en-US" w:eastAsia="zh-CN"/>
              </w:rPr>
              <w:t>本项目制粉工序为纯物理性过程，在破碎和筛分等工序，物料均不发生化学反应，仅在工作过程中由于挤压或摩擦有少量热量产生，整个生产过程中橡胶不存在分解，不产生橡胶分解废气。废气主要为破碎筛分工序产生的粉尘，根据</w:t>
            </w:r>
            <w:r>
              <w:rPr>
                <w:b w:val="0"/>
                <w:bCs w:val="0"/>
                <w:color w:val="auto"/>
                <w:highlight w:val="none"/>
              </w:rPr>
              <w:t>《逸散性工业粉尘控制技术》</w:t>
            </w:r>
            <w:r>
              <w:rPr>
                <w:rFonts w:hint="eastAsia"/>
                <w:b w:val="0"/>
                <w:bCs w:val="0"/>
                <w:color w:val="auto"/>
                <w:highlight w:val="none"/>
                <w:lang w:val="en-US" w:eastAsia="zh-CN"/>
              </w:rPr>
              <w:t>可知，</w:t>
            </w:r>
            <w:r>
              <w:rPr>
                <w:rFonts w:hint="eastAsia"/>
                <w:b w:val="0"/>
                <w:bCs w:val="0"/>
                <w:color w:val="auto"/>
                <w:highlight w:val="none"/>
                <w:lang w:eastAsia="zh-CN"/>
              </w:rPr>
              <w:t>粒料破碎</w:t>
            </w:r>
            <w:r>
              <w:rPr>
                <w:rFonts w:hint="eastAsia"/>
                <w:b w:val="0"/>
                <w:bCs w:val="0"/>
                <w:color w:val="auto"/>
                <w:highlight w:val="none"/>
                <w:lang w:val="en-US" w:eastAsia="zh-CN"/>
              </w:rPr>
              <w:t>粉尘产排污系数</w:t>
            </w:r>
            <w:r>
              <w:rPr>
                <w:b w:val="0"/>
                <w:bCs w:val="0"/>
                <w:color w:val="auto"/>
                <w:highlight w:val="none"/>
              </w:rPr>
              <w:t>按0.75 kg/t（</w:t>
            </w:r>
            <w:r>
              <w:rPr>
                <w:rFonts w:hint="eastAsia"/>
                <w:b w:val="0"/>
                <w:bCs w:val="0"/>
                <w:color w:val="auto"/>
                <w:highlight w:val="none"/>
                <w:lang w:eastAsia="zh-CN"/>
              </w:rPr>
              <w:t>粒料</w:t>
            </w:r>
            <w:r>
              <w:rPr>
                <w:b w:val="0"/>
                <w:bCs w:val="0"/>
                <w:color w:val="auto"/>
                <w:highlight w:val="none"/>
              </w:rPr>
              <w:t>）计，</w:t>
            </w:r>
            <w:r>
              <w:rPr>
                <w:rFonts w:hint="eastAsia"/>
                <w:b w:val="0"/>
                <w:bCs w:val="0"/>
                <w:color w:val="auto"/>
                <w:highlight w:val="none"/>
                <w:lang w:val="en-US" w:eastAsia="zh-CN"/>
              </w:rPr>
              <w:t>本项目原料用量为27000t/a，根据计算，破碎筛分粉尘的产生量为20.25t/a，分别在破碎筛分工序上方设置集气罩（集气效率为95%），收集后的粉尘量为19.24t/a，通过水喷淋塔进行处理（除尘效率为99%，，风机风量为10000m</w:t>
            </w:r>
            <w:r>
              <w:rPr>
                <w:rFonts w:hint="eastAsia"/>
                <w:b w:val="0"/>
                <w:bCs w:val="0"/>
                <w:color w:val="auto"/>
                <w:highlight w:val="none"/>
                <w:vertAlign w:val="superscript"/>
                <w:lang w:val="en-US" w:eastAsia="zh-CN"/>
              </w:rPr>
              <w:t>3</w:t>
            </w:r>
            <w:r>
              <w:rPr>
                <w:rFonts w:hint="eastAsia"/>
                <w:b w:val="0"/>
                <w:bCs w:val="0"/>
                <w:color w:val="auto"/>
                <w:highlight w:val="none"/>
                <w:lang w:val="en-US" w:eastAsia="zh-CN"/>
              </w:rPr>
              <w:t>/h）。经过计算，废气的排放量为0.192t/a，排放速率为0.027kg/h，排放浓度为2.7mg/m</w:t>
            </w:r>
            <w:r>
              <w:rPr>
                <w:rFonts w:hint="eastAsia"/>
                <w:b w:val="0"/>
                <w:bCs w:val="0"/>
                <w:color w:val="auto"/>
                <w:highlight w:val="none"/>
                <w:vertAlign w:val="superscript"/>
                <w:lang w:val="en-US" w:eastAsia="zh-CN"/>
              </w:rPr>
              <w:t>3</w:t>
            </w:r>
            <w:r>
              <w:rPr>
                <w:rFonts w:hint="eastAsia"/>
                <w:b w:val="0"/>
                <w:bCs w:val="0"/>
                <w:color w:val="auto"/>
                <w:highlight w:val="none"/>
                <w:lang w:val="en-US" w:eastAsia="zh-CN"/>
              </w:rPr>
              <w:t>，有组织废气的排放可以满足《大气污染物综合排放标准》（GB16297-1996）中表2新污染源大气污染物排放限值要求。</w:t>
            </w:r>
          </w:p>
          <w:p>
            <w:pPr>
              <w:bidi w:val="0"/>
              <w:spacing w:line="360" w:lineRule="auto"/>
              <w:ind w:firstLine="480" w:firstLineChars="200"/>
              <w:rPr>
                <w:rFonts w:hint="default"/>
                <w:b w:val="0"/>
                <w:bCs w:val="0"/>
                <w:color w:val="auto"/>
                <w:lang w:val="en-US" w:eastAsia="zh-CN"/>
              </w:rPr>
            </w:pPr>
            <w:r>
              <w:rPr>
                <w:rFonts w:hint="eastAsia"/>
                <w:b w:val="0"/>
                <w:bCs w:val="0"/>
                <w:color w:val="auto"/>
                <w:lang w:val="en-US" w:eastAsia="zh-CN"/>
              </w:rPr>
              <w:t>本项目无组织废气的产生量为1.012t/a，经封闭构筑物的阻隔沉降（阻隔沉降效率为80%）后，无组织粉尘的排放量为0.202t/a，排放速率为0.028kg/h。</w:t>
            </w:r>
          </w:p>
          <w:p>
            <w:pPr>
              <w:bidi w:val="0"/>
              <w:rPr>
                <w:rFonts w:hint="default"/>
                <w:color w:val="auto"/>
              </w:rPr>
            </w:pPr>
            <w:r>
              <w:rPr>
                <w:rFonts w:hint="eastAsia"/>
                <w:color w:val="auto"/>
                <w:lang w:val="en-US" w:eastAsia="zh-CN"/>
              </w:rPr>
              <w:t>本</w:t>
            </w:r>
            <w:r>
              <w:rPr>
                <w:rFonts w:hint="default"/>
                <w:color w:val="auto"/>
                <w:lang w:val="fr-FR"/>
              </w:rPr>
              <w:t>项目大气污染物产排情况汇总见表</w:t>
            </w:r>
            <w:r>
              <w:rPr>
                <w:rFonts w:hint="eastAsia"/>
                <w:color w:val="auto"/>
                <w:lang w:val="en-US" w:eastAsia="zh-CN"/>
              </w:rPr>
              <w:t>32</w:t>
            </w:r>
            <w:r>
              <w:rPr>
                <w:rFonts w:hint="default"/>
                <w:color w:val="auto"/>
              </w:rPr>
              <w:t>。</w:t>
            </w:r>
          </w:p>
          <w:p>
            <w:pPr>
              <w:widowControl/>
              <w:spacing w:line="240" w:lineRule="auto"/>
              <w:ind w:firstLine="482" w:firstLineChars="20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eastAsia" w:cs="Times New Roman"/>
                <w:b/>
                <w:bCs/>
                <w:color w:val="auto"/>
                <w:sz w:val="24"/>
                <w:szCs w:val="24"/>
                <w:lang w:val="en-US" w:eastAsia="zh-CN"/>
              </w:rPr>
              <w:t>32</w:t>
            </w:r>
            <w:r>
              <w:rPr>
                <w:rFonts w:hint="eastAsia" w:ascii="Times New Roman" w:hAnsi="Times New Roman"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本项目大气污染物产排情况汇总</w:t>
            </w:r>
          </w:p>
          <w:tbl>
            <w:tblPr>
              <w:tblStyle w:val="18"/>
              <w:tblW w:w="794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20"/>
              <w:gridCol w:w="473"/>
              <w:gridCol w:w="748"/>
              <w:gridCol w:w="696"/>
              <w:gridCol w:w="852"/>
              <w:gridCol w:w="732"/>
              <w:gridCol w:w="2196"/>
              <w:gridCol w:w="960"/>
              <w:gridCol w:w="76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污染源</w:t>
                  </w:r>
                </w:p>
              </w:tc>
              <w:tc>
                <w:tcPr>
                  <w:tcW w:w="7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核算方法</w:t>
                  </w:r>
                </w:p>
              </w:tc>
              <w:tc>
                <w:tcPr>
                  <w:tcW w:w="6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工作时间</w:t>
                  </w:r>
                </w:p>
              </w:tc>
              <w:tc>
                <w:tcPr>
                  <w:tcW w:w="8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污染物名称</w:t>
                  </w: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产生量</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治理措施</w:t>
                  </w:r>
                </w:p>
              </w:tc>
              <w:tc>
                <w:tcPr>
                  <w:tcW w:w="9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方式/去向</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bCs/>
                      <w:color w:val="auto"/>
                      <w:sz w:val="21"/>
                      <w:szCs w:val="21"/>
                      <w:vertAlign w:val="baseline"/>
                      <w:lang w:val="en-US" w:eastAsia="zh-CN"/>
                    </w:rPr>
                  </w:pPr>
                  <w:r>
                    <w:rPr>
                      <w:rFonts w:hint="eastAsia" w:cs="Times New Roman"/>
                      <w:b/>
                      <w:bCs/>
                      <w:color w:val="auto"/>
                      <w:sz w:val="21"/>
                      <w:szCs w:val="21"/>
                      <w:vertAlign w:val="baseline"/>
                      <w:lang w:val="en-US" w:eastAsia="zh-CN"/>
                    </w:rPr>
                    <w:t>排放量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54" w:hRule="atLeast"/>
              </w:trPr>
              <w:tc>
                <w:tcPr>
                  <w:tcW w:w="520" w:type="dxa"/>
                  <w:tcBorders>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有组织废气</w:t>
                  </w:r>
                </w:p>
              </w:tc>
              <w:tc>
                <w:tcPr>
                  <w:tcW w:w="473" w:type="dxa"/>
                  <w:tcBorders>
                    <w:lef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破碎筛分粉尘</w:t>
                  </w:r>
                </w:p>
              </w:tc>
              <w:tc>
                <w:tcPr>
                  <w:tcW w:w="7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产排污系数法</w:t>
                  </w:r>
                </w:p>
              </w:tc>
              <w:tc>
                <w:tcPr>
                  <w:tcW w:w="6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7200h</w:t>
                  </w:r>
                </w:p>
              </w:tc>
              <w:tc>
                <w:tcPr>
                  <w:tcW w:w="8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颗粒物</w:t>
                  </w: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20.25t/a</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left"/>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治理措施：集气罩+水喷淋塔+1根15m高的排气筒</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left"/>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处理能力：10000m</w:t>
                  </w:r>
                  <w:r>
                    <w:rPr>
                      <w:rFonts w:hint="eastAsia" w:cs="Times New Roman"/>
                      <w:b w:val="0"/>
                      <w:bCs w:val="0"/>
                      <w:color w:val="auto"/>
                      <w:sz w:val="21"/>
                      <w:szCs w:val="21"/>
                      <w:vertAlign w:val="superscript"/>
                      <w:lang w:val="en-US" w:eastAsia="zh-CN"/>
                    </w:rPr>
                    <w:t>3</w:t>
                  </w:r>
                  <w:r>
                    <w:rPr>
                      <w:rFonts w:hint="eastAsia" w:cs="Times New Roman"/>
                      <w:b w:val="0"/>
                      <w:bCs w:val="0"/>
                      <w:color w:val="auto"/>
                      <w:sz w:val="21"/>
                      <w:szCs w:val="21"/>
                      <w:vertAlign w:val="baseline"/>
                      <w:lang w:val="en-US" w:eastAsia="zh-CN"/>
                    </w:rPr>
                    <w:t>/h</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left"/>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集气罩收集效率：95%</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left"/>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碱喷淋处理效率：99%</w:t>
                  </w:r>
                </w:p>
              </w:tc>
              <w:tc>
                <w:tcPr>
                  <w:tcW w:w="9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连续/大气</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0.192t/a</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无组织废气</w:t>
                  </w:r>
                </w:p>
              </w:tc>
              <w:tc>
                <w:tcPr>
                  <w:tcW w:w="7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产排污系数法</w:t>
                  </w:r>
                </w:p>
              </w:tc>
              <w:tc>
                <w:tcPr>
                  <w:tcW w:w="6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7200h</w:t>
                  </w:r>
                </w:p>
              </w:tc>
              <w:tc>
                <w:tcPr>
                  <w:tcW w:w="8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颗粒物</w:t>
                  </w: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1.09t/a</w:t>
                  </w:r>
                </w:p>
              </w:tc>
              <w:tc>
                <w:tcPr>
                  <w:tcW w:w="2196" w:type="dxa"/>
                  <w:tcBorders>
                    <w:tl2br w:val="nil"/>
                    <w:tr2bl w:val="nil"/>
                  </w:tcBorders>
                  <w:vAlign w:val="center"/>
                </w:tcPr>
                <w:p>
                  <w:pPr>
                    <w:keepNext w:val="0"/>
                    <w:keepLines w:val="0"/>
                    <w:pageBreakBefore w:val="0"/>
                    <w:widowControl w:val="0"/>
                    <w:tabs>
                      <w:tab w:val="left" w:pos="851"/>
                      <w:tab w:val="left" w:pos="1134"/>
                      <w:tab w:val="left" w:pos="1276"/>
                    </w:tabs>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采取的措施：</w:t>
                  </w:r>
                  <w:r>
                    <w:rPr>
                      <w:rFonts w:hint="default" w:ascii="Times New Roman" w:hAnsi="Times New Roman" w:cs="Times New Roman"/>
                      <w:b w:val="0"/>
                      <w:bCs/>
                      <w:color w:val="auto"/>
                      <w:sz w:val="21"/>
                      <w:szCs w:val="21"/>
                      <w:vertAlign w:val="baseline"/>
                      <w:lang w:val="en-US" w:eastAsia="zh-CN"/>
                    </w:rPr>
                    <w:t>封闭构筑物</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both"/>
                    <w:textAlignment w:val="auto"/>
                    <w:rPr>
                      <w:rFonts w:hint="eastAsia" w:cs="Times New Roman"/>
                      <w:b w:val="0"/>
                      <w:bCs w:val="0"/>
                      <w:color w:val="auto"/>
                      <w:sz w:val="21"/>
                      <w:szCs w:val="21"/>
                      <w:vertAlign w:val="baseline"/>
                      <w:lang w:val="en-US" w:eastAsia="zh-CN"/>
                    </w:rPr>
                  </w:pPr>
                  <w:r>
                    <w:rPr>
                      <w:rFonts w:hint="default" w:ascii="Times New Roman" w:hAnsi="Times New Roman" w:cs="Times New Roman"/>
                      <w:b w:val="0"/>
                      <w:bCs/>
                      <w:color w:val="auto"/>
                      <w:sz w:val="21"/>
                      <w:szCs w:val="21"/>
                      <w:vertAlign w:val="baseline"/>
                      <w:lang w:val="en-US" w:eastAsia="zh-CN"/>
                    </w:rPr>
                    <w:t>阻隔效率</w:t>
                  </w:r>
                  <w:r>
                    <w:rPr>
                      <w:rFonts w:hint="eastAsia" w:cs="Times New Roman"/>
                      <w:b w:val="0"/>
                      <w:bCs/>
                      <w:color w:val="auto"/>
                      <w:sz w:val="21"/>
                      <w:szCs w:val="21"/>
                      <w:vertAlign w:val="baseline"/>
                      <w:lang w:val="en-US" w:eastAsia="zh-CN"/>
                    </w:rPr>
                    <w:t>：80</w:t>
                  </w:r>
                  <w:r>
                    <w:rPr>
                      <w:rFonts w:hint="default" w:ascii="Times New Roman" w:hAnsi="Times New Roman" w:cs="Times New Roman"/>
                      <w:b w:val="0"/>
                      <w:bCs/>
                      <w:color w:val="auto"/>
                      <w:sz w:val="21"/>
                      <w:szCs w:val="21"/>
                      <w:vertAlign w:val="baseline"/>
                      <w:lang w:val="en-US" w:eastAsia="zh-CN"/>
                    </w:rPr>
                    <w:t>%</w:t>
                  </w:r>
                </w:p>
              </w:tc>
              <w:tc>
                <w:tcPr>
                  <w:tcW w:w="9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vertAlign w:val="baseline"/>
                      <w:lang w:val="en-US" w:eastAsia="zh-CN"/>
                    </w:rPr>
                  </w:pPr>
                  <w:r>
                    <w:rPr>
                      <w:rFonts w:hint="default" w:ascii="Times New Roman" w:hAnsi="Times New Roman" w:cs="Times New Roman"/>
                      <w:color w:val="auto"/>
                      <w:kern w:val="0"/>
                      <w:sz w:val="21"/>
                      <w:szCs w:val="21"/>
                      <w:lang w:val="en-US" w:eastAsia="zh-CN"/>
                    </w:rPr>
                    <w:t>间断</w:t>
                  </w:r>
                  <w:r>
                    <w:rPr>
                      <w:rFonts w:hint="default" w:ascii="Times New Roman" w:hAnsi="Times New Roman" w:cs="Times New Roman"/>
                      <w:color w:val="auto"/>
                      <w:kern w:val="0"/>
                      <w:sz w:val="21"/>
                      <w:szCs w:val="21"/>
                    </w:rPr>
                    <w:t>/大气</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0.202t/a</w:t>
                  </w:r>
                </w:p>
              </w:tc>
            </w:tr>
          </w:tbl>
          <w:tbl>
            <w:tblPr>
              <w:tblStyle w:val="18"/>
              <w:tblpPr w:leftFromText="180" w:rightFromText="180" w:vertAnchor="text" w:horzAnchor="page" w:tblpX="96" w:tblpY="312"/>
              <w:tblOverlap w:val="never"/>
              <w:tblW w:w="794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965"/>
              <w:gridCol w:w="576"/>
              <w:gridCol w:w="600"/>
              <w:gridCol w:w="804"/>
              <w:gridCol w:w="1080"/>
              <w:gridCol w:w="816"/>
              <w:gridCol w:w="21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污染源</w:t>
                  </w:r>
                </w:p>
              </w:tc>
              <w:tc>
                <w:tcPr>
                  <w:tcW w:w="9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排气筒高度</w:t>
                  </w:r>
                </w:p>
              </w:tc>
              <w:tc>
                <w:tcPr>
                  <w:tcW w:w="5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内径</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温度</w:t>
                  </w:r>
                </w:p>
              </w:tc>
              <w:tc>
                <w:tcPr>
                  <w:tcW w:w="8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编号</w:t>
                  </w: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名称</w:t>
                  </w:r>
                </w:p>
              </w:tc>
              <w:tc>
                <w:tcPr>
                  <w:tcW w:w="8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类型</w:t>
                  </w:r>
                </w:p>
              </w:tc>
              <w:tc>
                <w:tcPr>
                  <w:tcW w:w="21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坐标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破碎筛分工序</w:t>
                  </w:r>
                </w:p>
              </w:tc>
              <w:tc>
                <w:tcPr>
                  <w:tcW w:w="9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15m</w:t>
                  </w:r>
                </w:p>
              </w:tc>
              <w:tc>
                <w:tcPr>
                  <w:tcW w:w="5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0.5m</w:t>
                  </w:r>
                </w:p>
              </w:tc>
              <w:tc>
                <w:tcPr>
                  <w:tcW w:w="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20℃</w:t>
                  </w:r>
                </w:p>
              </w:tc>
              <w:tc>
                <w:tcPr>
                  <w:tcW w:w="8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DA001</w:t>
                  </w: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再生胶粉生产线排气筒</w:t>
                  </w:r>
                </w:p>
              </w:tc>
              <w:tc>
                <w:tcPr>
                  <w:tcW w:w="8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一般排放口</w:t>
                  </w:r>
                </w:p>
              </w:tc>
              <w:tc>
                <w:tcPr>
                  <w:tcW w:w="21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val="0"/>
                      <w:bCs w:val="0"/>
                      <w:color w:val="auto"/>
                      <w:kern w:val="2"/>
                      <w:sz w:val="21"/>
                      <w:szCs w:val="21"/>
                      <w:vertAlign w:val="baseline"/>
                      <w:lang w:val="en-US" w:eastAsia="zh-CN" w:bidi="ar-SA"/>
                    </w:rPr>
                  </w:pPr>
                  <w:r>
                    <w:rPr>
                      <w:rFonts w:hint="default" w:ascii="Times New Roman" w:hAnsi="Times New Roman" w:eastAsia="宋体" w:cs="Times New Roman"/>
                      <w:color w:val="auto"/>
                      <w:kern w:val="0"/>
                      <w:sz w:val="24"/>
                      <w:szCs w:val="24"/>
                      <w:lang w:val="en-US" w:eastAsia="zh-CN" w:bidi="ar"/>
                    </w:rPr>
                    <w:t>109°22'3.24"，40°34'33.35"</w:t>
                  </w:r>
                </w:p>
              </w:tc>
            </w:tr>
          </w:tbl>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宋体" w:cs="Times New Roman"/>
                <w:b/>
                <w:bCs/>
                <w:color w:val="auto"/>
                <w:sz w:val="24"/>
                <w:szCs w:val="22"/>
                <w:lang w:val="en-US" w:eastAsia="zh-CN"/>
              </w:rPr>
            </w:pPr>
            <w:r>
              <w:rPr>
                <w:rFonts w:hint="eastAsia" w:ascii="Times New Roman" w:hAnsi="Times New Roman" w:eastAsia="宋体" w:cs="Times New Roman"/>
                <w:b/>
                <w:bCs/>
                <w:color w:val="auto"/>
                <w:sz w:val="24"/>
                <w:szCs w:val="22"/>
                <w:lang w:val="en-US" w:eastAsia="zh-CN"/>
              </w:rPr>
              <w:t>表</w:t>
            </w:r>
            <w:r>
              <w:rPr>
                <w:rFonts w:hint="eastAsia" w:cs="Times New Roman"/>
                <w:b/>
                <w:bCs/>
                <w:color w:val="auto"/>
                <w:sz w:val="24"/>
                <w:szCs w:val="22"/>
                <w:lang w:val="en-US" w:eastAsia="zh-CN"/>
              </w:rPr>
              <w:t>33</w:t>
            </w:r>
            <w:r>
              <w:rPr>
                <w:rFonts w:hint="eastAsia" w:ascii="Times New Roman" w:hAnsi="Times New Roman" w:eastAsia="宋体" w:cs="Times New Roman"/>
                <w:b/>
                <w:bCs/>
                <w:color w:val="auto"/>
                <w:sz w:val="24"/>
                <w:szCs w:val="22"/>
                <w:lang w:val="en-US" w:eastAsia="zh-CN"/>
              </w:rPr>
              <w:t xml:space="preserve">   排放口基本情况一览表</w:t>
            </w:r>
          </w:p>
          <w:p>
            <w:pPr>
              <w:snapToGrid w:val="0"/>
              <w:spacing w:line="360" w:lineRule="auto"/>
              <w:ind w:firstLine="480" w:firstLineChars="200"/>
              <w:rPr>
                <w:rFonts w:hint="default" w:eastAsia="宋体"/>
                <w:color w:val="auto"/>
                <w:kern w:val="0"/>
                <w:sz w:val="24"/>
                <w:lang w:val="en-US" w:eastAsia="zh-CN"/>
              </w:rPr>
            </w:pPr>
            <w:r>
              <w:rPr>
                <w:rFonts w:hint="eastAsia"/>
                <w:color w:val="auto"/>
                <w:kern w:val="0"/>
                <w:sz w:val="24"/>
                <w:lang w:val="en-US" w:eastAsia="zh-CN"/>
              </w:rPr>
              <w:t>本</w:t>
            </w:r>
            <w:r>
              <w:rPr>
                <w:rFonts w:hint="eastAsia"/>
                <w:color w:val="auto"/>
                <w:kern w:val="0"/>
                <w:sz w:val="24"/>
                <w:lang w:eastAsia="zh-CN"/>
              </w:rPr>
              <w:t>项目废气达标情况见表</w:t>
            </w:r>
            <w:r>
              <w:rPr>
                <w:rFonts w:hint="eastAsia"/>
                <w:color w:val="auto"/>
                <w:kern w:val="0"/>
                <w:sz w:val="24"/>
                <w:lang w:val="en-US" w:eastAsia="zh-CN"/>
              </w:rPr>
              <w:t>34。</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宋体" w:cs="Times New Roman"/>
                <w:b/>
                <w:bCs/>
                <w:color w:val="auto"/>
                <w:sz w:val="24"/>
                <w:szCs w:val="22"/>
                <w:lang w:val="en-US" w:eastAsia="zh-CN"/>
              </w:rPr>
            </w:pPr>
            <w:r>
              <w:rPr>
                <w:rFonts w:hint="eastAsia" w:ascii="Times New Roman" w:hAnsi="Times New Roman" w:eastAsia="宋体" w:cs="Times New Roman"/>
                <w:b/>
                <w:bCs/>
                <w:color w:val="auto"/>
                <w:sz w:val="24"/>
                <w:szCs w:val="22"/>
                <w:lang w:val="en-US" w:eastAsia="zh-CN"/>
              </w:rPr>
              <w:t>表</w:t>
            </w:r>
            <w:r>
              <w:rPr>
                <w:rFonts w:hint="eastAsia" w:cs="Times New Roman"/>
                <w:b/>
                <w:bCs/>
                <w:color w:val="auto"/>
                <w:sz w:val="24"/>
                <w:szCs w:val="22"/>
                <w:lang w:val="en-US" w:eastAsia="zh-CN"/>
              </w:rPr>
              <w:t>34</w:t>
            </w:r>
            <w:r>
              <w:rPr>
                <w:rFonts w:hint="eastAsia" w:ascii="Times New Roman" w:hAnsi="Times New Roman" w:eastAsia="宋体" w:cs="Times New Roman"/>
                <w:b/>
                <w:bCs/>
                <w:color w:val="auto"/>
                <w:sz w:val="24"/>
                <w:szCs w:val="22"/>
                <w:lang w:val="en-US" w:eastAsia="zh-CN"/>
              </w:rPr>
              <w:t xml:space="preserve">  废气污染物排放达标情况</w:t>
            </w:r>
          </w:p>
          <w:tbl>
            <w:tblPr>
              <w:tblStyle w:val="18"/>
              <w:tblW w:w="794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993"/>
              <w:gridCol w:w="859"/>
              <w:gridCol w:w="912"/>
              <w:gridCol w:w="1092"/>
              <w:gridCol w:w="1109"/>
              <w:gridCol w:w="994"/>
              <w:gridCol w:w="99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编号</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排气筒高度</w:t>
                  </w:r>
                </w:p>
              </w:tc>
              <w:tc>
                <w:tcPr>
                  <w:tcW w:w="8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污染物种类</w:t>
                  </w:r>
                </w:p>
              </w:tc>
              <w:tc>
                <w:tcPr>
                  <w:tcW w:w="9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排放量</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排放速率(kg/h)</w:t>
                  </w:r>
                </w:p>
              </w:tc>
              <w:tc>
                <w:tcPr>
                  <w:tcW w:w="11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排放浓度(mg/m</w:t>
                  </w:r>
                  <w:r>
                    <w:rPr>
                      <w:rFonts w:hint="eastAsia" w:ascii="Times New Roman" w:hAnsi="Times New Roman" w:cs="Times New Roman"/>
                      <w:b/>
                      <w:bCs/>
                      <w:color w:val="auto"/>
                      <w:sz w:val="21"/>
                      <w:szCs w:val="21"/>
                      <w:vertAlign w:val="superscript"/>
                      <w:lang w:val="en-US" w:eastAsia="zh-CN"/>
                    </w:rPr>
                    <w:t>3</w:t>
                  </w:r>
                  <w:r>
                    <w:rPr>
                      <w:rFonts w:hint="eastAsia" w:ascii="Times New Roman" w:hAnsi="Times New Roman" w:cs="Times New Roman"/>
                      <w:b/>
                      <w:bCs/>
                      <w:color w:val="auto"/>
                      <w:sz w:val="21"/>
                      <w:szCs w:val="21"/>
                      <w:vertAlign w:val="baseline"/>
                      <w:lang w:val="en-US" w:eastAsia="zh-CN"/>
                    </w:rPr>
                    <w:t>)</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允许排放浓度(mg/m</w:t>
                  </w:r>
                  <w:r>
                    <w:rPr>
                      <w:rFonts w:hint="eastAsia" w:ascii="Times New Roman" w:hAnsi="Times New Roman" w:cs="Times New Roman"/>
                      <w:b/>
                      <w:bCs/>
                      <w:color w:val="auto"/>
                      <w:sz w:val="21"/>
                      <w:szCs w:val="21"/>
                      <w:vertAlign w:val="superscript"/>
                      <w:lang w:val="en-US" w:eastAsia="zh-CN"/>
                    </w:rPr>
                    <w:t>3</w:t>
                  </w:r>
                  <w:r>
                    <w:rPr>
                      <w:rFonts w:hint="eastAsia" w:ascii="Times New Roman" w:hAnsi="Times New Roman" w:cs="Times New Roman"/>
                      <w:b/>
                      <w:bCs/>
                      <w:color w:val="auto"/>
                      <w:sz w:val="21"/>
                      <w:szCs w:val="21"/>
                      <w:vertAlign w:val="baseline"/>
                      <w:lang w:val="en-US" w:eastAsia="zh-CN"/>
                    </w:rPr>
                    <w:t>)</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DA001</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15m</w:t>
                  </w:r>
                </w:p>
              </w:tc>
              <w:tc>
                <w:tcPr>
                  <w:tcW w:w="8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颗粒物</w:t>
                  </w:r>
                </w:p>
              </w:tc>
              <w:tc>
                <w:tcPr>
                  <w:tcW w:w="9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w:t>
                  </w:r>
                  <w:r>
                    <w:rPr>
                      <w:rFonts w:hint="eastAsia" w:cs="Times New Roman"/>
                      <w:b w:val="0"/>
                      <w:bCs w:val="0"/>
                      <w:color w:val="auto"/>
                      <w:sz w:val="21"/>
                      <w:szCs w:val="21"/>
                      <w:vertAlign w:val="baseline"/>
                      <w:lang w:val="en-US" w:eastAsia="zh-CN"/>
                    </w:rPr>
                    <w:t>192</w:t>
                  </w:r>
                  <w:r>
                    <w:rPr>
                      <w:rFonts w:hint="eastAsia" w:ascii="Times New Roman" w:hAnsi="Times New Roman" w:cs="Times New Roman"/>
                      <w:b w:val="0"/>
                      <w:bCs w:val="0"/>
                      <w:color w:val="auto"/>
                      <w:sz w:val="21"/>
                      <w:szCs w:val="21"/>
                      <w:vertAlign w:val="baseline"/>
                      <w:lang w:val="en-US" w:eastAsia="zh-CN"/>
                    </w:rPr>
                    <w:t>/a</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0.0</w:t>
                  </w:r>
                  <w:r>
                    <w:rPr>
                      <w:rFonts w:hint="eastAsia" w:cs="Times New Roman"/>
                      <w:b w:val="0"/>
                      <w:bCs w:val="0"/>
                      <w:color w:val="auto"/>
                      <w:sz w:val="21"/>
                      <w:szCs w:val="21"/>
                      <w:vertAlign w:val="baseline"/>
                      <w:lang w:val="en-US" w:eastAsia="zh-CN"/>
                    </w:rPr>
                    <w:t>27</w:t>
                  </w:r>
                </w:p>
              </w:tc>
              <w:tc>
                <w:tcPr>
                  <w:tcW w:w="11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2.7</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120</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是</w:t>
                  </w:r>
                </w:p>
              </w:tc>
            </w:tr>
          </w:tbl>
          <w:p>
            <w:pPr>
              <w:spacing w:line="360" w:lineRule="auto"/>
              <w:ind w:right="115" w:rightChars="48" w:firstLine="480" w:firstLineChars="200"/>
              <w:rPr>
                <w:rFonts w:hint="eastAsia" w:cs="Times New Roman"/>
                <w:b/>
                <w:bCs/>
                <w:color w:val="auto"/>
                <w:lang w:val="en-US" w:eastAsia="zh-CN"/>
              </w:rPr>
            </w:pPr>
            <w:r>
              <w:rPr>
                <w:color w:val="auto"/>
                <w:sz w:val="24"/>
              </w:rPr>
              <w:t>由上表可知，拟建项目</w:t>
            </w:r>
            <w:r>
              <w:rPr>
                <w:rFonts w:hint="eastAsia"/>
                <w:color w:val="auto"/>
                <w:sz w:val="24"/>
                <w:lang w:val="en-US" w:eastAsia="zh-CN"/>
              </w:rPr>
              <w:t>破碎筛分粉尘的</w:t>
            </w:r>
            <w:r>
              <w:rPr>
                <w:color w:val="auto"/>
                <w:sz w:val="24"/>
              </w:rPr>
              <w:t>排放浓度</w:t>
            </w:r>
            <w:r>
              <w:rPr>
                <w:rFonts w:hint="eastAsia"/>
                <w:color w:val="auto"/>
                <w:sz w:val="24"/>
                <w:lang w:val="en-US" w:eastAsia="zh-CN"/>
              </w:rPr>
              <w:t>可以</w:t>
            </w:r>
            <w:r>
              <w:rPr>
                <w:color w:val="auto"/>
                <w:sz w:val="24"/>
              </w:rPr>
              <w:t>满足《大气污染物</w:t>
            </w:r>
            <w:r>
              <w:rPr>
                <w:rFonts w:hint="eastAsia"/>
                <w:color w:val="auto"/>
                <w:sz w:val="24"/>
                <w:lang w:val="en-US" w:eastAsia="zh-CN"/>
              </w:rPr>
              <w:t>综合</w:t>
            </w:r>
            <w:r>
              <w:rPr>
                <w:color w:val="auto"/>
                <w:sz w:val="24"/>
              </w:rPr>
              <w:t>排放标准》（GB</w:t>
            </w:r>
            <w:r>
              <w:rPr>
                <w:rFonts w:hint="eastAsia"/>
                <w:color w:val="auto"/>
                <w:sz w:val="24"/>
                <w:lang w:val="en-US" w:eastAsia="zh-CN"/>
              </w:rPr>
              <w:t>16297</w:t>
            </w:r>
            <w:r>
              <w:rPr>
                <w:color w:val="auto"/>
                <w:sz w:val="24"/>
              </w:rPr>
              <w:t>-</w:t>
            </w:r>
            <w:r>
              <w:rPr>
                <w:rFonts w:hint="eastAsia"/>
                <w:color w:val="auto"/>
                <w:sz w:val="24"/>
                <w:lang w:val="en-US" w:eastAsia="zh-CN"/>
              </w:rPr>
              <w:t>1996</w:t>
            </w:r>
            <w:r>
              <w:rPr>
                <w:color w:val="auto"/>
                <w:sz w:val="24"/>
              </w:rPr>
              <w:t>）中表2</w:t>
            </w:r>
            <w:r>
              <w:rPr>
                <w:rFonts w:hint="eastAsia"/>
                <w:color w:val="auto"/>
                <w:sz w:val="24"/>
                <w:lang w:val="en-US" w:eastAsia="zh-CN"/>
              </w:rPr>
              <w:t>新污染源</w:t>
            </w:r>
            <w:r>
              <w:rPr>
                <w:color w:val="auto"/>
                <w:sz w:val="24"/>
              </w:rPr>
              <w:t>大气污染物排放限值</w:t>
            </w:r>
            <w:r>
              <w:rPr>
                <w:rFonts w:hint="eastAsia"/>
                <w:color w:val="auto"/>
                <w:sz w:val="24"/>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ascii="Times New Roman" w:hAnsi="Times New Roman" w:cs="Times New Roman"/>
                <w:b/>
                <w:bCs/>
                <w:color w:val="auto"/>
                <w:lang w:val="en-US" w:eastAsia="zh-CN"/>
              </w:rPr>
            </w:pPr>
            <w:r>
              <w:rPr>
                <w:rFonts w:hint="eastAsia" w:cs="Times New Roman"/>
                <w:b/>
                <w:bCs/>
                <w:color w:val="auto"/>
                <w:lang w:val="en-US" w:eastAsia="zh-CN"/>
              </w:rPr>
              <w:t>1.2大气环境影响分析</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Cs/>
                <w:color w:val="auto"/>
                <w:sz w:val="24"/>
                <w:lang w:eastAsia="zh-CN"/>
              </w:rPr>
              <w:t>扩建</w:t>
            </w:r>
            <w:r>
              <w:rPr>
                <w:rFonts w:hint="default" w:ascii="Times New Roman" w:hAnsi="Times New Roman" w:eastAsia="宋体" w:cs="Times New Roman"/>
                <w:b w:val="0"/>
                <w:bCs w:val="0"/>
                <w:color w:val="auto"/>
                <w:sz w:val="24"/>
                <w:szCs w:val="24"/>
                <w:highlight w:val="none"/>
                <w:lang w:val="en-US" w:eastAsia="zh-CN"/>
              </w:rPr>
              <w:t>项目</w:t>
            </w:r>
            <w:r>
              <w:rPr>
                <w:rFonts w:hint="eastAsia" w:cs="Times New Roman"/>
                <w:b w:val="0"/>
                <w:bCs w:val="0"/>
                <w:color w:val="auto"/>
                <w:sz w:val="24"/>
                <w:szCs w:val="24"/>
                <w:highlight w:val="none"/>
                <w:lang w:val="en-US" w:eastAsia="zh-CN"/>
              </w:rPr>
              <w:t>破碎筛分工序</w:t>
            </w:r>
            <w:r>
              <w:rPr>
                <w:rFonts w:hint="default" w:ascii="Times New Roman" w:hAnsi="Times New Roman" w:eastAsia="宋体" w:cs="Times New Roman"/>
                <w:b w:val="0"/>
                <w:bCs w:val="0"/>
                <w:color w:val="auto"/>
                <w:sz w:val="24"/>
                <w:szCs w:val="24"/>
                <w:highlight w:val="none"/>
                <w:lang w:val="en-US" w:eastAsia="zh-CN"/>
              </w:rPr>
              <w:t>采用的废气防治措施为</w:t>
            </w:r>
            <w:r>
              <w:rPr>
                <w:rFonts w:hint="eastAsia" w:cs="Times New Roman"/>
                <w:b w:val="0"/>
                <w:bCs w:val="0"/>
                <w:color w:val="auto"/>
                <w:sz w:val="24"/>
                <w:szCs w:val="24"/>
                <w:highlight w:val="none"/>
                <w:lang w:val="en-US" w:eastAsia="zh-CN"/>
              </w:rPr>
              <w:t>水喷淋塔</w:t>
            </w:r>
            <w:r>
              <w:rPr>
                <w:rFonts w:hint="default" w:ascii="Times New Roman" w:hAnsi="Times New Roman" w:eastAsia="宋体" w:cs="Times New Roman"/>
                <w:b w:val="0"/>
                <w:bCs w:val="0"/>
                <w:color w:val="auto"/>
                <w:sz w:val="24"/>
                <w:szCs w:val="24"/>
                <w:highlight w:val="none"/>
                <w:lang w:val="en-US" w:eastAsia="zh-CN"/>
              </w:rPr>
              <w:t>，属于</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排污许可证申请与核发技术规范</w:t>
            </w:r>
            <w:r>
              <w:rPr>
                <w:rFonts w:hint="default"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废弃资源加工工业</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HJ</w:t>
            </w:r>
            <w:r>
              <w:rPr>
                <w:rFonts w:hint="eastAsia" w:cs="Times New Roman"/>
                <w:color w:val="auto"/>
                <w:sz w:val="24"/>
                <w:szCs w:val="24"/>
                <w:lang w:val="en-US" w:eastAsia="zh-CN"/>
              </w:rPr>
              <w:t>1034</w:t>
            </w:r>
            <w:r>
              <w:rPr>
                <w:rFonts w:hint="default" w:ascii="Times New Roman" w:hAnsi="Times New Roman" w:eastAsia="宋体" w:cs="Times New Roman"/>
                <w:color w:val="auto"/>
                <w:sz w:val="24"/>
                <w:szCs w:val="24"/>
                <w:lang w:val="en-US" w:eastAsia="zh-CN"/>
              </w:rPr>
              <w:t>-20</w:t>
            </w:r>
            <w:r>
              <w:rPr>
                <w:rFonts w:hint="eastAsia" w:cs="Times New Roman"/>
                <w:color w:val="auto"/>
                <w:sz w:val="24"/>
                <w:szCs w:val="24"/>
                <w:lang w:val="en-US" w:eastAsia="zh-CN"/>
              </w:rPr>
              <w:t>19</w:t>
            </w:r>
            <w:r>
              <w:rPr>
                <w:rFonts w:hint="default" w:ascii="Times New Roman" w:hAnsi="Times New Roman" w:eastAsia="宋体" w:cs="Times New Roman"/>
                <w:color w:val="auto"/>
                <w:sz w:val="24"/>
                <w:szCs w:val="24"/>
                <w:lang w:eastAsia="zh-CN"/>
              </w:rPr>
              <w:t>）中的可行技术。</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
                <w:bCs/>
                <w:color w:val="auto"/>
                <w:lang w:val="en-US" w:eastAsia="zh-CN"/>
              </w:rPr>
            </w:pPr>
            <w:r>
              <w:rPr>
                <w:rFonts w:hint="eastAsia" w:cs="Times New Roman"/>
                <w:color w:val="auto"/>
                <w:sz w:val="24"/>
                <w:szCs w:val="24"/>
                <w:highlight w:val="none"/>
                <w:lang w:eastAsia="zh-CN"/>
              </w:rPr>
              <w:t>扩建项目设置全封闭生产车间</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eastAsia="zh-CN"/>
              </w:rPr>
              <w:t>整个生产过程在全封闭的情况下进行</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eastAsia="zh-CN"/>
              </w:rPr>
              <w:t>由于扩建项目在</w:t>
            </w:r>
            <w:r>
              <w:rPr>
                <w:rFonts w:hint="eastAsia"/>
                <w:color w:val="auto"/>
                <w:lang w:val="en-US" w:eastAsia="zh-CN"/>
              </w:rPr>
              <w:t>整个生产过程中不存在橡胶分解，因此不产生橡胶分解废气。废气主要为破碎筛分工序产生的粉尘</w:t>
            </w: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sz w:val="24"/>
                <w:szCs w:val="24"/>
              </w:rPr>
              <w:t xml:space="preserve">《排污许可证申请与核发技术规范 </w:t>
            </w:r>
            <w:r>
              <w:rPr>
                <w:rFonts w:hint="eastAsia" w:cs="Times New Roman"/>
                <w:color w:val="auto"/>
                <w:sz w:val="24"/>
                <w:szCs w:val="24"/>
                <w:lang w:eastAsia="zh-CN"/>
              </w:rPr>
              <w:t>废弃资源加工工业</w:t>
            </w:r>
            <w:r>
              <w:rPr>
                <w:rFonts w:hint="default" w:ascii="Times New Roman" w:hAnsi="Times New Roman" w:eastAsia="宋体" w:cs="Times New Roman"/>
                <w:color w:val="auto"/>
                <w:sz w:val="24"/>
                <w:szCs w:val="24"/>
              </w:rPr>
              <w:t>》（HJ</w:t>
            </w:r>
            <w:r>
              <w:rPr>
                <w:rFonts w:hint="eastAsia" w:cs="Times New Roman"/>
                <w:color w:val="auto"/>
                <w:sz w:val="24"/>
                <w:szCs w:val="24"/>
                <w:lang w:val="en-US" w:eastAsia="zh-CN"/>
              </w:rPr>
              <w:t>1034</w:t>
            </w:r>
            <w:r>
              <w:rPr>
                <w:rFonts w:hint="default" w:ascii="Times New Roman" w:hAnsi="Times New Roman" w:eastAsia="宋体" w:cs="Times New Roman"/>
                <w:color w:val="auto"/>
                <w:sz w:val="24"/>
                <w:szCs w:val="24"/>
              </w:rPr>
              <w:t>-2</w:t>
            </w:r>
            <w:r>
              <w:rPr>
                <w:rFonts w:hint="eastAsia" w:cs="Times New Roman"/>
                <w:color w:val="auto"/>
                <w:sz w:val="24"/>
                <w:szCs w:val="24"/>
                <w:lang w:val="en-US" w:eastAsia="zh-CN"/>
              </w:rPr>
              <w:t>019</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中提出的“</w:t>
            </w:r>
            <w:r>
              <w:rPr>
                <w:rFonts w:hint="eastAsia" w:cs="Times New Roman"/>
                <w:color w:val="auto"/>
                <w:sz w:val="24"/>
                <w:szCs w:val="24"/>
                <w:lang w:val="en-US" w:eastAsia="zh-CN"/>
              </w:rPr>
              <w:t>制硫化橡胶粉——破碎、筛分产污环节”</w:t>
            </w:r>
            <w:r>
              <w:rPr>
                <w:rFonts w:hint="default" w:ascii="Times New Roman" w:hAnsi="Times New Roman" w:eastAsia="宋体" w:cs="Times New Roman"/>
                <w:color w:val="auto"/>
                <w:sz w:val="24"/>
                <w:szCs w:val="24"/>
                <w:lang w:val="en-US" w:eastAsia="zh-CN"/>
              </w:rPr>
              <w:t>的污染防治措施：</w:t>
            </w:r>
            <w:r>
              <w:rPr>
                <w:rFonts w:hint="eastAsia" w:cs="Times New Roman"/>
                <w:color w:val="auto"/>
                <w:sz w:val="24"/>
                <w:szCs w:val="24"/>
                <w:lang w:val="en-US" w:eastAsia="zh-CN"/>
              </w:rPr>
              <w:t>其他</w:t>
            </w:r>
            <w:r>
              <w:rPr>
                <w:rFonts w:hint="default" w:ascii="Times New Roman" w:hAnsi="Times New Roman" w:eastAsia="宋体" w:cs="Times New Roman"/>
                <w:color w:val="auto"/>
                <w:sz w:val="24"/>
                <w:szCs w:val="24"/>
                <w:lang w:val="en-US" w:eastAsia="zh-CN"/>
              </w:rPr>
              <w:t>”，可知本项目采取的防治措施为</w:t>
            </w:r>
            <w:r>
              <w:rPr>
                <w:rFonts w:hint="default" w:ascii="Times New Roman" w:hAnsi="Times New Roman" w:eastAsia="宋体" w:cs="Times New Roman"/>
                <w:color w:val="auto"/>
                <w:sz w:val="24"/>
                <w:szCs w:val="24"/>
              </w:rPr>
              <w:t xml:space="preserve">《《排污许可证申请与核发技术规范 </w:t>
            </w:r>
            <w:r>
              <w:rPr>
                <w:rFonts w:hint="eastAsia" w:cs="Times New Roman"/>
                <w:color w:val="auto"/>
                <w:sz w:val="24"/>
                <w:szCs w:val="24"/>
                <w:lang w:eastAsia="zh-CN"/>
              </w:rPr>
              <w:t>废弃资源加工工业</w:t>
            </w:r>
            <w:r>
              <w:rPr>
                <w:rFonts w:hint="default" w:ascii="Times New Roman" w:hAnsi="Times New Roman" w:eastAsia="宋体" w:cs="Times New Roman"/>
                <w:color w:val="auto"/>
                <w:sz w:val="24"/>
                <w:szCs w:val="24"/>
              </w:rPr>
              <w:t>》（HJ</w:t>
            </w:r>
            <w:r>
              <w:rPr>
                <w:rFonts w:hint="eastAsia" w:cs="Times New Roman"/>
                <w:color w:val="auto"/>
                <w:sz w:val="24"/>
                <w:szCs w:val="24"/>
                <w:lang w:val="en-US" w:eastAsia="zh-CN"/>
              </w:rPr>
              <w:t>1034</w:t>
            </w:r>
            <w:r>
              <w:rPr>
                <w:rFonts w:hint="default" w:ascii="Times New Roman" w:hAnsi="Times New Roman" w:eastAsia="宋体" w:cs="Times New Roman"/>
                <w:color w:val="auto"/>
                <w:sz w:val="24"/>
                <w:szCs w:val="24"/>
              </w:rPr>
              <w:t>-2</w:t>
            </w:r>
            <w:r>
              <w:rPr>
                <w:rFonts w:hint="eastAsia" w:cs="Times New Roman"/>
                <w:color w:val="auto"/>
                <w:sz w:val="24"/>
                <w:szCs w:val="24"/>
                <w:lang w:val="en-US" w:eastAsia="zh-CN"/>
              </w:rPr>
              <w:t>019</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中可行措施。</w:t>
            </w:r>
            <w:r>
              <w:rPr>
                <w:rFonts w:hint="default" w:ascii="Times New Roman" w:hAnsi="Times New Roman" w:eastAsia="宋体" w:cs="Times New Roman"/>
                <w:color w:val="auto"/>
                <w:sz w:val="24"/>
                <w:szCs w:val="24"/>
                <w:highlight w:val="none"/>
                <w:lang w:eastAsia="zh-CN"/>
              </w:rPr>
              <w:t>采取以上措施后，</w:t>
            </w:r>
            <w:r>
              <w:rPr>
                <w:rFonts w:hint="eastAsia" w:cs="Times New Roman"/>
                <w:color w:val="auto"/>
                <w:sz w:val="24"/>
                <w:szCs w:val="24"/>
                <w:highlight w:val="none"/>
                <w:lang w:eastAsia="zh-CN"/>
              </w:rPr>
              <w:t>破碎筛分粉尘</w:t>
            </w:r>
            <w:r>
              <w:rPr>
                <w:rFonts w:hint="default" w:ascii="Times New Roman" w:hAnsi="Times New Roman" w:eastAsia="宋体" w:cs="Times New Roman"/>
                <w:color w:val="auto"/>
                <w:sz w:val="24"/>
                <w:szCs w:val="24"/>
                <w:highlight w:val="none"/>
                <w:lang w:val="en-US" w:eastAsia="zh-CN"/>
              </w:rPr>
              <w:t>排放均可满足《</w:t>
            </w:r>
            <w:r>
              <w:rPr>
                <w:rFonts w:hint="eastAsia" w:cs="Times New Roman"/>
                <w:color w:val="auto"/>
                <w:sz w:val="24"/>
                <w:szCs w:val="24"/>
                <w:highlight w:val="none"/>
                <w:lang w:val="en-US" w:eastAsia="zh-CN"/>
              </w:rPr>
              <w:t>大气污染物综合排放标准</w:t>
            </w:r>
            <w:r>
              <w:rPr>
                <w:rFonts w:hint="default" w:ascii="Times New Roman" w:hAnsi="Times New Roman" w:eastAsia="宋体" w:cs="Times New Roman"/>
                <w:color w:val="auto"/>
                <w:sz w:val="24"/>
                <w:szCs w:val="24"/>
                <w:highlight w:val="none"/>
                <w:lang w:val="en-US" w:eastAsia="zh-CN"/>
              </w:rPr>
              <w:t>》（GB</w:t>
            </w:r>
            <w:r>
              <w:rPr>
                <w:rFonts w:hint="eastAsia" w:cs="Times New Roman"/>
                <w:color w:val="auto"/>
                <w:sz w:val="24"/>
                <w:szCs w:val="24"/>
                <w:highlight w:val="none"/>
                <w:lang w:val="en-US" w:eastAsia="zh-CN"/>
              </w:rPr>
              <w:t>16297</w:t>
            </w:r>
            <w:r>
              <w:rPr>
                <w:rFonts w:hint="default" w:ascii="Times New Roman" w:hAnsi="Times New Roman" w:eastAsia="宋体" w:cs="Times New Roman"/>
                <w:color w:val="auto"/>
                <w:sz w:val="24"/>
                <w:szCs w:val="24"/>
                <w:highlight w:val="none"/>
                <w:lang w:val="en-US" w:eastAsia="zh-CN"/>
              </w:rPr>
              <w:t>-1996）中表2排放限值要求；</w:t>
            </w:r>
            <w:r>
              <w:rPr>
                <w:rFonts w:hint="default" w:ascii="Times New Roman" w:hAnsi="Times New Roman" w:eastAsia="宋体" w:cs="Times New Roman"/>
                <w:color w:val="auto"/>
                <w:sz w:val="24"/>
                <w:szCs w:val="24"/>
                <w:highlight w:val="none"/>
                <w:lang w:eastAsia="zh-CN"/>
              </w:rPr>
              <w:t>颗粒物无组织排放均可满足</w:t>
            </w:r>
            <w:r>
              <w:rPr>
                <w:rFonts w:hint="default" w:ascii="Times New Roman" w:hAnsi="Times New Roman" w:eastAsia="宋体" w:cs="Times New Roman"/>
                <w:color w:val="auto"/>
                <w:kern w:val="0"/>
                <w:sz w:val="24"/>
                <w:szCs w:val="24"/>
              </w:rPr>
              <w:t>《大气污染物综合排放标准》（GB16297-1996）表2新污染源大气污染物排放限值中的无组织排放监控浓度限值。</w:t>
            </w:r>
            <w:r>
              <w:rPr>
                <w:rFonts w:hint="default" w:ascii="Times New Roman" w:hAnsi="Times New Roman" w:eastAsia="宋体" w:cs="Times New Roman"/>
                <w:b w:val="0"/>
                <w:bCs w:val="0"/>
                <w:color w:val="auto"/>
                <w:sz w:val="24"/>
                <w:szCs w:val="24"/>
                <w:highlight w:val="none"/>
                <w:lang w:val="en-US" w:eastAsia="zh-CN"/>
              </w:rPr>
              <w:t>因此，本次扩建工程废气治理措施可行。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ascii="Times New Roman" w:hAnsi="Times New Roman" w:cs="Times New Roman"/>
                <w:b/>
                <w:bCs/>
                <w:color w:val="auto"/>
                <w:lang w:val="en-US" w:eastAsia="zh-CN"/>
              </w:rPr>
            </w:pPr>
            <w:r>
              <w:rPr>
                <w:rFonts w:hint="eastAsia" w:cs="Times New Roman"/>
                <w:b/>
                <w:bCs/>
                <w:color w:val="auto"/>
                <w:lang w:val="en-US" w:eastAsia="zh-CN"/>
              </w:rPr>
              <w:t>1.3大气环境监测计划</w:t>
            </w:r>
          </w:p>
          <w:p>
            <w:pPr>
              <w:bidi w:val="0"/>
              <w:rPr>
                <w:color w:val="auto"/>
              </w:rPr>
            </w:pPr>
            <w:r>
              <w:rPr>
                <w:color w:val="auto"/>
              </w:rPr>
              <w:t>根据《排污单位自行监测技术指南 总则》（HJ 819-2017）</w:t>
            </w:r>
            <w:r>
              <w:rPr>
                <w:rFonts w:hint="eastAsia"/>
                <w:color w:val="auto"/>
                <w:lang w:eastAsia="zh-CN"/>
              </w:rPr>
              <w:t>和《排污许可证申请与核发技术规范</w:t>
            </w:r>
            <w:r>
              <w:rPr>
                <w:rFonts w:hint="eastAsia"/>
                <w:color w:val="auto"/>
                <w:lang w:val="en-US" w:eastAsia="zh-CN"/>
              </w:rPr>
              <w:t xml:space="preserve"> 废弃资源加工工业</w:t>
            </w:r>
            <w:r>
              <w:rPr>
                <w:rFonts w:hint="eastAsia"/>
                <w:color w:val="auto"/>
                <w:lang w:eastAsia="zh-CN"/>
              </w:rPr>
              <w:t>》（</w:t>
            </w:r>
            <w:r>
              <w:rPr>
                <w:rFonts w:hint="eastAsia"/>
                <w:color w:val="auto"/>
                <w:lang w:val="en-US" w:eastAsia="zh-CN"/>
              </w:rPr>
              <w:t>HJ1034-2019</w:t>
            </w:r>
            <w:r>
              <w:rPr>
                <w:rFonts w:hint="eastAsia"/>
                <w:color w:val="auto"/>
                <w:lang w:eastAsia="zh-CN"/>
              </w:rPr>
              <w:t>）</w:t>
            </w:r>
            <w:r>
              <w:rPr>
                <w:color w:val="auto"/>
              </w:rPr>
              <w:t>，</w:t>
            </w:r>
            <w:r>
              <w:rPr>
                <w:rFonts w:hint="eastAsia"/>
                <w:color w:val="auto"/>
              </w:rPr>
              <w:t>大气</w:t>
            </w:r>
            <w:r>
              <w:rPr>
                <w:color w:val="auto"/>
              </w:rPr>
              <w:t>污染源监测频次详见表</w:t>
            </w:r>
            <w:r>
              <w:rPr>
                <w:rFonts w:hint="eastAsia"/>
                <w:color w:val="auto"/>
                <w:lang w:val="en-US" w:eastAsia="zh-CN"/>
              </w:rPr>
              <w:t>35</w:t>
            </w:r>
            <w:r>
              <w:rPr>
                <w:color w:val="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jc w:val="center"/>
              <w:textAlignment w:val="auto"/>
              <w:rPr>
                <w:rFonts w:hint="default" w:ascii="Times New Roman" w:hAnsi="Times New Roman" w:cs="Times New Roman"/>
                <w:b/>
                <w:bCs/>
                <w:color w:val="auto"/>
                <w:lang w:val="en-US" w:eastAsia="zh-CN"/>
              </w:rPr>
            </w:pPr>
            <w:r>
              <w:rPr>
                <w:rFonts w:hint="eastAsia" w:cs="Times New Roman"/>
                <w:b/>
                <w:bCs/>
                <w:color w:val="auto"/>
                <w:lang w:val="en-US" w:eastAsia="zh-CN"/>
              </w:rPr>
              <w:t>表35  大气环境监测计划一览表</w:t>
            </w:r>
          </w:p>
          <w:tbl>
            <w:tblPr>
              <w:tblStyle w:val="18"/>
              <w:tblW w:w="794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69"/>
              <w:gridCol w:w="1248"/>
              <w:gridCol w:w="1116"/>
              <w:gridCol w:w="1380"/>
              <w:gridCol w:w="283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13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污染物名称</w:t>
                  </w: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监测点</w:t>
                  </w:r>
                </w:p>
              </w:tc>
              <w:tc>
                <w:tcPr>
                  <w:tcW w:w="11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监测项目</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监测频次</w:t>
                  </w:r>
                </w:p>
              </w:tc>
              <w:tc>
                <w:tcPr>
                  <w:tcW w:w="28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sz w:val="21"/>
                      <w:szCs w:val="21"/>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36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大气污染物</w:t>
                  </w: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再生胶粉生产线排气筒</w:t>
                  </w:r>
                </w:p>
              </w:tc>
              <w:tc>
                <w:tcPr>
                  <w:tcW w:w="11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颗粒物</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1次/半年</w:t>
                  </w:r>
                </w:p>
              </w:tc>
              <w:tc>
                <w:tcPr>
                  <w:tcW w:w="28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满足《大气污染物综合排放标准》（GB16297-1996）中表2新污染源大气污染物排放限值要求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3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vertAlign w:val="baseline"/>
                      <w:lang w:val="en-US" w:eastAsia="zh-CN"/>
                    </w:rPr>
                  </w:pP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厂界</w:t>
                  </w:r>
                </w:p>
              </w:tc>
              <w:tc>
                <w:tcPr>
                  <w:tcW w:w="11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颗粒物</w:t>
                  </w:r>
                </w:p>
              </w:tc>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1次/半年</w:t>
                  </w:r>
                </w:p>
              </w:tc>
              <w:tc>
                <w:tcPr>
                  <w:tcW w:w="28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满足《大气污染物综合排放标准》（GB16297-1996）中表2无组织监控浓度排放限值要求</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ascii="Times New Roman" w:hAnsi="Times New Roman" w:cs="Times New Roman"/>
                <w:b/>
                <w:bCs/>
                <w:color w:val="auto"/>
                <w:lang w:val="en-US"/>
              </w:rPr>
            </w:pPr>
            <w:r>
              <w:rPr>
                <w:rFonts w:hint="eastAsia" w:ascii="Times New Roman" w:hAnsi="Times New Roman" w:cs="Times New Roman"/>
                <w:b/>
                <w:bCs/>
                <w:color w:val="auto"/>
                <w:lang w:val="en-US" w:eastAsia="zh-CN"/>
              </w:rPr>
              <w:t>2</w:t>
            </w:r>
            <w:r>
              <w:rPr>
                <w:rFonts w:ascii="Times New Roman" w:hAnsi="Times New Roman" w:cs="Times New Roman"/>
                <w:b/>
                <w:bCs/>
                <w:color w:val="auto"/>
              </w:rPr>
              <w:t>、</w:t>
            </w:r>
            <w:r>
              <w:rPr>
                <w:rFonts w:hint="eastAsia" w:cs="Times New Roman"/>
                <w:b/>
                <w:bCs/>
                <w:color w:val="auto"/>
                <w:lang w:val="en-US" w:eastAsia="zh-CN"/>
              </w:rPr>
              <w:t>废水产排情况及治理措施可行性分析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ascii="Times New Roman" w:hAnsi="Times New Roman" w:cs="Times New Roman"/>
                <w:b/>
                <w:bCs/>
                <w:color w:val="auto"/>
                <w:lang w:val="en-US" w:eastAsia="zh-CN"/>
              </w:rPr>
            </w:pPr>
            <w:r>
              <w:rPr>
                <w:rFonts w:hint="eastAsia" w:cs="Times New Roman"/>
                <w:b/>
                <w:bCs/>
                <w:color w:val="auto"/>
                <w:lang w:val="en-US" w:eastAsia="zh-CN"/>
              </w:rPr>
              <w:t>2.1废水产排情况分析</w:t>
            </w:r>
          </w:p>
          <w:p>
            <w:pPr>
              <w:bidi w:val="0"/>
              <w:rPr>
                <w:rFonts w:hint="default"/>
                <w:color w:val="auto"/>
                <w:lang w:val="en-US" w:eastAsia="zh-CN"/>
              </w:rPr>
            </w:pPr>
            <w:r>
              <w:rPr>
                <w:rFonts w:hint="eastAsia"/>
                <w:color w:val="auto"/>
                <w:lang w:val="en-US" w:eastAsia="zh-CN"/>
              </w:rPr>
              <w:t>扩建项目不新增劳动定员，因此不产生生活污水。生产废水主要为设备循环冷却水池定期排水。</w:t>
            </w:r>
          </w:p>
          <w:p>
            <w:pPr>
              <w:bidi w:val="0"/>
              <w:rPr>
                <w:rFonts w:hint="default" w:eastAsia="宋体"/>
                <w:color w:val="auto"/>
                <w:lang w:val="en-US" w:eastAsia="zh-CN"/>
              </w:rPr>
            </w:pPr>
            <w:r>
              <w:rPr>
                <w:rFonts w:hint="eastAsia"/>
                <w:color w:val="auto"/>
                <w:lang w:val="en-US" w:eastAsia="zh-CN"/>
              </w:rPr>
              <w:t>根据水平衡分析可知，循环冷却水池定期排水水量为420m</w:t>
            </w:r>
            <w:r>
              <w:rPr>
                <w:rFonts w:hint="eastAsia"/>
                <w:color w:val="auto"/>
                <w:vertAlign w:val="superscript"/>
                <w:lang w:val="en-US" w:eastAsia="zh-CN"/>
              </w:rPr>
              <w:t>3</w:t>
            </w:r>
            <w:r>
              <w:rPr>
                <w:rFonts w:hint="eastAsia"/>
                <w:color w:val="auto"/>
                <w:lang w:val="en-US" w:eastAsia="zh-CN"/>
              </w:rPr>
              <w:t>/a。此类废水为清净下水，除盐碱度过高外，可视为不含有机质，可用于厂区洒水。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color w:val="auto"/>
              </w:rPr>
            </w:pPr>
            <w:r>
              <w:rPr>
                <w:rFonts w:hint="eastAsia" w:cs="Times New Roman"/>
                <w:b/>
                <w:bCs/>
                <w:color w:val="auto"/>
                <w:lang w:val="en-US" w:eastAsia="zh-CN"/>
              </w:rPr>
              <w:t>3、</w:t>
            </w:r>
            <w:r>
              <w:rPr>
                <w:rFonts w:hint="eastAsia" w:ascii="Times New Roman" w:hAnsi="Times New Roman" w:cs="Times New Roman"/>
                <w:b/>
                <w:bCs/>
                <w:color w:val="auto"/>
                <w:lang w:eastAsia="zh-CN"/>
              </w:rPr>
              <w:t>噪声</w:t>
            </w:r>
          </w:p>
          <w:p>
            <w:pPr>
              <w:bidi w:val="0"/>
              <w:rPr>
                <w:rFonts w:hint="default"/>
                <w:b/>
                <w:bCs/>
                <w:color w:val="auto"/>
                <w:lang w:val="en-US" w:eastAsia="zh-CN"/>
              </w:rPr>
            </w:pPr>
            <w:r>
              <w:rPr>
                <w:rFonts w:hint="eastAsia"/>
                <w:b/>
                <w:bCs/>
                <w:color w:val="auto"/>
                <w:lang w:val="en-US" w:eastAsia="zh-CN"/>
              </w:rPr>
              <w:t>3.1噪声源强分析</w:t>
            </w:r>
          </w:p>
          <w:p>
            <w:pPr>
              <w:bidi w:val="0"/>
              <w:rPr>
                <w:color w:val="auto"/>
              </w:rPr>
            </w:pPr>
            <w:r>
              <w:rPr>
                <w:rFonts w:hint="eastAsia"/>
                <w:color w:val="auto"/>
                <w:lang w:eastAsia="zh-CN"/>
              </w:rPr>
              <w:t>扩建</w:t>
            </w:r>
            <w:r>
              <w:rPr>
                <w:color w:val="auto"/>
              </w:rPr>
              <w:t>项目主要噪声源来自于设备噪声，包括</w:t>
            </w:r>
            <w:r>
              <w:rPr>
                <w:rFonts w:hint="eastAsia"/>
                <w:color w:val="auto"/>
                <w:lang w:eastAsia="zh-CN"/>
              </w:rPr>
              <w:t>切胶机、振动筛</w:t>
            </w:r>
            <w:r>
              <w:rPr>
                <w:color w:val="auto"/>
              </w:rPr>
              <w:t xml:space="preserve">等机械动力噪声，声压级一般为 </w:t>
            </w:r>
            <w:r>
              <w:rPr>
                <w:rFonts w:hint="eastAsia"/>
                <w:color w:val="auto"/>
                <w:lang w:val="en-US" w:eastAsia="zh-CN"/>
              </w:rPr>
              <w:t>80</w:t>
            </w:r>
            <w:r>
              <w:rPr>
                <w:color w:val="auto"/>
              </w:rPr>
              <w:t>～9</w:t>
            </w:r>
            <w:r>
              <w:rPr>
                <w:rFonts w:hint="eastAsia"/>
                <w:color w:val="auto"/>
                <w:lang w:val="en-US" w:eastAsia="zh-CN"/>
              </w:rPr>
              <w:t>0</w:t>
            </w:r>
            <w:r>
              <w:rPr>
                <w:color w:val="auto"/>
              </w:rPr>
              <w:t xml:space="preserve">dB(A)左右，采取隔声、消音及减振降噪等措施后，噪声值可降低 </w:t>
            </w:r>
            <w:r>
              <w:rPr>
                <w:rFonts w:hint="eastAsia"/>
                <w:color w:val="auto"/>
                <w:lang w:val="en-US" w:eastAsia="zh-CN"/>
              </w:rPr>
              <w:t>25</w:t>
            </w:r>
            <w:r>
              <w:rPr>
                <w:color w:val="auto"/>
              </w:rPr>
              <w:t>dB(A)。</w:t>
            </w:r>
          </w:p>
          <w:p>
            <w:pPr>
              <w:bidi w:val="0"/>
              <w:spacing w:line="360" w:lineRule="auto"/>
              <w:ind w:firstLine="480" w:firstLineChars="200"/>
              <w:rPr>
                <w:rFonts w:hint="eastAsia" w:ascii="Times New Roman" w:hAnsi="Times New Roman" w:eastAsia="宋体" w:cs="Times New Roman"/>
                <w:color w:val="auto"/>
                <w:sz w:val="24"/>
                <w:szCs w:val="22"/>
                <w:lang w:val="en-US" w:eastAsia="zh-CN"/>
              </w:rPr>
            </w:pPr>
            <w:r>
              <w:rPr>
                <w:rFonts w:hint="eastAsia"/>
                <w:color w:val="auto"/>
                <w:lang w:eastAsia="zh-CN"/>
              </w:rPr>
              <w:t>扩建</w:t>
            </w:r>
            <w:r>
              <w:rPr>
                <w:rFonts w:hint="eastAsia" w:ascii="Times New Roman" w:hAnsi="Times New Roman" w:eastAsia="宋体" w:cs="Times New Roman"/>
                <w:color w:val="auto"/>
                <w:sz w:val="24"/>
                <w:szCs w:val="22"/>
                <w:lang w:val="en-US" w:eastAsia="zh-CN"/>
              </w:rPr>
              <w:t>工程主要噪声源声学参数见表</w:t>
            </w:r>
            <w:r>
              <w:rPr>
                <w:rFonts w:hint="eastAsia" w:cs="Times New Roman"/>
                <w:color w:val="auto"/>
                <w:sz w:val="24"/>
                <w:szCs w:val="22"/>
                <w:lang w:val="en-US" w:eastAsia="zh-CN"/>
              </w:rPr>
              <w:t>36</w:t>
            </w:r>
            <w:r>
              <w:rPr>
                <w:rFonts w:hint="eastAsia" w:ascii="Times New Roman" w:hAnsi="Times New Roman" w:eastAsia="宋体" w:cs="Times New Roman"/>
                <w:color w:val="auto"/>
                <w:sz w:val="24"/>
                <w:szCs w:val="22"/>
                <w:lang w:val="en-US" w:eastAsia="zh-CN"/>
              </w:rPr>
              <w:t>。</w:t>
            </w:r>
          </w:p>
          <w:p>
            <w:pPr>
              <w:bidi w:val="0"/>
              <w:spacing w:line="360" w:lineRule="auto"/>
              <w:ind w:firstLine="482" w:firstLineChars="200"/>
              <w:jc w:val="center"/>
              <w:rPr>
                <w:rFonts w:hint="eastAsia" w:ascii="Times New Roman" w:hAnsi="Times New Roman" w:eastAsia="宋体" w:cs="Times New Roman"/>
                <w:b/>
                <w:bCs/>
                <w:color w:val="auto"/>
                <w:sz w:val="24"/>
                <w:szCs w:val="22"/>
                <w:lang w:val="en-US" w:eastAsia="zh-CN"/>
              </w:rPr>
            </w:pPr>
            <w:r>
              <w:rPr>
                <w:rFonts w:hint="eastAsia" w:ascii="Times New Roman" w:hAnsi="Times New Roman" w:eastAsia="宋体" w:cs="Times New Roman"/>
                <w:b/>
                <w:bCs/>
                <w:color w:val="auto"/>
                <w:sz w:val="24"/>
                <w:szCs w:val="22"/>
                <w:lang w:val="en-US" w:eastAsia="zh-CN"/>
              </w:rPr>
              <w:t>表</w:t>
            </w:r>
            <w:r>
              <w:rPr>
                <w:rFonts w:hint="eastAsia" w:ascii="Times New Roman" w:hAnsi="Times New Roman" w:cs="Times New Roman"/>
                <w:b/>
                <w:bCs/>
                <w:color w:val="auto"/>
                <w:sz w:val="24"/>
                <w:szCs w:val="22"/>
                <w:lang w:val="en-US" w:eastAsia="zh-CN"/>
              </w:rPr>
              <w:t>3</w:t>
            </w:r>
            <w:r>
              <w:rPr>
                <w:rFonts w:hint="eastAsia" w:cs="Times New Roman"/>
                <w:b/>
                <w:bCs/>
                <w:color w:val="auto"/>
                <w:sz w:val="24"/>
                <w:szCs w:val="22"/>
                <w:lang w:val="en-US" w:eastAsia="zh-CN"/>
              </w:rPr>
              <w:t>6  本项目</w:t>
            </w:r>
            <w:r>
              <w:rPr>
                <w:rFonts w:hint="eastAsia" w:ascii="Times New Roman" w:hAnsi="Times New Roman" w:eastAsia="宋体" w:cs="Times New Roman"/>
                <w:b/>
                <w:bCs/>
                <w:color w:val="auto"/>
                <w:sz w:val="24"/>
                <w:szCs w:val="22"/>
                <w:lang w:val="en-US" w:eastAsia="zh-CN"/>
              </w:rPr>
              <w:t>噪声排放一览表</w:t>
            </w:r>
          </w:p>
          <w:tbl>
            <w:tblPr>
              <w:tblStyle w:val="18"/>
              <w:tblW w:w="794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1"/>
              <w:gridCol w:w="1356"/>
              <w:gridCol w:w="1464"/>
              <w:gridCol w:w="1104"/>
              <w:gridCol w:w="1856"/>
              <w:gridCol w:w="132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8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序号</w:t>
                  </w:r>
                </w:p>
              </w:tc>
              <w:tc>
                <w:tcPr>
                  <w:tcW w:w="1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b/>
                      <w:bCs/>
                      <w:color w:val="auto"/>
                      <w:kern w:val="2"/>
                      <w:sz w:val="21"/>
                      <w:szCs w:val="21"/>
                      <w:lang w:val="en-US" w:eastAsia="zh-CN" w:bidi="ar-SA"/>
                    </w:rPr>
                  </w:pPr>
                  <w:r>
                    <w:rPr>
                      <w:rFonts w:hint="eastAsia"/>
                      <w:b/>
                      <w:bCs/>
                      <w:color w:val="auto"/>
                      <w:sz w:val="21"/>
                      <w:szCs w:val="21"/>
                      <w:lang w:val="en-US" w:eastAsia="zh-CN"/>
                    </w:rPr>
                    <w:t>噪声源名称</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b/>
                      <w:bCs/>
                      <w:color w:val="auto"/>
                      <w:kern w:val="2"/>
                      <w:sz w:val="21"/>
                      <w:szCs w:val="21"/>
                      <w:lang w:val="en-US" w:eastAsia="zh-CN" w:bidi="ar-SA"/>
                    </w:rPr>
                  </w:pPr>
                  <w:r>
                    <w:rPr>
                      <w:rFonts w:hint="eastAsia"/>
                      <w:b/>
                      <w:bCs/>
                      <w:color w:val="auto"/>
                      <w:sz w:val="21"/>
                      <w:szCs w:val="21"/>
                      <w:lang w:val="en-US" w:eastAsia="zh-CN"/>
                    </w:rPr>
                    <w:t>声压级dB(A)</w:t>
                  </w:r>
                </w:p>
              </w:tc>
              <w:tc>
                <w:tcPr>
                  <w:tcW w:w="110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b/>
                      <w:bCs/>
                      <w:color w:val="auto"/>
                      <w:kern w:val="2"/>
                      <w:sz w:val="21"/>
                      <w:szCs w:val="21"/>
                      <w:lang w:val="en-US" w:eastAsia="zh-CN" w:bidi="ar-SA"/>
                    </w:rPr>
                  </w:pPr>
                  <w:r>
                    <w:rPr>
                      <w:rFonts w:hint="eastAsia"/>
                      <w:b/>
                      <w:bCs/>
                      <w:color w:val="auto"/>
                      <w:sz w:val="21"/>
                      <w:szCs w:val="21"/>
                      <w:lang w:val="en-US" w:eastAsia="zh-CN"/>
                    </w:rPr>
                    <w:t>治理措施</w:t>
                  </w:r>
                </w:p>
              </w:tc>
              <w:tc>
                <w:tcPr>
                  <w:tcW w:w="18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b/>
                      <w:bCs/>
                      <w:color w:val="auto"/>
                      <w:kern w:val="2"/>
                      <w:sz w:val="21"/>
                      <w:szCs w:val="21"/>
                      <w:lang w:val="en-US" w:eastAsia="zh-CN" w:bidi="ar-SA"/>
                    </w:rPr>
                  </w:pPr>
                  <w:r>
                    <w:rPr>
                      <w:rFonts w:hint="eastAsia"/>
                      <w:b/>
                      <w:bCs/>
                      <w:color w:val="auto"/>
                      <w:sz w:val="21"/>
                      <w:szCs w:val="21"/>
                      <w:lang w:val="en-US" w:eastAsia="zh-CN"/>
                    </w:rPr>
                    <w:t>治理后声级dB(A)</w:t>
                  </w:r>
                </w:p>
              </w:tc>
              <w:tc>
                <w:tcPr>
                  <w:tcW w:w="13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heme="minorBidi"/>
                      <w:b/>
                      <w:bCs/>
                      <w:color w:val="auto"/>
                      <w:kern w:val="2"/>
                      <w:sz w:val="21"/>
                      <w:szCs w:val="21"/>
                      <w:lang w:val="en-US" w:eastAsia="zh-CN" w:bidi="ar-SA"/>
                    </w:rPr>
                  </w:pPr>
                  <w:r>
                    <w:rPr>
                      <w:rFonts w:hint="eastAsia"/>
                      <w:b/>
                      <w:bCs/>
                      <w:color w:val="auto"/>
                      <w:sz w:val="21"/>
                      <w:szCs w:val="21"/>
                      <w:lang w:val="en-US" w:eastAsia="zh-CN"/>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8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1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切胶机</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80-85</w:t>
                  </w:r>
                </w:p>
              </w:tc>
              <w:tc>
                <w:tcPr>
                  <w:tcW w:w="110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eastAsia="zh-CN"/>
                    </w:rPr>
                  </w:pPr>
                  <w:r>
                    <w:rPr>
                      <w:rFonts w:hint="eastAsia"/>
                      <w:color w:val="auto"/>
                      <w:sz w:val="21"/>
                      <w:szCs w:val="21"/>
                      <w:lang w:val="en-US" w:eastAsia="zh-CN"/>
                    </w:rPr>
                    <w:t>低噪声设备</w:t>
                  </w:r>
                </w:p>
              </w:tc>
              <w:tc>
                <w:tcPr>
                  <w:tcW w:w="18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55-60</w:t>
                  </w:r>
                </w:p>
              </w:tc>
              <w:tc>
                <w:tcPr>
                  <w:tcW w:w="13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8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1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破胶机</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80-85</w:t>
                  </w:r>
                </w:p>
              </w:tc>
              <w:tc>
                <w:tcPr>
                  <w:tcW w:w="110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eastAsia="zh-CN"/>
                    </w:rPr>
                  </w:pPr>
                </w:p>
              </w:tc>
              <w:tc>
                <w:tcPr>
                  <w:tcW w:w="18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55-60</w:t>
                  </w:r>
                </w:p>
              </w:tc>
              <w:tc>
                <w:tcPr>
                  <w:tcW w:w="13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8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振动筛</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70-85</w:t>
                  </w:r>
                </w:p>
              </w:tc>
              <w:tc>
                <w:tcPr>
                  <w:tcW w:w="110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eastAsia="zh-CN"/>
                    </w:rPr>
                  </w:pPr>
                </w:p>
              </w:tc>
              <w:tc>
                <w:tcPr>
                  <w:tcW w:w="18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45-60</w:t>
                  </w:r>
                </w:p>
              </w:tc>
              <w:tc>
                <w:tcPr>
                  <w:tcW w:w="13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8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1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磁选机</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85-90</w:t>
                  </w:r>
                </w:p>
              </w:tc>
              <w:tc>
                <w:tcPr>
                  <w:tcW w:w="110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eastAsia="zh-CN"/>
                    </w:rPr>
                  </w:pPr>
                </w:p>
              </w:tc>
              <w:tc>
                <w:tcPr>
                  <w:tcW w:w="18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60-65</w:t>
                  </w:r>
                </w:p>
              </w:tc>
              <w:tc>
                <w:tcPr>
                  <w:tcW w:w="13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8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1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风机</w:t>
                  </w:r>
                </w:p>
              </w:tc>
              <w:tc>
                <w:tcPr>
                  <w:tcW w:w="14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80-90</w:t>
                  </w:r>
                </w:p>
              </w:tc>
              <w:tc>
                <w:tcPr>
                  <w:tcW w:w="110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eastAsia="zh-CN"/>
                    </w:rPr>
                  </w:pPr>
                </w:p>
              </w:tc>
              <w:tc>
                <w:tcPr>
                  <w:tcW w:w="18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55-65</w:t>
                  </w:r>
                </w:p>
              </w:tc>
              <w:tc>
                <w:tcPr>
                  <w:tcW w:w="13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eastAsia" w:cs="Times New Roman"/>
                <w:b/>
                <w:bCs/>
                <w:color w:val="auto"/>
                <w:lang w:val="en-US" w:eastAsia="zh-CN"/>
              </w:rPr>
            </w:pPr>
            <w:r>
              <w:rPr>
                <w:rFonts w:hint="eastAsia" w:cs="Times New Roman"/>
                <w:b/>
                <w:bCs/>
                <w:color w:val="auto"/>
                <w:lang w:val="en-US" w:eastAsia="zh-CN"/>
              </w:rPr>
              <w:t>3.2声环境影响分析</w:t>
            </w:r>
          </w:p>
          <w:p>
            <w:pPr>
              <w:autoSpaceDE w:val="0"/>
              <w:autoSpaceDN w:val="0"/>
              <w:adjustRightInd w:val="0"/>
              <w:snapToGrid w:val="0"/>
              <w:spacing w:line="360" w:lineRule="auto"/>
              <w:ind w:firstLine="489" w:firstLineChars="204"/>
              <w:jc w:val="left"/>
              <w:rPr>
                <w:rFonts w:hint="eastAsia" w:ascii="Times New Roman" w:hAnsi="Times New Roman" w:eastAsia="宋体" w:cs="Times New Roman"/>
                <w:color w:val="auto"/>
                <w:sz w:val="24"/>
                <w:szCs w:val="24"/>
              </w:rPr>
            </w:pPr>
            <w:r>
              <w:rPr>
                <w:rFonts w:hint="eastAsia"/>
                <w:color w:val="auto"/>
                <w:lang w:eastAsia="zh-CN"/>
              </w:rPr>
              <w:t>扩建</w:t>
            </w:r>
            <w:r>
              <w:rPr>
                <w:rFonts w:hint="eastAsia" w:ascii="Times New Roman" w:hAnsi="Times New Roman" w:eastAsia="宋体" w:cs="Times New Roman"/>
                <w:color w:val="auto"/>
                <w:sz w:val="24"/>
                <w:szCs w:val="24"/>
              </w:rPr>
              <w:t>项目主要设备运行过程中产生的噪声经建筑隔声和距离衰减后，对各厂界的噪声影响见表</w:t>
            </w:r>
            <w:r>
              <w:rPr>
                <w:rFonts w:hint="eastAsia" w:cs="Times New Roman"/>
                <w:color w:val="auto"/>
                <w:sz w:val="24"/>
                <w:szCs w:val="24"/>
                <w:lang w:val="en-US" w:eastAsia="zh-CN"/>
              </w:rPr>
              <w:t>37</w:t>
            </w:r>
            <w:r>
              <w:rPr>
                <w:rFonts w:hint="eastAsia"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398" w:firstLineChars="165"/>
              <w:jc w:val="center"/>
              <w:textAlignment w:val="auto"/>
              <w:rPr>
                <w:rFonts w:hint="default" w:ascii="Times New Roman" w:hAnsi="Times New Roman" w:eastAsia="宋体" w:cs="Times New Roman"/>
                <w:b/>
                <w:bCs/>
                <w:color w:val="auto"/>
                <w:sz w:val="24"/>
                <w:szCs w:val="20"/>
              </w:rPr>
            </w:pPr>
            <w:r>
              <w:rPr>
                <w:rFonts w:hint="default" w:ascii="Times New Roman" w:hAnsi="Times New Roman" w:eastAsia="宋体" w:cs="Times New Roman"/>
                <w:b/>
                <w:bCs/>
                <w:color w:val="auto"/>
                <w:sz w:val="24"/>
                <w:szCs w:val="20"/>
              </w:rPr>
              <w:t>表</w:t>
            </w:r>
            <w:r>
              <w:rPr>
                <w:rFonts w:hint="eastAsia" w:ascii="Times New Roman" w:hAnsi="Times New Roman" w:eastAsia="宋体" w:cs="Times New Roman"/>
                <w:b/>
                <w:bCs/>
                <w:color w:val="auto"/>
                <w:sz w:val="24"/>
                <w:szCs w:val="20"/>
                <w:lang w:val="en-US" w:eastAsia="zh-CN"/>
              </w:rPr>
              <w:t>3</w:t>
            </w:r>
            <w:r>
              <w:rPr>
                <w:rFonts w:hint="eastAsia" w:cs="Times New Roman"/>
                <w:b/>
                <w:bCs/>
                <w:color w:val="auto"/>
                <w:sz w:val="24"/>
                <w:szCs w:val="20"/>
                <w:lang w:val="en-US" w:eastAsia="zh-CN"/>
              </w:rPr>
              <w:t>7</w:t>
            </w:r>
            <w:r>
              <w:rPr>
                <w:rFonts w:hint="default" w:ascii="Times New Roman" w:hAnsi="Times New Roman" w:eastAsia="宋体" w:cs="Times New Roman"/>
                <w:b/>
                <w:bCs/>
                <w:color w:val="auto"/>
                <w:sz w:val="24"/>
                <w:szCs w:val="20"/>
              </w:rPr>
              <w:t xml:space="preserve"> 厂界噪声预测结果一览表</w:t>
            </w:r>
          </w:p>
          <w:tbl>
            <w:tblPr>
              <w:tblStyle w:val="34"/>
              <w:tblW w:w="7878" w:type="dxa"/>
              <w:tblInd w:w="38"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2055"/>
              <w:gridCol w:w="1452"/>
              <w:gridCol w:w="1453"/>
              <w:gridCol w:w="1466"/>
              <w:gridCol w:w="145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0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w:t>
                  </w:r>
                </w:p>
              </w:tc>
              <w:tc>
                <w:tcPr>
                  <w:tcW w:w="14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项目区东侧</w:t>
                  </w: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项目区南侧</w:t>
                  </w:r>
                </w:p>
              </w:tc>
              <w:tc>
                <w:tcPr>
                  <w:tcW w:w="14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项目区西侧</w:t>
                  </w:r>
                </w:p>
              </w:tc>
              <w:tc>
                <w:tcPr>
                  <w:tcW w:w="14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项目区北侧</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416" w:hRule="atLeast"/>
              </w:trPr>
              <w:tc>
                <w:tcPr>
                  <w:tcW w:w="20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预测值 dB(A)</w:t>
                  </w:r>
                </w:p>
              </w:tc>
              <w:tc>
                <w:tcPr>
                  <w:tcW w:w="14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36.21</w:t>
                  </w: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49.73</w:t>
                  </w:r>
                </w:p>
              </w:tc>
              <w:tc>
                <w:tcPr>
                  <w:tcW w:w="14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28.57</w:t>
                  </w:r>
                </w:p>
              </w:tc>
              <w:tc>
                <w:tcPr>
                  <w:tcW w:w="14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52.57</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达标情况</w:t>
                  </w:r>
                </w:p>
              </w:tc>
              <w:tc>
                <w:tcPr>
                  <w:tcW w:w="14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c>
                <w:tcPr>
                  <w:tcW w:w="14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c>
                <w:tcPr>
                  <w:tcW w:w="14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执行标准</w:t>
                  </w:r>
                </w:p>
              </w:tc>
              <w:tc>
                <w:tcPr>
                  <w:tcW w:w="582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 xml:space="preserve">《工业企业厂界环境噪声排放标准》  (GB12348—2008) </w:t>
                  </w:r>
                  <w:r>
                    <w:rPr>
                      <w:color w:val="auto"/>
                      <w:sz w:val="21"/>
                      <w:szCs w:val="21"/>
                    </w:rPr>
                    <w:t>中的表1规定的排放限值中3类标准</w:t>
                  </w:r>
                </w:p>
              </w:tc>
            </w:tr>
          </w:tbl>
          <w:p>
            <w:pPr>
              <w:bidi w:val="0"/>
              <w:rPr>
                <w:color w:val="auto"/>
              </w:rPr>
            </w:pPr>
            <w:r>
              <w:rPr>
                <w:rFonts w:hint="eastAsia"/>
                <w:color w:val="auto"/>
                <w:lang w:eastAsia="zh-CN"/>
              </w:rPr>
              <w:t>扩建</w:t>
            </w:r>
            <w:r>
              <w:rPr>
                <w:rFonts w:hint="eastAsia"/>
                <w:color w:val="auto"/>
                <w:lang w:val="en-US" w:eastAsia="zh-CN"/>
              </w:rPr>
              <w:t>项目</w:t>
            </w:r>
            <w:r>
              <w:rPr>
                <w:color w:val="auto"/>
              </w:rPr>
              <w:t>厂界噪声满足《工业企业厂界环境噪声排放标准》(GB12348-2008)中的表1规定的排放限值中3类标准。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eastAsia" w:cs="Times New Roman"/>
                <w:b/>
                <w:bCs/>
                <w:color w:val="auto"/>
                <w:lang w:val="en-US" w:eastAsia="zh-CN"/>
              </w:rPr>
            </w:pPr>
            <w:r>
              <w:rPr>
                <w:rFonts w:hint="eastAsia" w:cs="Times New Roman"/>
                <w:b/>
                <w:bCs/>
                <w:color w:val="auto"/>
                <w:lang w:val="en-US" w:eastAsia="zh-CN"/>
              </w:rPr>
              <w:t>3.3噪声监测计划</w:t>
            </w:r>
          </w:p>
          <w:p>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lang w:val="en-US" w:eastAsia="zh-CN" w:bidi="ar-SA"/>
              </w:rPr>
            </w:pPr>
            <w:r>
              <w:rPr>
                <w:rFonts w:hint="default" w:ascii="Times New Roman" w:hAnsi="Times New Roman" w:eastAsia="宋体" w:cs="Times New Roman"/>
                <w:color w:val="auto"/>
                <w:kern w:val="2"/>
                <w:sz w:val="24"/>
                <w:lang w:val="en-US" w:eastAsia="zh-CN" w:bidi="ar-SA"/>
              </w:rPr>
              <w:t>根据《排污单位自行监测技术指南 总则》（HJ 819-2017）以及该项目的特点，</w:t>
            </w:r>
            <w:r>
              <w:rPr>
                <w:rFonts w:hint="eastAsia" w:ascii="Times New Roman" w:hAnsi="Times New Roman" w:eastAsia="宋体" w:cs="Times New Roman"/>
                <w:color w:val="auto"/>
                <w:kern w:val="2"/>
                <w:sz w:val="24"/>
                <w:lang w:val="en-US" w:eastAsia="zh-CN" w:bidi="ar-SA"/>
              </w:rPr>
              <w:t>噪声环境监测计划</w:t>
            </w:r>
            <w:r>
              <w:rPr>
                <w:rFonts w:hint="default" w:ascii="Times New Roman" w:hAnsi="Times New Roman" w:eastAsia="宋体" w:cs="Times New Roman"/>
                <w:color w:val="auto"/>
                <w:kern w:val="2"/>
                <w:sz w:val="24"/>
                <w:lang w:val="en-US" w:eastAsia="zh-CN" w:bidi="ar-SA"/>
              </w:rPr>
              <w:t>详见表</w:t>
            </w:r>
            <w:r>
              <w:rPr>
                <w:rFonts w:hint="eastAsia" w:ascii="Times New Roman" w:hAnsi="Times New Roman" w:eastAsia="宋体" w:cs="Times New Roman"/>
                <w:color w:val="auto"/>
                <w:kern w:val="2"/>
                <w:sz w:val="24"/>
                <w:lang w:val="en-US" w:eastAsia="zh-CN" w:bidi="ar-SA"/>
              </w:rPr>
              <w:t>3</w:t>
            </w:r>
            <w:r>
              <w:rPr>
                <w:rFonts w:hint="eastAsia" w:cs="Times New Roman"/>
                <w:color w:val="auto"/>
                <w:kern w:val="2"/>
                <w:sz w:val="24"/>
                <w:lang w:val="en-US" w:eastAsia="zh-CN" w:bidi="ar-SA"/>
              </w:rPr>
              <w:t>8</w:t>
            </w:r>
            <w:r>
              <w:rPr>
                <w:rFonts w:hint="default" w:ascii="Times New Roman" w:hAnsi="Times New Roman" w:eastAsia="宋体" w:cs="Times New Roman"/>
                <w:color w:val="auto"/>
                <w:kern w:val="2"/>
                <w:sz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宋体" w:cs="Times New Roman"/>
                <w:b/>
                <w:bCs/>
                <w:color w:val="auto"/>
                <w:kern w:val="2"/>
                <w:sz w:val="24"/>
                <w:lang w:val="en-US" w:eastAsia="zh-CN" w:bidi="ar-SA"/>
              </w:rPr>
            </w:pPr>
            <w:r>
              <w:rPr>
                <w:rFonts w:hint="default" w:ascii="Times New Roman" w:hAnsi="Times New Roman" w:eastAsia="宋体" w:cs="Times New Roman"/>
                <w:b/>
                <w:bCs/>
                <w:color w:val="auto"/>
                <w:kern w:val="2"/>
                <w:sz w:val="24"/>
                <w:lang w:val="en-US" w:eastAsia="zh-CN" w:bidi="ar-SA"/>
              </w:rPr>
              <w:t>表</w:t>
            </w:r>
            <w:r>
              <w:rPr>
                <w:rFonts w:hint="eastAsia" w:ascii="Times New Roman" w:hAnsi="Times New Roman" w:eastAsia="宋体" w:cs="Times New Roman"/>
                <w:b/>
                <w:bCs/>
                <w:color w:val="auto"/>
                <w:kern w:val="2"/>
                <w:sz w:val="24"/>
                <w:lang w:val="en-US" w:eastAsia="zh-CN" w:bidi="ar-SA"/>
              </w:rPr>
              <w:t>3</w:t>
            </w:r>
            <w:r>
              <w:rPr>
                <w:rFonts w:hint="eastAsia" w:cs="Times New Roman"/>
                <w:b/>
                <w:bCs/>
                <w:color w:val="auto"/>
                <w:kern w:val="2"/>
                <w:sz w:val="24"/>
                <w:lang w:val="en-US" w:eastAsia="zh-CN" w:bidi="ar-SA"/>
              </w:rPr>
              <w:t>8</w:t>
            </w:r>
            <w:r>
              <w:rPr>
                <w:rFonts w:hint="default" w:ascii="Times New Roman" w:hAnsi="Times New Roman" w:eastAsia="宋体" w:cs="Times New Roman"/>
                <w:b/>
                <w:bCs/>
                <w:color w:val="auto"/>
                <w:kern w:val="2"/>
                <w:sz w:val="24"/>
                <w:lang w:val="en-US" w:eastAsia="zh-CN" w:bidi="ar-SA"/>
              </w:rPr>
              <w:t xml:space="preserve"> </w:t>
            </w:r>
            <w:r>
              <w:rPr>
                <w:rFonts w:hint="eastAsia" w:cs="Times New Roman"/>
                <w:b/>
                <w:bCs/>
                <w:color w:val="auto"/>
                <w:kern w:val="2"/>
                <w:sz w:val="24"/>
                <w:lang w:val="en-US" w:eastAsia="zh-CN" w:bidi="ar-SA"/>
              </w:rPr>
              <w:t xml:space="preserve">  </w:t>
            </w:r>
            <w:r>
              <w:rPr>
                <w:rFonts w:hint="eastAsia" w:ascii="Times New Roman" w:hAnsi="Times New Roman" w:eastAsia="宋体" w:cs="Times New Roman"/>
                <w:b/>
                <w:bCs/>
                <w:color w:val="auto"/>
                <w:kern w:val="2"/>
                <w:sz w:val="24"/>
                <w:lang w:val="en-US" w:eastAsia="zh-CN" w:bidi="ar-SA"/>
              </w:rPr>
              <w:t>噪声</w:t>
            </w:r>
            <w:r>
              <w:rPr>
                <w:rFonts w:hint="default" w:ascii="Times New Roman" w:hAnsi="Times New Roman" w:eastAsia="宋体" w:cs="Times New Roman"/>
                <w:b/>
                <w:bCs/>
                <w:color w:val="auto"/>
                <w:kern w:val="2"/>
                <w:sz w:val="24"/>
                <w:lang w:val="en-US" w:eastAsia="zh-CN" w:bidi="ar-SA"/>
              </w:rPr>
              <w:t>环境监测计划</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1021"/>
              <w:gridCol w:w="1095"/>
              <w:gridCol w:w="1410"/>
              <w:gridCol w:w="1505"/>
              <w:gridCol w:w="28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67" w:hRule="atLeast"/>
                <w:jc w:val="center"/>
              </w:trPr>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污染物名称</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监测点</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监测项目</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监测频次</w:t>
                  </w:r>
                </w:p>
              </w:tc>
              <w:tc>
                <w:tcPr>
                  <w:tcW w:w="2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591" w:hRule="atLeast"/>
                <w:jc w:val="center"/>
              </w:trPr>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噪声</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厂界四周</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等效A声级</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lang w:val="en-US" w:eastAsia="zh-CN"/>
                    </w:rPr>
                    <w:t>1次/季度</w:t>
                  </w:r>
                </w:p>
              </w:tc>
              <w:tc>
                <w:tcPr>
                  <w:tcW w:w="2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满足</w:t>
                  </w:r>
                  <w:r>
                    <w:rPr>
                      <w:rFonts w:hint="eastAsia" w:ascii="Times New Roman" w:hAnsi="Times New Roman" w:eastAsia="宋体" w:cs="Times New Roman"/>
                      <w:color w:val="auto"/>
                      <w:kern w:val="2"/>
                      <w:sz w:val="21"/>
                      <w:szCs w:val="21"/>
                      <w:lang w:val="en-US" w:eastAsia="zh-CN" w:bidi="ar-SA"/>
                    </w:rPr>
                    <w:t>《工业企业厂界环境噪声排放标准》（GB12348-2008）3类标准限值</w:t>
                  </w:r>
                  <w:r>
                    <w:rPr>
                      <w:rFonts w:hint="default" w:ascii="Times New Roman" w:hAnsi="Times New Roman" w:eastAsia="宋体" w:cs="Times New Roman"/>
                      <w:color w:val="auto"/>
                      <w:kern w:val="2"/>
                      <w:sz w:val="21"/>
                      <w:szCs w:val="21"/>
                      <w:lang w:val="en-US" w:eastAsia="zh-CN" w:bidi="ar-SA"/>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color w:val="auto"/>
              </w:rPr>
            </w:pPr>
            <w:r>
              <w:rPr>
                <w:rFonts w:hint="eastAsia" w:cs="Times New Roman"/>
                <w:b/>
                <w:bCs/>
                <w:color w:val="auto"/>
                <w:lang w:val="en-US" w:eastAsia="zh-CN"/>
              </w:rPr>
              <w:t>4、固体废物产生及处置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color w:val="auto"/>
                <w:lang w:eastAsia="zh-CN"/>
              </w:rPr>
            </w:pPr>
            <w:r>
              <w:rPr>
                <w:rFonts w:hint="eastAsia"/>
                <w:color w:val="auto"/>
                <w:lang w:eastAsia="zh-CN"/>
              </w:rPr>
              <w:t>扩建项目扩建后</w:t>
            </w:r>
            <w:r>
              <w:rPr>
                <w:rFonts w:hint="eastAsia"/>
                <w:color w:val="auto"/>
                <w:lang w:val="en-US" w:eastAsia="zh-CN"/>
              </w:rPr>
              <w:t>运营期</w:t>
            </w:r>
            <w:r>
              <w:rPr>
                <w:rFonts w:hint="eastAsia"/>
                <w:color w:val="auto"/>
                <w:lang w:eastAsia="zh-CN"/>
              </w:rPr>
              <w:t>产生的固体废物为废钢丝、废纤维、循环水池沉渣</w:t>
            </w:r>
            <w:r>
              <w:rPr>
                <w:rFonts w:hint="eastAsia"/>
                <w:color w:val="auto"/>
                <w:lang w:val="en-US" w:eastAsia="zh-CN"/>
              </w:rPr>
              <w:t>和废润滑油。</w:t>
            </w:r>
          </w:p>
          <w:p>
            <w:pPr>
              <w:bidi w:val="0"/>
              <w:rPr>
                <w:rFonts w:hint="default"/>
                <w:color w:val="auto"/>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废钢丝及废纤维</w:t>
            </w:r>
          </w:p>
          <w:p>
            <w:pPr>
              <w:bidi w:val="0"/>
              <w:rPr>
                <w:rFonts w:hint="default"/>
                <w:color w:val="auto"/>
                <w:lang w:val="en-US" w:eastAsia="zh-CN"/>
              </w:rPr>
            </w:pPr>
            <w:r>
              <w:rPr>
                <w:rFonts w:hint="eastAsia"/>
                <w:color w:val="auto"/>
                <w:lang w:eastAsia="zh-CN"/>
              </w:rPr>
              <w:t>扩建</w:t>
            </w:r>
            <w:r>
              <w:rPr>
                <w:rFonts w:hint="eastAsia"/>
                <w:color w:val="auto"/>
                <w:lang w:val="en-US" w:eastAsia="zh-CN"/>
              </w:rPr>
              <w:t>项目在磁选及筛分工序产生的废钢丝和废纤维，产生量为699.564t/a，经分类收集后，暂存于一般固废暂存间内，定期外售。</w:t>
            </w:r>
          </w:p>
          <w:p>
            <w:pPr>
              <w:bidi w:val="0"/>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）水喷淋塔循环水箱沉渣</w:t>
            </w:r>
          </w:p>
          <w:p>
            <w:pPr>
              <w:bidi w:val="0"/>
              <w:rPr>
                <w:rFonts w:hint="default"/>
                <w:color w:val="auto"/>
                <w:lang w:val="en-US" w:eastAsia="zh-CN"/>
              </w:rPr>
            </w:pPr>
            <w:r>
              <w:rPr>
                <w:rFonts w:hint="eastAsia"/>
                <w:color w:val="auto"/>
                <w:lang w:eastAsia="zh-CN"/>
              </w:rPr>
              <w:t>扩建项目破碎筛分粉尘经过水喷淋塔处理后，在循环水箱内会产生沉渣，产生量为</w:t>
            </w:r>
            <w:r>
              <w:rPr>
                <w:rFonts w:hint="eastAsia"/>
                <w:color w:val="auto"/>
                <w:lang w:val="en-US" w:eastAsia="zh-CN"/>
              </w:rPr>
              <w:t>19.05</w:t>
            </w:r>
            <w:r>
              <w:rPr>
                <w:rFonts w:hint="eastAsia" w:cs="Times New Roman"/>
                <w:b w:val="0"/>
                <w:bCs w:val="0"/>
                <w:color w:val="auto"/>
                <w:sz w:val="24"/>
                <w:szCs w:val="24"/>
                <w:highlight w:val="none"/>
                <w:vertAlign w:val="baseline"/>
                <w:lang w:val="en-US" w:eastAsia="zh-CN"/>
              </w:rPr>
              <w:t>t/a，产生后暂存至循环水箱中，定期清掏后，委托环卫部门清运处置。</w:t>
            </w:r>
          </w:p>
          <w:p>
            <w:pPr>
              <w:bidi w:val="0"/>
              <w:rPr>
                <w:rFonts w:hint="default"/>
                <w:color w:val="auto"/>
                <w:lang w:val="en-US" w:eastAsia="zh-CN"/>
              </w:rPr>
            </w:pPr>
            <w:r>
              <w:rPr>
                <w:rFonts w:hint="eastAsia"/>
                <w:color w:val="auto"/>
                <w:lang w:val="en-US" w:eastAsia="zh-CN"/>
              </w:rPr>
              <w:t>（3）废润滑油</w:t>
            </w:r>
          </w:p>
          <w:p>
            <w:pPr>
              <w:bidi w:val="0"/>
              <w:rPr>
                <w:rFonts w:hint="default"/>
                <w:color w:val="auto"/>
                <w:lang w:val="en-US" w:eastAsia="zh-CN"/>
              </w:rPr>
            </w:pPr>
            <w:r>
              <w:rPr>
                <w:rFonts w:hint="eastAsia"/>
                <w:color w:val="auto"/>
                <w:lang w:val="en-US" w:eastAsia="zh-CN"/>
              </w:rPr>
              <w:t>扩建项目在运营期维护设备产生的废润滑油，属于危险废物HW08，危废代码为900-214-08，经铁桶收集后，产生量为0.05t/a，暂存于危废暂存间内，定期交由有资质的单位处置。</w:t>
            </w:r>
          </w:p>
          <w:p>
            <w:pPr>
              <w:bidi w:val="0"/>
              <w:rPr>
                <w:rFonts w:hint="default"/>
                <w:color w:val="auto"/>
                <w:lang w:val="en-US" w:eastAsia="zh-CN"/>
              </w:rPr>
            </w:pPr>
            <w:r>
              <w:rPr>
                <w:rFonts w:hint="eastAsia"/>
                <w:color w:val="auto"/>
                <w:lang w:eastAsia="zh-CN"/>
              </w:rPr>
              <w:t>固废产生量及处理措施见表</w:t>
            </w:r>
            <w:r>
              <w:rPr>
                <w:rFonts w:hint="eastAsia"/>
                <w:color w:val="auto"/>
                <w:lang w:val="en-US" w:eastAsia="zh-CN"/>
              </w:rPr>
              <w:t>39。</w:t>
            </w:r>
          </w:p>
          <w:p>
            <w:pPr>
              <w:bidi w:val="0"/>
              <w:jc w:val="center"/>
              <w:rPr>
                <w:b/>
                <w:bCs/>
                <w:color w:val="auto"/>
              </w:rPr>
            </w:pPr>
            <w:r>
              <w:rPr>
                <w:rFonts w:hint="default"/>
                <w:b/>
                <w:bCs/>
                <w:color w:val="auto"/>
              </w:rPr>
              <w:t>表</w:t>
            </w:r>
            <w:r>
              <w:rPr>
                <w:rFonts w:hint="eastAsia"/>
                <w:b/>
                <w:bCs/>
                <w:color w:val="auto"/>
                <w:lang w:val="en-US" w:eastAsia="zh-CN"/>
              </w:rPr>
              <w:t>39  本项目</w:t>
            </w:r>
            <w:r>
              <w:rPr>
                <w:rFonts w:hint="eastAsia"/>
                <w:b/>
                <w:bCs/>
                <w:color w:val="auto"/>
                <w:lang w:eastAsia="zh-CN"/>
              </w:rPr>
              <w:t>固废</w:t>
            </w:r>
            <w:r>
              <w:rPr>
                <w:rFonts w:hint="eastAsia"/>
                <w:b/>
                <w:bCs/>
                <w:color w:val="auto"/>
                <w:lang w:val="en-US" w:eastAsia="zh-CN"/>
              </w:rPr>
              <w:t>产生及处置情况一览</w:t>
            </w:r>
            <w:r>
              <w:rPr>
                <w:rFonts w:hint="default"/>
                <w:b/>
                <w:bCs/>
                <w:color w:val="auto"/>
              </w:rPr>
              <w:t>表</w:t>
            </w:r>
          </w:p>
          <w:tbl>
            <w:tblPr>
              <w:tblStyle w:val="18"/>
              <w:tblW w:w="7946"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993"/>
              <w:gridCol w:w="993"/>
              <w:gridCol w:w="993"/>
              <w:gridCol w:w="993"/>
              <w:gridCol w:w="993"/>
              <w:gridCol w:w="994"/>
              <w:gridCol w:w="99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名称</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性质</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代码</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产生环节</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产生量</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存放地点</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排放周期</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1"/>
                      <w:vertAlign w:val="baseline"/>
                      <w:lang w:val="en-US" w:eastAsia="zh-CN" w:bidi="ar-SA"/>
                    </w:rPr>
                  </w:pPr>
                  <w:r>
                    <w:rPr>
                      <w:rFonts w:hint="eastAsia"/>
                      <w:b/>
                      <w:bCs/>
                      <w:color w:val="auto"/>
                      <w:sz w:val="21"/>
                      <w:szCs w:val="21"/>
                      <w:vertAlign w:val="baseline"/>
                      <w:lang w:val="en-US" w:eastAsia="zh-CN"/>
                    </w:rPr>
                    <w:t>处置措施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水喷淋塔循环水箱沉渣</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一般固废</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喷淋塔循环水箱</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19.05</w:t>
                  </w:r>
                  <w:r>
                    <w:rPr>
                      <w:rFonts w:hint="eastAsia" w:cs="Times New Roman"/>
                      <w:b w:val="0"/>
                      <w:bCs w:val="0"/>
                      <w:color w:val="auto"/>
                      <w:sz w:val="21"/>
                      <w:szCs w:val="21"/>
                      <w:highlight w:val="none"/>
                      <w:vertAlign w:val="baseline"/>
                      <w:lang w:val="en-US" w:eastAsia="zh-CN"/>
                    </w:rPr>
                    <w:t>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循环水箱</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val="0"/>
                      <w:bCs w:val="0"/>
                      <w:color w:val="auto"/>
                      <w:sz w:val="21"/>
                      <w:szCs w:val="21"/>
                      <w:vertAlign w:val="baseline"/>
                      <w:lang w:val="en-US" w:eastAsia="zh-CN"/>
                    </w:rPr>
                  </w:pPr>
                  <w:r>
                    <w:rPr>
                      <w:rFonts w:hint="eastAsia" w:cs="Times New Roman"/>
                      <w:b w:val="0"/>
                      <w:bCs w:val="0"/>
                      <w:color w:val="auto"/>
                      <w:sz w:val="21"/>
                      <w:szCs w:val="21"/>
                      <w:highlight w:val="none"/>
                      <w:vertAlign w:val="baseline"/>
                      <w:lang w:val="en-US" w:eastAsia="zh-CN"/>
                    </w:rPr>
                    <w:t>60天</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定期清掏，委托环卫部门清运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废钢丝</w:t>
                  </w:r>
                </w:p>
              </w:tc>
              <w:tc>
                <w:tcPr>
                  <w:tcW w:w="99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一般固废</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w:t>
                  </w:r>
                </w:p>
              </w:tc>
              <w:tc>
                <w:tcPr>
                  <w:tcW w:w="99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磁选机筛分</w:t>
                  </w:r>
                </w:p>
              </w:tc>
              <w:tc>
                <w:tcPr>
                  <w:tcW w:w="99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6999.564t/a</w:t>
                  </w:r>
                </w:p>
              </w:tc>
              <w:tc>
                <w:tcPr>
                  <w:tcW w:w="99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一般固废暂存间</w:t>
                  </w:r>
                </w:p>
              </w:tc>
              <w:tc>
                <w:tcPr>
                  <w:tcW w:w="99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随生产产生</w:t>
                  </w:r>
                </w:p>
              </w:tc>
              <w:tc>
                <w:tcPr>
                  <w:tcW w:w="99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分类收集后，外售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废纤维</w:t>
                  </w:r>
                </w:p>
              </w:tc>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w:t>
                  </w:r>
                </w:p>
              </w:tc>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99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99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99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废润滑油</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危险废物</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ascii="Times New Roman" w:hAnsi="Times New Roman" w:cs="Times New Roman"/>
                      <w:b w:val="0"/>
                      <w:bCs w:val="0"/>
                      <w:color w:val="auto"/>
                      <w:sz w:val="24"/>
                      <w:szCs w:val="22"/>
                      <w:lang w:val="en-US" w:eastAsia="zh-CN"/>
                    </w:rPr>
                    <w:t>900-214-08</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谁被维修及养护</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0.05t/a</w:t>
                  </w:r>
                </w:p>
              </w:tc>
              <w:tc>
                <w:tcPr>
                  <w:tcW w:w="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危废暂存间</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w:t>
                  </w:r>
                </w:p>
              </w:tc>
              <w:tc>
                <w:tcPr>
                  <w:tcW w:w="9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委托具有相关资质的单位处置</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imes New Roman" w:hAnsi="Times New Roman" w:eastAsia="宋体" w:cs="Times New Roman"/>
                <w:color w:val="auto"/>
                <w:kern w:val="0"/>
                <w:sz w:val="24"/>
                <w:szCs w:val="24"/>
                <w:lang w:eastAsia="zh-CN"/>
              </w:rPr>
            </w:pPr>
            <w:r>
              <w:rPr>
                <w:rFonts w:hint="eastAsia"/>
                <w:color w:val="auto"/>
                <w:lang w:val="en-US" w:eastAsia="zh-CN"/>
              </w:rPr>
              <w:t>扩建</w:t>
            </w:r>
            <w:r>
              <w:rPr>
                <w:rFonts w:hint="eastAsia" w:ascii="Times New Roman" w:hAnsi="Times New Roman" w:eastAsia="宋体" w:cs="Times New Roman"/>
                <w:color w:val="auto"/>
                <w:sz w:val="24"/>
                <w:szCs w:val="24"/>
              </w:rPr>
              <w:t>项目</w:t>
            </w:r>
            <w:r>
              <w:rPr>
                <w:rFonts w:hint="eastAsia" w:ascii="Times New Roman" w:hAnsi="Times New Roman" w:cs="Times New Roman"/>
                <w:color w:val="auto"/>
                <w:sz w:val="24"/>
                <w:szCs w:val="24"/>
                <w:lang w:val="en-US" w:eastAsia="zh-CN"/>
              </w:rPr>
              <w:t>依托</w:t>
            </w:r>
            <w:r>
              <w:rPr>
                <w:rFonts w:hint="eastAsia" w:cs="Times New Roman"/>
                <w:color w:val="auto"/>
                <w:sz w:val="24"/>
                <w:szCs w:val="24"/>
                <w:lang w:val="en-US" w:eastAsia="zh-CN"/>
              </w:rPr>
              <w:t>现有</w:t>
            </w:r>
            <w:r>
              <w:rPr>
                <w:rFonts w:hint="eastAsia" w:ascii="Times New Roman" w:hAnsi="Times New Roman" w:cs="Times New Roman"/>
                <w:color w:val="auto"/>
                <w:sz w:val="24"/>
                <w:szCs w:val="24"/>
                <w:lang w:val="en-US" w:eastAsia="zh-CN"/>
              </w:rPr>
              <w:t>工程的</w:t>
            </w:r>
            <w:r>
              <w:rPr>
                <w:rFonts w:hint="eastAsia" w:ascii="Times New Roman" w:hAnsi="Times New Roman" w:eastAsia="宋体" w:cs="Times New Roman"/>
                <w:color w:val="auto"/>
                <w:sz w:val="24"/>
                <w:szCs w:val="24"/>
              </w:rPr>
              <w:t>一般固废暂存</w:t>
            </w:r>
            <w:r>
              <w:rPr>
                <w:rFonts w:hint="eastAsia" w:ascii="Times New Roman" w:hAnsi="Times New Roman" w:eastAsia="宋体" w:cs="Times New Roman"/>
                <w:color w:val="auto"/>
                <w:sz w:val="24"/>
                <w:szCs w:val="24"/>
                <w:lang w:eastAsia="zh-CN"/>
              </w:rPr>
              <w:t>区</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位于</w:t>
            </w:r>
            <w:r>
              <w:rPr>
                <w:rFonts w:hint="eastAsia" w:cs="Times New Roman"/>
                <w:color w:val="auto"/>
                <w:sz w:val="24"/>
                <w:szCs w:val="24"/>
                <w:lang w:eastAsia="zh-CN"/>
              </w:rPr>
              <w:t>胶板</w:t>
            </w:r>
            <w:r>
              <w:rPr>
                <w:rFonts w:hint="eastAsia" w:ascii="Times New Roman" w:hAnsi="Times New Roman" w:cs="Times New Roman"/>
                <w:color w:val="auto"/>
                <w:sz w:val="24"/>
                <w:szCs w:val="24"/>
                <w:lang w:val="en-US" w:eastAsia="zh-CN"/>
              </w:rPr>
              <w:t>车间</w:t>
            </w:r>
            <w:r>
              <w:rPr>
                <w:rFonts w:hint="eastAsia" w:ascii="Times New Roman" w:hAnsi="Times New Roman" w:cs="Times New Roman"/>
                <w:color w:val="auto"/>
                <w:sz w:val="24"/>
                <w:szCs w:val="24"/>
                <w:lang w:eastAsia="zh-CN"/>
              </w:rPr>
              <w:t>内</w:t>
            </w: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eastAsia="zh-CN"/>
              </w:rPr>
              <w:t>地面已做一般防渗</w:t>
            </w:r>
            <w:r>
              <w:rPr>
                <w:rFonts w:hint="eastAsia" w:ascii="Times New Roman" w:hAnsi="Times New Roman" w:cs="Times New Roman"/>
                <w:color w:val="auto"/>
                <w:kern w:val="0"/>
                <w:sz w:val="24"/>
                <w:szCs w:val="24"/>
                <w:lang w:val="en-US" w:eastAsia="zh-CN"/>
              </w:rPr>
              <w:t>处理</w:t>
            </w:r>
            <w:r>
              <w:rPr>
                <w:rFonts w:hint="eastAsia" w:ascii="Times New Roman" w:hAnsi="Times New Roman" w:eastAsia="宋体" w:cs="Times New Roman"/>
                <w:color w:val="auto"/>
                <w:sz w:val="24"/>
                <w:szCs w:val="24"/>
              </w:rPr>
              <w:t>，其防渗采用</w:t>
            </w:r>
            <w:r>
              <w:rPr>
                <w:rFonts w:hint="eastAsia" w:ascii="Times New Roman" w:hAnsi="Times New Roman" w:eastAsia="宋体" w:cs="Times New Roman"/>
                <w:color w:val="auto"/>
                <w:kern w:val="0"/>
                <w:sz w:val="24"/>
                <w:szCs w:val="24"/>
              </w:rPr>
              <w:t>抗渗混凝土面层（包括钢筋混凝土、钢纤维混凝土）中掺水泥及渗透结晶型防水剂，地面</w:t>
            </w:r>
            <w:r>
              <w:rPr>
                <w:rFonts w:hint="eastAsia" w:ascii="Times New Roman" w:hAnsi="Times New Roman" w:eastAsia="宋体" w:cs="Times New Roman"/>
                <w:color w:val="auto"/>
                <w:sz w:val="24"/>
                <w:szCs w:val="24"/>
              </w:rPr>
              <w:t>渗透性能</w:t>
            </w:r>
            <w:r>
              <w:rPr>
                <w:rFonts w:hint="eastAsia" w:ascii="Times New Roman" w:hAnsi="Times New Roman" w:cs="Times New Roman"/>
                <w:color w:val="auto"/>
                <w:sz w:val="24"/>
                <w:szCs w:val="24"/>
                <w:lang w:eastAsia="zh-CN"/>
              </w:rPr>
              <w:t>满足</w:t>
            </w:r>
            <w:r>
              <w:rPr>
                <w:rFonts w:ascii="Times New Roman" w:hAnsi="Times New Roman" w:eastAsia="宋体" w:cs="Times New Roman"/>
                <w:color w:val="auto"/>
                <w:sz w:val="24"/>
                <w:szCs w:val="24"/>
              </w:rPr>
              <w:t>≤1×10</w:t>
            </w:r>
            <w:r>
              <w:rPr>
                <w:rFonts w:ascii="Times New Roman" w:hAnsi="Times New Roman" w:eastAsia="宋体" w:cs="Times New Roman"/>
                <w:color w:val="auto"/>
                <w:sz w:val="24"/>
                <w:szCs w:val="24"/>
                <w:vertAlign w:val="superscript"/>
              </w:rPr>
              <w:t>-7</w:t>
            </w:r>
            <w:r>
              <w:rPr>
                <w:rFonts w:ascii="Times New Roman" w:hAnsi="Times New Roman" w:eastAsia="宋体" w:cs="Times New Roman"/>
                <w:color w:val="auto"/>
                <w:sz w:val="24"/>
                <w:szCs w:val="24"/>
              </w:rPr>
              <w:t>cm/s</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kern w:val="0"/>
                <w:sz w:val="24"/>
                <w:szCs w:val="24"/>
              </w:rPr>
              <w:t>抗渗等级不小于</w:t>
            </w:r>
            <w:r>
              <w:rPr>
                <w:rFonts w:ascii="Times New Roman" w:hAnsi="Times New Roman" w:eastAsia="宋体" w:cs="Times New Roman"/>
                <w:color w:val="auto"/>
                <w:kern w:val="0"/>
                <w:sz w:val="24"/>
                <w:szCs w:val="24"/>
              </w:rPr>
              <w:t>P8</w:t>
            </w:r>
            <w:r>
              <w:rPr>
                <w:rFonts w:hint="eastAsia" w:ascii="Times New Roman" w:hAnsi="Times New Roman" w:eastAsia="宋体" w:cs="Times New Roman"/>
                <w:color w:val="auto"/>
                <w:kern w:val="0"/>
                <w:sz w:val="24"/>
                <w:szCs w:val="24"/>
              </w:rPr>
              <w:t>。</w:t>
            </w:r>
            <w:r>
              <w:rPr>
                <w:rFonts w:hint="eastAsia" w:ascii="Times New Roman" w:hAnsi="Times New Roman" w:cs="Times New Roman"/>
                <w:color w:val="auto"/>
                <w:kern w:val="0"/>
                <w:sz w:val="24"/>
                <w:szCs w:val="24"/>
                <w:lang w:eastAsia="zh-CN"/>
              </w:rPr>
              <w:t>一般固废暂存</w:t>
            </w:r>
            <w:r>
              <w:rPr>
                <w:rFonts w:hint="eastAsia" w:cs="Times New Roman"/>
                <w:color w:val="auto"/>
                <w:kern w:val="0"/>
                <w:sz w:val="24"/>
                <w:szCs w:val="24"/>
                <w:lang w:eastAsia="zh-CN"/>
              </w:rPr>
              <w:t>区</w:t>
            </w:r>
            <w:r>
              <w:rPr>
                <w:rFonts w:hint="eastAsia" w:ascii="Times New Roman" w:hAnsi="Times New Roman" w:cs="Times New Roman"/>
                <w:color w:val="auto"/>
                <w:kern w:val="0"/>
                <w:sz w:val="24"/>
                <w:szCs w:val="24"/>
                <w:lang w:eastAsia="zh-CN"/>
              </w:rPr>
              <w:t>的贮存满足</w:t>
            </w:r>
            <w:r>
              <w:rPr>
                <w:rFonts w:hint="eastAsia"/>
                <w:color w:val="auto"/>
              </w:rPr>
              <w:t>《一般工业固体废物贮存</w:t>
            </w:r>
            <w:r>
              <w:rPr>
                <w:rFonts w:hint="eastAsia"/>
                <w:color w:val="auto"/>
                <w:lang w:val="en-US" w:eastAsia="zh-CN"/>
              </w:rPr>
              <w:t>和填埋污染控制标准</w:t>
            </w:r>
            <w:r>
              <w:rPr>
                <w:rFonts w:hint="eastAsia"/>
                <w:color w:val="auto"/>
              </w:rPr>
              <w:t>》（GB18599-2</w:t>
            </w:r>
            <w:r>
              <w:rPr>
                <w:rFonts w:hint="eastAsia"/>
                <w:color w:val="auto"/>
                <w:lang w:val="en-US" w:eastAsia="zh-CN"/>
              </w:rPr>
              <w:t>020</w:t>
            </w:r>
            <w:r>
              <w:rPr>
                <w:rFonts w:hint="eastAsia"/>
                <w:color w:val="auto"/>
              </w:rPr>
              <w:t>）中的有关规定</w:t>
            </w:r>
            <w:r>
              <w:rPr>
                <w:rFonts w:hint="eastAsia"/>
                <w:color w:val="auto"/>
                <w:lang w:val="en-US" w:eastAsia="zh-CN"/>
              </w:rPr>
              <w:t>。</w:t>
            </w:r>
          </w:p>
          <w:p>
            <w:pPr>
              <w:bidi w:val="0"/>
              <w:rPr>
                <w:rFonts w:hint="eastAsia"/>
                <w:color w:val="auto"/>
                <w:lang w:val="en-US" w:eastAsia="zh-CN"/>
              </w:rPr>
            </w:pPr>
            <w:r>
              <w:rPr>
                <w:rFonts w:hint="eastAsia"/>
                <w:color w:val="auto"/>
                <w:lang w:val="en-US" w:eastAsia="zh-CN"/>
              </w:rPr>
              <w:t>扩建</w:t>
            </w:r>
            <w:r>
              <w:rPr>
                <w:rFonts w:hint="eastAsia" w:ascii="Times New Roman" w:hAnsi="Times New Roman" w:cs="Times New Roman"/>
                <w:color w:val="auto"/>
                <w:kern w:val="0"/>
                <w:sz w:val="24"/>
                <w:szCs w:val="24"/>
                <w:lang w:eastAsia="zh-CN"/>
              </w:rPr>
              <w:t>项目</w:t>
            </w:r>
            <w:r>
              <w:rPr>
                <w:rFonts w:hint="eastAsia" w:ascii="Times New Roman" w:hAnsi="Times New Roman" w:cs="Times New Roman"/>
                <w:color w:val="auto"/>
                <w:kern w:val="0"/>
                <w:sz w:val="24"/>
                <w:szCs w:val="24"/>
                <w:lang w:val="en-US" w:eastAsia="zh-CN"/>
              </w:rPr>
              <w:t>依托</w:t>
            </w:r>
            <w:r>
              <w:rPr>
                <w:rFonts w:hint="eastAsia" w:cs="Times New Roman"/>
                <w:color w:val="auto"/>
                <w:sz w:val="24"/>
                <w:szCs w:val="24"/>
                <w:lang w:val="en-US" w:eastAsia="zh-CN"/>
              </w:rPr>
              <w:t>现有</w:t>
            </w:r>
            <w:r>
              <w:rPr>
                <w:rFonts w:hint="eastAsia" w:ascii="Times New Roman" w:hAnsi="Times New Roman" w:cs="Times New Roman"/>
                <w:color w:val="auto"/>
                <w:kern w:val="0"/>
                <w:sz w:val="24"/>
                <w:szCs w:val="24"/>
                <w:lang w:val="en-US" w:eastAsia="zh-CN"/>
              </w:rPr>
              <w:t>工程的</w:t>
            </w:r>
            <w:r>
              <w:rPr>
                <w:rFonts w:hint="eastAsia" w:ascii="Times New Roman" w:hAnsi="Times New Roman" w:cs="Times New Roman"/>
                <w:color w:val="auto"/>
                <w:kern w:val="0"/>
                <w:sz w:val="24"/>
                <w:szCs w:val="24"/>
                <w:lang w:eastAsia="zh-CN"/>
              </w:rPr>
              <w:t>危废暂存间，占地面积为</w:t>
            </w:r>
            <w:r>
              <w:rPr>
                <w:rFonts w:hint="eastAsia" w:ascii="Times New Roman" w:hAnsi="Times New Roman" w:cs="Times New Roman"/>
                <w:color w:val="auto"/>
                <w:kern w:val="0"/>
                <w:sz w:val="24"/>
                <w:szCs w:val="24"/>
                <w:lang w:val="en-US" w:eastAsia="zh-CN"/>
              </w:rPr>
              <w:t>30m</w:t>
            </w:r>
            <w:r>
              <w:rPr>
                <w:rFonts w:hint="eastAsia" w:ascii="Times New Roman" w:hAnsi="Times New Roman" w:cs="Times New Roman"/>
                <w:color w:val="auto"/>
                <w:kern w:val="0"/>
                <w:sz w:val="24"/>
                <w:szCs w:val="24"/>
                <w:vertAlign w:val="superscript"/>
                <w:lang w:val="en-US" w:eastAsia="zh-CN"/>
              </w:rPr>
              <w:t>2</w:t>
            </w:r>
            <w:r>
              <w:rPr>
                <w:rFonts w:hint="eastAsia" w:ascii="Times New Roman" w:hAnsi="Times New Roman" w:cs="Times New Roman"/>
                <w:color w:val="auto"/>
                <w:kern w:val="0"/>
                <w:sz w:val="24"/>
                <w:szCs w:val="24"/>
                <w:lang w:val="en-US" w:eastAsia="zh-CN"/>
              </w:rPr>
              <w:t>，地面已做防渗处理，防渗系数可以</w:t>
            </w:r>
            <w:r>
              <w:rPr>
                <w:rFonts w:hint="eastAsia" w:ascii="Times New Roman" w:hAnsi="Times New Roman" w:cs="Times New Roman"/>
                <w:color w:val="auto"/>
                <w:sz w:val="24"/>
                <w:szCs w:val="24"/>
                <w:lang w:eastAsia="zh-CN"/>
              </w:rPr>
              <w:t>满足</w:t>
            </w:r>
            <w:r>
              <w:rPr>
                <w:rFonts w:ascii="Times New Roman" w:hAnsi="Times New Roman" w:eastAsia="宋体" w:cs="Times New Roman"/>
                <w:color w:val="auto"/>
                <w:sz w:val="24"/>
                <w:szCs w:val="24"/>
              </w:rPr>
              <w:t>≤1×10</w:t>
            </w:r>
            <w:r>
              <w:rPr>
                <w:rFonts w:ascii="Times New Roman" w:hAnsi="Times New Roman" w:eastAsia="宋体" w:cs="Times New Roman"/>
                <w:color w:val="auto"/>
                <w:sz w:val="24"/>
                <w:szCs w:val="24"/>
                <w:vertAlign w:val="superscript"/>
              </w:rPr>
              <w:t>-</w:t>
            </w:r>
            <w:r>
              <w:rPr>
                <w:rFonts w:hint="eastAsia" w:ascii="Times New Roman" w:hAnsi="Times New Roman" w:cs="Times New Roman"/>
                <w:color w:val="auto"/>
                <w:sz w:val="24"/>
                <w:szCs w:val="24"/>
                <w:vertAlign w:val="superscript"/>
                <w:lang w:val="en-US" w:eastAsia="zh-CN"/>
              </w:rPr>
              <w:t>10</w:t>
            </w:r>
            <w:r>
              <w:rPr>
                <w:rFonts w:ascii="Times New Roman" w:hAnsi="Times New Roman" w:eastAsia="宋体" w:cs="Times New Roman"/>
                <w:color w:val="auto"/>
                <w:sz w:val="24"/>
                <w:szCs w:val="24"/>
              </w:rPr>
              <w:t>cm/s</w:t>
            </w:r>
            <w:r>
              <w:rPr>
                <w:rFonts w:hint="eastAsia" w:ascii="Times New Roman" w:hAnsi="Times New Roman" w:eastAsia="宋体" w:cs="Times New Roman"/>
                <w:color w:val="auto"/>
                <w:kern w:val="0"/>
                <w:sz w:val="24"/>
                <w:szCs w:val="24"/>
              </w:rPr>
              <w:t>。</w:t>
            </w:r>
            <w:r>
              <w:rPr>
                <w:rFonts w:hint="eastAsia" w:ascii="Times New Roman" w:hAnsi="Times New Roman" w:cs="Times New Roman"/>
                <w:color w:val="auto"/>
                <w:kern w:val="0"/>
                <w:sz w:val="24"/>
                <w:szCs w:val="24"/>
                <w:lang w:eastAsia="zh-CN"/>
              </w:rPr>
              <w:t>危险废物的贮存满足</w:t>
            </w:r>
            <w:r>
              <w:rPr>
                <w:rFonts w:hint="eastAsia"/>
                <w:color w:val="auto"/>
                <w:lang w:val="en-US" w:eastAsia="zh-CN"/>
              </w:rPr>
              <w:t>《危险废物贮存污染控制标准》(GB18597-2001)及其修改单(2013)的有关规定。</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Times New Roman" w:hAnsi="Times New Roman" w:eastAsia="宋体" w:cs="Times New Roman"/>
                <w:color w:val="auto"/>
                <w:sz w:val="24"/>
                <w:szCs w:val="24"/>
                <w:lang w:eastAsia="zh-CN"/>
              </w:rPr>
            </w:pPr>
            <w:r>
              <w:rPr>
                <w:rFonts w:hint="eastAsia" w:cs="Times New Roman"/>
                <w:color w:val="auto"/>
                <w:sz w:val="24"/>
                <w:szCs w:val="24"/>
                <w:lang w:eastAsia="zh-CN"/>
              </w:rPr>
              <w:t>扩建</w:t>
            </w:r>
            <w:r>
              <w:rPr>
                <w:rFonts w:ascii="Times New Roman" w:hAnsi="Times New Roman" w:eastAsia="宋体" w:cs="Times New Roman"/>
                <w:color w:val="auto"/>
                <w:sz w:val="24"/>
                <w:szCs w:val="24"/>
              </w:rPr>
              <w:t>项目产生的固体废物均能妥善处理，对环境产生的影响较小</w:t>
            </w:r>
            <w:r>
              <w:rPr>
                <w:rFonts w:hint="eastAsia" w:ascii="Times New Roman" w:hAnsi="Times New Roman" w:eastAsia="宋体" w:cs="Times New Roman"/>
                <w:color w:val="auto"/>
                <w:sz w:val="24"/>
                <w:szCs w:val="24"/>
                <w:lang w:eastAsia="zh-CN"/>
              </w:rPr>
              <w:t>。</w:t>
            </w:r>
          </w:p>
          <w:p>
            <w:pPr>
              <w:ind w:firstLine="482"/>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5、地下水</w:t>
            </w:r>
          </w:p>
          <w:p>
            <w:pPr>
              <w:ind w:firstLine="482"/>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5.1地下水环境影响分析</w:t>
            </w:r>
          </w:p>
          <w:p>
            <w:pPr>
              <w:spacing w:line="360" w:lineRule="auto"/>
              <w:ind w:firstLine="480" w:firstLineChars="200"/>
              <w:rPr>
                <w:rFonts w:hint="default" w:ascii="Times New Roman" w:hAnsi="Times New Roman" w:eastAsia="宋体" w:cs="Times New Roman"/>
                <w:bCs/>
                <w:color w:val="auto"/>
                <w:sz w:val="24"/>
                <w:lang w:val="en-US" w:eastAsia="zh-CN"/>
              </w:rPr>
            </w:pPr>
            <w:r>
              <w:rPr>
                <w:rFonts w:hint="eastAsia" w:cs="Times New Roman"/>
                <w:color w:val="auto"/>
                <w:sz w:val="24"/>
                <w:szCs w:val="24"/>
                <w:lang w:eastAsia="zh-CN"/>
              </w:rPr>
              <w:t>扩建</w:t>
            </w:r>
            <w:r>
              <w:rPr>
                <w:rFonts w:ascii="Times New Roman" w:hAnsi="Times New Roman" w:eastAsia="宋体" w:cs="Times New Roman"/>
                <w:bCs/>
                <w:color w:val="auto"/>
                <w:sz w:val="24"/>
              </w:rPr>
              <w:t>项目不在水源地保护区范围内，项目只有少量的</w:t>
            </w:r>
            <w:r>
              <w:rPr>
                <w:rFonts w:hint="eastAsia" w:cs="Times New Roman"/>
                <w:bCs/>
                <w:color w:val="auto"/>
                <w:sz w:val="24"/>
                <w:lang w:val="en-US" w:eastAsia="zh-CN"/>
              </w:rPr>
              <w:t>生产废水</w:t>
            </w:r>
            <w:r>
              <w:rPr>
                <w:rFonts w:ascii="Times New Roman" w:hAnsi="Times New Roman" w:eastAsia="宋体" w:cs="Times New Roman"/>
                <w:bCs/>
                <w:color w:val="auto"/>
                <w:sz w:val="24"/>
              </w:rPr>
              <w:t>产生，</w:t>
            </w:r>
            <w:r>
              <w:rPr>
                <w:rFonts w:hint="eastAsia" w:cs="Times New Roman"/>
                <w:bCs/>
                <w:color w:val="auto"/>
                <w:sz w:val="24"/>
                <w:lang w:val="en-US" w:eastAsia="zh-CN"/>
              </w:rPr>
              <w:t>废</w:t>
            </w:r>
            <w:r>
              <w:rPr>
                <w:rFonts w:ascii="Times New Roman" w:hAnsi="Times New Roman" w:eastAsia="宋体" w:cs="Times New Roman"/>
                <w:bCs/>
                <w:color w:val="auto"/>
                <w:sz w:val="24"/>
              </w:rPr>
              <w:t>水量较少，水质较简单。</w:t>
            </w:r>
          </w:p>
          <w:p>
            <w:pPr>
              <w:spacing w:line="360" w:lineRule="auto"/>
              <w:rPr>
                <w:rFonts w:ascii="Times New Roman" w:hAnsi="Times New Roman" w:eastAsia="宋体" w:cs="Times New Roman"/>
                <w:b/>
                <w:bCs/>
                <w:color w:val="auto"/>
                <w:sz w:val="24"/>
              </w:rPr>
            </w:pPr>
            <w:r>
              <w:rPr>
                <w:rFonts w:ascii="Times New Roman" w:hAnsi="Times New Roman" w:eastAsia="宋体" w:cs="Times New Roman"/>
                <w:b/>
                <w:bCs/>
                <w:color w:val="auto"/>
                <w:sz w:val="24"/>
              </w:rPr>
              <w:t>5.2地下水污染防治措施</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 xml:space="preserve">（1）源头控制措施 </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 xml:space="preserve">①实施清洁生产 </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实施清洁生产，是从源头上控制污染物产生和扩散的措施，本项目实施清洁生产措施，对</w:t>
            </w:r>
            <w:r>
              <w:rPr>
                <w:rFonts w:hint="eastAsia" w:ascii="Times New Roman" w:hAnsi="Times New Roman" w:eastAsia="宋体" w:cs="Times New Roman"/>
                <w:color w:val="auto"/>
                <w:sz w:val="24"/>
                <w:lang w:val="en-US" w:eastAsia="zh-CN"/>
              </w:rPr>
              <w:t>危废暂存间地面及墙裙</w:t>
            </w:r>
            <w:r>
              <w:rPr>
                <w:rFonts w:ascii="Times New Roman" w:hAnsi="Times New Roman" w:eastAsia="宋体" w:cs="Times New Roman"/>
                <w:color w:val="auto"/>
                <w:sz w:val="24"/>
              </w:rPr>
              <w:t>等采取严格的</w:t>
            </w:r>
            <w:r>
              <w:rPr>
                <w:rFonts w:hint="eastAsia" w:ascii="Times New Roman" w:hAnsi="Times New Roman" w:eastAsia="宋体" w:cs="Times New Roman"/>
                <w:color w:val="auto"/>
                <w:sz w:val="24"/>
                <w:lang w:val="en-US" w:eastAsia="zh-CN"/>
              </w:rPr>
              <w:t>防渗</w:t>
            </w:r>
            <w:r>
              <w:rPr>
                <w:rFonts w:ascii="Times New Roman" w:hAnsi="Times New Roman" w:eastAsia="宋体" w:cs="Times New Roman"/>
                <w:color w:val="auto"/>
                <w:sz w:val="24"/>
              </w:rPr>
              <w:t>措施，将污染物泄漏的环境风险事故降到最低限度。</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②防泄露（包括跑、冒、滴、漏）措施</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结合建设项目各生产设备、管线、构筑物的布局，划分污染防治区，提出不同区域的地面防渗方案，建立防渗设施的检漏系统。</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③被动控制，即末端控制措施，主要包括厂内污染区地面的防渗措施和泄漏、渗漏污染物收集措施，即在污染区地面进行防渗处理，防止洒落，并把滞留在地面的污染物收集起来。</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④应急响应措施：一旦发现地下水污染事故，立即启动应急预案、采取应急措施控制地下水污染，并使污染得到治理。</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（2）污染防治分区</w:t>
            </w:r>
          </w:p>
          <w:p>
            <w:pPr>
              <w:spacing w:line="360" w:lineRule="auto"/>
              <w:ind w:firstLine="453" w:firstLineChars="189"/>
              <w:rPr>
                <w:rFonts w:ascii="Times New Roman" w:hAnsi="Times New Roman" w:eastAsia="宋体" w:cs="Times New Roman"/>
                <w:b/>
                <w:bCs/>
                <w:color w:val="auto"/>
                <w:sz w:val="24"/>
              </w:rPr>
            </w:pPr>
            <w:r>
              <w:rPr>
                <w:rFonts w:ascii="Times New Roman" w:hAnsi="Times New Roman" w:eastAsia="宋体" w:cs="Times New Roman"/>
                <w:color w:val="auto"/>
                <w:sz w:val="24"/>
              </w:rPr>
              <w:t>地下水防护措施采取分区防护，对于暂存</w:t>
            </w:r>
            <w:r>
              <w:rPr>
                <w:rFonts w:hint="eastAsia" w:cs="Times New Roman"/>
                <w:color w:val="auto"/>
                <w:sz w:val="24"/>
                <w:lang w:val="en-US" w:eastAsia="zh-CN"/>
              </w:rPr>
              <w:t>设备循环冷却水</w:t>
            </w:r>
            <w:r>
              <w:rPr>
                <w:rFonts w:ascii="Times New Roman" w:hAnsi="Times New Roman" w:eastAsia="宋体" w:cs="Times New Roman"/>
                <w:color w:val="auto"/>
                <w:sz w:val="24"/>
              </w:rPr>
              <w:t>的</w:t>
            </w:r>
            <w:r>
              <w:rPr>
                <w:rFonts w:hint="eastAsia" w:cs="Times New Roman"/>
                <w:color w:val="auto"/>
                <w:sz w:val="24"/>
                <w:lang w:val="en-US" w:eastAsia="zh-CN"/>
              </w:rPr>
              <w:t>循环水池</w:t>
            </w:r>
            <w:r>
              <w:rPr>
                <w:rFonts w:hint="eastAsia" w:ascii="Times New Roman" w:hAnsi="Times New Roman" w:eastAsia="宋体" w:cs="Times New Roman"/>
                <w:color w:val="auto"/>
                <w:sz w:val="24"/>
                <w:lang w:val="en-US" w:eastAsia="zh-CN"/>
              </w:rPr>
              <w:t>和暂存一般固废的一般固废暂存</w:t>
            </w:r>
            <w:r>
              <w:rPr>
                <w:rFonts w:hint="eastAsia" w:cs="Times New Roman"/>
                <w:color w:val="auto"/>
                <w:sz w:val="24"/>
                <w:lang w:val="en-US" w:eastAsia="zh-CN"/>
              </w:rPr>
              <w:t>区</w:t>
            </w:r>
            <w:r>
              <w:rPr>
                <w:rFonts w:ascii="Times New Roman" w:hAnsi="Times New Roman" w:eastAsia="宋体" w:cs="Times New Roman"/>
                <w:color w:val="auto"/>
                <w:sz w:val="24"/>
              </w:rPr>
              <w:t>作为一般防渗区，</w:t>
            </w:r>
            <w:r>
              <w:rPr>
                <w:rFonts w:hint="eastAsia" w:ascii="Times New Roman" w:hAnsi="Times New Roman" w:eastAsia="宋体" w:cs="Times New Roman"/>
                <w:color w:val="auto"/>
                <w:sz w:val="24"/>
                <w:lang w:val="en-US" w:eastAsia="zh-CN"/>
              </w:rPr>
              <w:t>暂存危险废物的危废暂存间作为重点防渗，</w:t>
            </w:r>
            <w:r>
              <w:rPr>
                <w:rFonts w:ascii="Times New Roman" w:hAnsi="Times New Roman" w:eastAsia="宋体" w:cs="Times New Roman"/>
                <w:color w:val="auto"/>
                <w:sz w:val="24"/>
              </w:rPr>
              <w:t>其他区域作为简单防渗区进行管理。</w:t>
            </w:r>
          </w:p>
          <w:p>
            <w:pPr>
              <w:rPr>
                <w:rFonts w:hint="eastAsia" w:eastAsia="宋体"/>
                <w:color w:val="auto"/>
                <w:lang w:val="en-US" w:eastAsia="zh-CN"/>
              </w:rPr>
            </w:pPr>
            <w:r>
              <w:rPr>
                <w:rFonts w:hint="eastAsia"/>
                <w:color w:val="auto"/>
                <w:lang w:val="en-US" w:eastAsia="zh-CN"/>
              </w:rPr>
              <w:t>A.重点防渗</w:t>
            </w:r>
            <w:r>
              <w:rPr>
                <w:rFonts w:hint="eastAsia"/>
                <w:color w:val="auto"/>
                <w:lang w:eastAsia="zh-CN"/>
              </w:rPr>
              <w:t>区</w:t>
            </w:r>
          </w:p>
          <w:p>
            <w:pPr>
              <w:rPr>
                <w:color w:val="auto"/>
              </w:rPr>
            </w:pPr>
            <w:r>
              <w:rPr>
                <w:color w:val="auto"/>
              </w:rPr>
              <w:t>拟建项目的重点防渗区为危废暂存间，其防渗要求按照《危险废物贮存污染控制标准GB18597-2001》（2013年修订）执行，地面</w:t>
            </w:r>
            <w:r>
              <w:rPr>
                <w:rFonts w:hint="eastAsia"/>
                <w:color w:val="auto"/>
                <w:lang w:val="en-US" w:eastAsia="zh-CN"/>
              </w:rPr>
              <w:t>及墙裙</w:t>
            </w:r>
            <w:r>
              <w:rPr>
                <w:rFonts w:hint="eastAsia"/>
                <w:color w:val="auto"/>
              </w:rPr>
              <w:t>防渗</w:t>
            </w:r>
            <w:r>
              <w:rPr>
                <w:color w:val="auto"/>
              </w:rPr>
              <w:t>系数小于1×10</w:t>
            </w:r>
            <w:r>
              <w:rPr>
                <w:color w:val="auto"/>
                <w:vertAlign w:val="superscript"/>
              </w:rPr>
              <w:t>-</w:t>
            </w:r>
            <w:r>
              <w:rPr>
                <w:rFonts w:hint="eastAsia"/>
                <w:color w:val="auto"/>
                <w:vertAlign w:val="superscript"/>
              </w:rPr>
              <w:t>10</w:t>
            </w:r>
            <w:r>
              <w:rPr>
                <w:color w:val="auto"/>
              </w:rPr>
              <w:t>cm/s。危废暂存间四周需设置</w:t>
            </w:r>
            <w:r>
              <w:rPr>
                <w:rFonts w:hint="eastAsia"/>
                <w:color w:val="auto"/>
                <w:lang w:val="en-US" w:eastAsia="zh-CN"/>
              </w:rPr>
              <w:t>导流沟，危废暂存间内需设置一个集液池</w:t>
            </w:r>
            <w:r>
              <w:rPr>
                <w:color w:val="auto"/>
              </w:rPr>
              <w:t>。</w:t>
            </w:r>
          </w:p>
          <w:p>
            <w:pPr>
              <w:bidi w:val="0"/>
              <w:rPr>
                <w:color w:val="auto"/>
              </w:rPr>
            </w:pPr>
            <w:r>
              <w:rPr>
                <w:color w:val="auto"/>
              </w:rPr>
              <w:t>B</w:t>
            </w:r>
            <w:r>
              <w:rPr>
                <w:rFonts w:hint="eastAsia"/>
                <w:color w:val="auto"/>
                <w:lang w:eastAsia="zh-CN"/>
              </w:rPr>
              <w:t>.</w:t>
            </w:r>
            <w:r>
              <w:rPr>
                <w:color w:val="auto"/>
              </w:rPr>
              <w:t>一般防渗区</w:t>
            </w:r>
          </w:p>
          <w:p>
            <w:pPr>
              <w:bidi w:val="0"/>
              <w:rPr>
                <w:color w:val="auto"/>
              </w:rPr>
            </w:pPr>
            <w:bookmarkStart w:id="2" w:name="_Toc23763"/>
            <w:bookmarkStart w:id="3" w:name="_Toc491000586"/>
            <w:r>
              <w:rPr>
                <w:color w:val="auto"/>
              </w:rPr>
              <w:t>一般防渗区包括</w:t>
            </w:r>
            <w:r>
              <w:rPr>
                <w:rFonts w:hint="eastAsia"/>
                <w:color w:val="auto"/>
                <w:lang w:val="en-US" w:eastAsia="zh-CN"/>
              </w:rPr>
              <w:t>原料储库、</w:t>
            </w:r>
            <w:r>
              <w:rPr>
                <w:color w:val="auto"/>
              </w:rPr>
              <w:t>冷却循环</w:t>
            </w:r>
            <w:r>
              <w:rPr>
                <w:rFonts w:hint="eastAsia"/>
                <w:color w:val="auto"/>
                <w:lang w:eastAsia="zh-CN"/>
              </w:rPr>
              <w:t>水</w:t>
            </w:r>
            <w:r>
              <w:rPr>
                <w:color w:val="auto"/>
              </w:rPr>
              <w:t>池和一般固废暂存</w:t>
            </w:r>
            <w:r>
              <w:rPr>
                <w:rFonts w:hint="eastAsia"/>
                <w:color w:val="auto"/>
                <w:lang w:eastAsia="zh-CN"/>
              </w:rPr>
              <w:t>区</w:t>
            </w:r>
            <w:r>
              <w:rPr>
                <w:color w:val="auto"/>
              </w:rPr>
              <w:t>，其防渗</w:t>
            </w:r>
            <w:bookmarkEnd w:id="2"/>
            <w:bookmarkEnd w:id="3"/>
            <w:r>
              <w:rPr>
                <w:color w:val="auto"/>
              </w:rPr>
              <w:t>要求：地基为厚度大于1.5米的黏土防渗层，确保</w:t>
            </w:r>
            <w:r>
              <w:rPr>
                <w:rFonts w:hint="eastAsia"/>
                <w:color w:val="auto"/>
              </w:rPr>
              <w:t>防渗</w:t>
            </w:r>
            <w:r>
              <w:rPr>
                <w:color w:val="auto"/>
              </w:rPr>
              <w:t>系数</w:t>
            </w:r>
            <w:r>
              <w:rPr>
                <w:rFonts w:hint="eastAsia"/>
                <w:color w:val="auto"/>
                <w:lang w:eastAsia="zh-CN"/>
              </w:rPr>
              <w:t>＜</w:t>
            </w:r>
            <w:r>
              <w:rPr>
                <w:color w:val="auto"/>
              </w:rPr>
              <w:t>1×10</w:t>
            </w:r>
            <w:r>
              <w:rPr>
                <w:color w:val="auto"/>
                <w:vertAlign w:val="superscript"/>
              </w:rPr>
              <w:t>-7</w:t>
            </w:r>
            <w:r>
              <w:rPr>
                <w:color w:val="auto"/>
              </w:rPr>
              <w:t>cm/s。池底和池壁采用抗渗混凝土面层（包括钢筋混凝土、钢纤维混凝土）中掺水泥及渗透结晶型防水剂，抗渗等级不小于P8。</w:t>
            </w:r>
          </w:p>
          <w:p>
            <w:pPr>
              <w:bidi w:val="0"/>
              <w:rPr>
                <w:color w:val="auto"/>
              </w:rPr>
            </w:pPr>
            <w:r>
              <w:rPr>
                <w:color w:val="auto"/>
              </w:rPr>
              <w:t>C</w:t>
            </w:r>
            <w:r>
              <w:rPr>
                <w:rFonts w:hint="eastAsia"/>
                <w:color w:val="auto"/>
                <w:lang w:eastAsia="zh-CN"/>
              </w:rPr>
              <w:t>.</w:t>
            </w:r>
            <w:r>
              <w:rPr>
                <w:color w:val="auto"/>
              </w:rPr>
              <w:t>简单防渗区</w:t>
            </w:r>
          </w:p>
          <w:p>
            <w:pPr>
              <w:bidi w:val="0"/>
              <w:rPr>
                <w:color w:val="auto"/>
              </w:rPr>
            </w:pPr>
            <w:r>
              <w:rPr>
                <w:color w:val="auto"/>
              </w:rPr>
              <w:t>没有液体物料或污染物泄漏，不会对地下水环境造成污染的区域或部位。</w:t>
            </w:r>
            <w:r>
              <w:rPr>
                <w:rFonts w:hint="eastAsia"/>
                <w:color w:val="auto"/>
                <w:lang w:eastAsia="zh-CN"/>
              </w:rPr>
              <w:t>办公生活区、道路等区域</w:t>
            </w:r>
            <w:r>
              <w:rPr>
                <w:rFonts w:hint="eastAsia"/>
                <w:color w:val="auto"/>
                <w:lang w:val="en-US" w:eastAsia="zh-CN"/>
              </w:rPr>
              <w:t>做一般防渗的区域</w:t>
            </w:r>
            <w:r>
              <w:rPr>
                <w:color w:val="auto"/>
              </w:rPr>
              <w:t>进行一般水泥硬化处理。</w:t>
            </w:r>
          </w:p>
          <w:p>
            <w:pPr>
              <w:bidi w:val="0"/>
              <w:rPr>
                <w:b/>
                <w:bCs/>
                <w:color w:val="auto"/>
              </w:rPr>
            </w:pPr>
            <w:r>
              <w:rPr>
                <w:b/>
                <w:bCs/>
                <w:color w:val="auto"/>
              </w:rPr>
              <w:t>6、土壤</w:t>
            </w:r>
          </w:p>
          <w:p>
            <w:pPr>
              <w:spacing w:line="360" w:lineRule="auto"/>
              <w:ind w:firstLine="480"/>
              <w:rPr>
                <w:rFonts w:ascii="Times New Roman" w:hAnsi="Times New Roman" w:eastAsia="宋体" w:cs="Times New Roman"/>
                <w:b/>
                <w:color w:val="auto"/>
                <w:kern w:val="44"/>
                <w:sz w:val="24"/>
              </w:rPr>
            </w:pPr>
            <w:r>
              <w:rPr>
                <w:rFonts w:ascii="Times New Roman" w:hAnsi="Times New Roman" w:eastAsia="宋体" w:cs="Times New Roman"/>
                <w:b/>
                <w:color w:val="auto"/>
                <w:kern w:val="44"/>
                <w:sz w:val="24"/>
              </w:rPr>
              <w:t>6.1 土壤环境影响分析</w:t>
            </w:r>
          </w:p>
          <w:p>
            <w:pPr>
              <w:adjustRightInd w:val="0"/>
              <w:snapToGrid w:val="0"/>
              <w:spacing w:line="360" w:lineRule="auto"/>
              <w:ind w:firstLine="480" w:firstLineChars="200"/>
              <w:rPr>
                <w:rFonts w:ascii="Times New Roman" w:hAnsi="Times New Roman" w:eastAsia="宋体" w:cs="Times New Roman"/>
                <w:color w:val="auto"/>
                <w:sz w:val="24"/>
              </w:rPr>
            </w:pPr>
            <w:r>
              <w:rPr>
                <w:rFonts w:hint="eastAsia" w:cs="Times New Roman"/>
                <w:color w:val="auto"/>
                <w:sz w:val="24"/>
                <w:szCs w:val="24"/>
                <w:lang w:eastAsia="zh-CN"/>
              </w:rPr>
              <w:t>扩建</w:t>
            </w:r>
            <w:r>
              <w:rPr>
                <w:rFonts w:ascii="Times New Roman" w:hAnsi="Times New Roman" w:eastAsia="宋体" w:cs="Times New Roman"/>
                <w:color w:val="auto"/>
                <w:sz w:val="24"/>
              </w:rPr>
              <w:t>项目生产过程中排放的废气主要为颗粒物，经封闭车间</w:t>
            </w:r>
            <w:r>
              <w:rPr>
                <w:rFonts w:hint="eastAsia" w:cs="Times New Roman"/>
                <w:color w:val="auto"/>
                <w:sz w:val="24"/>
                <w:lang w:val="en-US" w:eastAsia="zh-CN"/>
              </w:rPr>
              <w:t>+水喷淋塔处理</w:t>
            </w:r>
            <w:r>
              <w:rPr>
                <w:rFonts w:ascii="Times New Roman" w:hAnsi="Times New Roman" w:eastAsia="宋体" w:cs="Times New Roman"/>
                <w:color w:val="auto"/>
                <w:sz w:val="24"/>
              </w:rPr>
              <w:t>后，排放量较少，大气沉降对土壤影响</w:t>
            </w:r>
            <w:r>
              <w:rPr>
                <w:rFonts w:hint="eastAsia" w:ascii="Times New Roman" w:hAnsi="Times New Roman" w:eastAsia="宋体" w:cs="Times New Roman"/>
                <w:color w:val="auto"/>
                <w:sz w:val="24"/>
                <w:lang w:val="en-US" w:eastAsia="zh-CN"/>
              </w:rPr>
              <w:t>较</w:t>
            </w:r>
            <w:r>
              <w:rPr>
                <w:rFonts w:ascii="Times New Roman" w:hAnsi="Times New Roman" w:eastAsia="宋体" w:cs="Times New Roman"/>
                <w:color w:val="auto"/>
                <w:sz w:val="24"/>
              </w:rPr>
              <w:t>小；</w:t>
            </w:r>
            <w:r>
              <w:rPr>
                <w:rFonts w:hint="eastAsia" w:cs="Times New Roman"/>
                <w:color w:val="auto"/>
                <w:sz w:val="24"/>
                <w:szCs w:val="24"/>
                <w:lang w:eastAsia="zh-CN"/>
              </w:rPr>
              <w:t>扩建</w:t>
            </w:r>
            <w:r>
              <w:rPr>
                <w:rFonts w:ascii="Times New Roman" w:hAnsi="Times New Roman" w:eastAsia="宋体" w:cs="Times New Roman"/>
                <w:color w:val="auto"/>
                <w:sz w:val="24"/>
              </w:rPr>
              <w:t>项目废水主要为</w:t>
            </w:r>
            <w:r>
              <w:rPr>
                <w:rFonts w:hint="eastAsia" w:cs="Times New Roman"/>
                <w:color w:val="auto"/>
                <w:sz w:val="24"/>
                <w:lang w:val="en-US" w:eastAsia="zh-CN"/>
              </w:rPr>
              <w:t>设备循环冷却水池定期排水和水喷淋塔排水，排水水质较为简单，用作厂区洒水抑尘</w:t>
            </w:r>
            <w:r>
              <w:rPr>
                <w:rFonts w:ascii="Times New Roman" w:hAnsi="Times New Roman" w:eastAsia="宋体" w:cs="Times New Roman"/>
                <w:color w:val="auto"/>
                <w:sz w:val="24"/>
              </w:rPr>
              <w:t>。因此在正常工况下本项目不会对土壤环境造成影响。</w:t>
            </w:r>
          </w:p>
          <w:p>
            <w:pPr>
              <w:spacing w:line="360" w:lineRule="auto"/>
              <w:ind w:firstLine="480"/>
              <w:rPr>
                <w:rFonts w:ascii="Times New Roman" w:hAnsi="Times New Roman" w:eastAsia="宋体" w:cs="Times New Roman"/>
                <w:b/>
                <w:color w:val="auto"/>
                <w:kern w:val="44"/>
                <w:sz w:val="24"/>
              </w:rPr>
            </w:pPr>
            <w:r>
              <w:rPr>
                <w:rFonts w:ascii="Times New Roman" w:hAnsi="Times New Roman" w:eastAsia="宋体" w:cs="Times New Roman"/>
                <w:b/>
                <w:color w:val="auto"/>
                <w:kern w:val="44"/>
                <w:sz w:val="24"/>
              </w:rPr>
              <w:t>6.2土壤污染防治措施</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（1）源头控制措施</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根据企业的营运计划，每天对厂区内各设施进行巡视，发现问题及时检修，避免事故发生；本项目均为一般防渗区，企业在建设期应对防渗区按照相关要求做好防渗工作，避免垂直入渗等事故发生。</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（2）过程防控措施</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根据行业特点与占地范围内的土壤特性，按照相关技术要求采取过程阻断、污染物削减和分区防控措施，具体如下。</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1）根据企业的营运计划，每天对</w:t>
            </w:r>
            <w:r>
              <w:rPr>
                <w:rFonts w:hint="eastAsia" w:cs="Times New Roman"/>
                <w:color w:val="auto"/>
                <w:sz w:val="24"/>
                <w:lang w:val="en-US" w:eastAsia="zh-CN"/>
              </w:rPr>
              <w:t>暂存设备循环冷却水的循环水池</w:t>
            </w:r>
            <w:r>
              <w:rPr>
                <w:rFonts w:ascii="Times New Roman" w:hAnsi="Times New Roman" w:eastAsia="宋体" w:cs="Times New Roman"/>
                <w:color w:val="auto"/>
                <w:sz w:val="24"/>
              </w:rPr>
              <w:t>进行巡视，一旦发生事故状，立即停止生产。</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2）一般防渗区域应做好防渗层的检查维修工作，及时对破损的管道进行修补。污水管道均须确保与天然土壤隔离，不会通过裸露区渗入到土壤中，尽可能避免对土壤环境造成不利影响。</w:t>
            </w:r>
          </w:p>
          <w:p>
            <w:pPr>
              <w:bidi w:val="0"/>
              <w:spacing w:line="360" w:lineRule="auto"/>
              <w:ind w:left="0" w:leftChars="0" w:firstLine="482" w:firstLineChars="200"/>
              <w:rPr>
                <w:rFonts w:hint="default" w:ascii="Times New Roman" w:hAnsi="Times New Roman" w:eastAsia="宋体" w:cs="Times New Roman"/>
                <w:b/>
                <w:bCs/>
                <w:color w:val="auto"/>
                <w:sz w:val="24"/>
                <w:szCs w:val="22"/>
                <w:lang w:val="en-US" w:eastAsia="zh-CN"/>
              </w:rPr>
            </w:pPr>
            <w:r>
              <w:rPr>
                <w:rFonts w:hint="eastAsia" w:ascii="Times New Roman" w:hAnsi="Times New Roman" w:cs="Times New Roman"/>
                <w:b/>
                <w:bCs/>
                <w:color w:val="auto"/>
                <w:sz w:val="24"/>
                <w:szCs w:val="22"/>
                <w:lang w:val="en-US" w:eastAsia="zh-CN"/>
              </w:rPr>
              <w:t>7</w:t>
            </w:r>
            <w:r>
              <w:rPr>
                <w:rFonts w:hint="eastAsia" w:ascii="Times New Roman" w:hAnsi="Times New Roman" w:eastAsia="宋体" w:cs="Times New Roman"/>
                <w:b/>
                <w:bCs/>
                <w:color w:val="auto"/>
                <w:sz w:val="24"/>
                <w:szCs w:val="22"/>
                <w:lang w:val="en-US" w:eastAsia="zh-CN"/>
              </w:rPr>
              <w:t>、环境风险</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kern w:val="0"/>
                <w:sz w:val="24"/>
                <w:szCs w:val="20"/>
                <w:lang w:val="en-US" w:eastAsia="zh-CN" w:bidi="ar-SA"/>
              </w:rPr>
            </w:pPr>
            <w:bookmarkStart w:id="4" w:name="_Toc7407"/>
            <w:bookmarkStart w:id="5" w:name="_Toc34512929"/>
            <w:bookmarkStart w:id="6" w:name="_Toc9353016"/>
            <w:r>
              <w:rPr>
                <w:rFonts w:hint="eastAsia" w:ascii="Times New Roman" w:hAnsi="Times New Roman" w:cs="Times New Roman"/>
                <w:b/>
                <w:bCs/>
                <w:color w:val="auto"/>
                <w:kern w:val="0"/>
                <w:sz w:val="24"/>
                <w:szCs w:val="20"/>
                <w:lang w:val="en-US" w:eastAsia="zh-CN" w:bidi="ar-SA"/>
              </w:rPr>
              <w:t>7</w:t>
            </w:r>
            <w:r>
              <w:rPr>
                <w:rFonts w:hint="eastAsia" w:ascii="Times New Roman" w:hAnsi="Times New Roman" w:eastAsia="宋体" w:cs="Times New Roman"/>
                <w:b/>
                <w:bCs/>
                <w:color w:val="auto"/>
                <w:kern w:val="0"/>
                <w:sz w:val="24"/>
                <w:szCs w:val="20"/>
                <w:lang w:val="en-US" w:eastAsia="zh-CN" w:bidi="ar-SA"/>
              </w:rPr>
              <w:t>.1</w:t>
            </w:r>
            <w:r>
              <w:rPr>
                <w:rFonts w:hint="default" w:ascii="Times New Roman" w:hAnsi="Times New Roman" w:eastAsia="宋体" w:cs="Times New Roman"/>
                <w:b/>
                <w:bCs/>
                <w:color w:val="auto"/>
                <w:kern w:val="0"/>
                <w:sz w:val="24"/>
                <w:szCs w:val="20"/>
                <w:lang w:val="en-US" w:eastAsia="zh-CN" w:bidi="ar-SA"/>
              </w:rPr>
              <w:t>环境风险潜势初判</w:t>
            </w:r>
            <w:bookmarkEnd w:id="4"/>
            <w:bookmarkEnd w:id="5"/>
            <w:bookmarkEnd w:id="6"/>
          </w:p>
          <w:p>
            <w:pPr>
              <w:keepNext/>
              <w:keepLines/>
              <w:spacing w:line="360" w:lineRule="auto"/>
              <w:ind w:firstLine="480" w:firstLineChars="200"/>
              <w:outlineLvl w:val="3"/>
              <w:rPr>
                <w:rFonts w:hint="eastAsia" w:ascii="Times New Roman" w:hAnsi="Times New Roman" w:eastAsia="宋体" w:cs="Times New Roman"/>
                <w:b w:val="0"/>
                <w:bCs w:val="0"/>
                <w:color w:val="auto"/>
                <w:sz w:val="24"/>
                <w:szCs w:val="28"/>
                <w:lang w:eastAsia="zh-CN"/>
              </w:rPr>
            </w:pPr>
            <w:r>
              <w:rPr>
                <w:rFonts w:hint="eastAsia" w:cs="Times New Roman"/>
                <w:b w:val="0"/>
                <w:bCs w:val="0"/>
                <w:color w:val="auto"/>
                <w:sz w:val="24"/>
                <w:szCs w:val="28"/>
                <w:lang w:val="en-US" w:eastAsia="zh-CN"/>
              </w:rPr>
              <w:t>本</w:t>
            </w:r>
            <w:r>
              <w:rPr>
                <w:rFonts w:hint="eastAsia" w:ascii="Times New Roman" w:hAnsi="Times New Roman" w:cs="Times New Roman"/>
                <w:b w:val="0"/>
                <w:bCs w:val="0"/>
                <w:color w:val="auto"/>
                <w:sz w:val="24"/>
                <w:szCs w:val="28"/>
                <w:lang w:eastAsia="zh-CN"/>
              </w:rPr>
              <w:t>项目</w:t>
            </w:r>
            <w:r>
              <w:rPr>
                <w:rFonts w:hint="eastAsia" w:cs="Times New Roman"/>
                <w:b w:val="0"/>
                <w:bCs w:val="0"/>
                <w:color w:val="auto"/>
                <w:sz w:val="24"/>
                <w:szCs w:val="28"/>
                <w:lang w:val="en-US" w:eastAsia="zh-CN"/>
              </w:rPr>
              <w:t>设备维修及养护过程产生的废润滑油</w:t>
            </w:r>
            <w:r>
              <w:rPr>
                <w:rFonts w:hint="eastAsia" w:ascii="Times New Roman" w:hAnsi="Times New Roman" w:cs="Times New Roman"/>
                <w:b w:val="0"/>
                <w:bCs w:val="0"/>
                <w:color w:val="auto"/>
                <w:sz w:val="24"/>
                <w:szCs w:val="28"/>
                <w:lang w:eastAsia="zh-CN"/>
              </w:rPr>
              <w:t>。</w:t>
            </w:r>
          </w:p>
          <w:p>
            <w:pPr>
              <w:keepNext/>
              <w:keepLines/>
              <w:spacing w:line="360" w:lineRule="auto"/>
              <w:ind w:firstLine="480" w:firstLineChars="200"/>
              <w:outlineLvl w:val="3"/>
              <w:rPr>
                <w:rFonts w:ascii="Times New Roman" w:hAnsi="Times New Roman" w:eastAsia="宋体" w:cs="Times New Roman"/>
                <w:b w:val="0"/>
                <w:bCs w:val="0"/>
                <w:color w:val="auto"/>
                <w:sz w:val="24"/>
                <w:szCs w:val="28"/>
              </w:rPr>
            </w:pPr>
            <w:r>
              <w:rPr>
                <w:rFonts w:hint="eastAsia" w:ascii="Times New Roman" w:hAnsi="Times New Roman" w:eastAsia="宋体" w:cs="Times New Roman"/>
                <w:b w:val="0"/>
                <w:bCs w:val="0"/>
                <w:color w:val="auto"/>
                <w:sz w:val="24"/>
                <w:szCs w:val="28"/>
                <w:lang w:eastAsia="zh-CN"/>
              </w:rPr>
              <w:t>（</w:t>
            </w:r>
            <w:r>
              <w:rPr>
                <w:rFonts w:hint="eastAsia" w:ascii="Times New Roman" w:hAnsi="Times New Roman" w:eastAsia="宋体" w:cs="Times New Roman"/>
                <w:b w:val="0"/>
                <w:bCs w:val="0"/>
                <w:color w:val="auto"/>
                <w:sz w:val="24"/>
                <w:szCs w:val="28"/>
                <w:lang w:val="en-US" w:eastAsia="zh-CN"/>
              </w:rPr>
              <w:t>1</w:t>
            </w:r>
            <w:r>
              <w:rPr>
                <w:rFonts w:hint="eastAsia" w:ascii="Times New Roman" w:hAnsi="Times New Roman" w:eastAsia="宋体" w:cs="Times New Roman"/>
                <w:b w:val="0"/>
                <w:bCs w:val="0"/>
                <w:color w:val="auto"/>
                <w:sz w:val="24"/>
                <w:szCs w:val="28"/>
                <w:lang w:eastAsia="zh-CN"/>
              </w:rPr>
              <w:t>）</w:t>
            </w:r>
            <w:r>
              <w:rPr>
                <w:rFonts w:ascii="Times New Roman" w:hAnsi="Times New Roman" w:eastAsia="宋体" w:cs="Times New Roman"/>
                <w:b w:val="0"/>
                <w:bCs w:val="0"/>
                <w:color w:val="auto"/>
                <w:sz w:val="24"/>
                <w:szCs w:val="28"/>
              </w:rPr>
              <w:t>危险物质数量与临界量比值（Q）</w:t>
            </w:r>
          </w:p>
          <w:p>
            <w:pPr>
              <w:spacing w:line="360" w:lineRule="auto"/>
              <w:ind w:firstLine="480" w:firstLineChars="200"/>
              <w:rPr>
                <w:rFonts w:ascii="Times New Roman" w:hAnsi="Times New Roman" w:eastAsia="宋体" w:cs="Times New Roman"/>
                <w:color w:val="auto"/>
                <w:sz w:val="24"/>
                <w:szCs w:val="22"/>
              </w:rPr>
            </w:pPr>
            <w:r>
              <w:rPr>
                <w:rFonts w:ascii="Times New Roman" w:hAnsi="Times New Roman" w:eastAsia="宋体" w:cs="Times New Roman"/>
                <w:color w:val="auto"/>
                <w:sz w:val="24"/>
                <w:szCs w:val="22"/>
              </w:rPr>
              <w:t>根据《建设项目环境风险评价技术导则》（HJ169-2018）附录C，当存在多种危险物质时，按下式计算物质总量与其临界量的比值（Q）：</w:t>
            </w:r>
          </w:p>
          <w:p>
            <w:pPr>
              <w:spacing w:line="360" w:lineRule="auto"/>
              <w:ind w:firstLine="0" w:firstLineChars="0"/>
              <w:jc w:val="center"/>
              <w:rPr>
                <w:rFonts w:ascii="Times New Roman" w:hAnsi="Times New Roman" w:eastAsia="宋体" w:cs="Times New Roman"/>
                <w:color w:val="auto"/>
                <w:sz w:val="24"/>
                <w:szCs w:val="24"/>
              </w:rPr>
            </w:pPr>
            <m:oMathPara>
              <m:oMath>
                <m:r>
                  <m:rPr>
                    <m:sty m:val="p"/>
                  </m:rPr>
                  <w:rPr>
                    <w:rFonts w:hint="default" w:ascii="Cambria Math" w:hAnsi="Cambria Math" w:eastAsia="宋体" w:cs="Times New Roman"/>
                    <w:color w:val="auto"/>
                    <w:sz w:val="24"/>
                  </w:rPr>
                  <m:t>Q=</m:t>
                </m:r>
                <m:f>
                  <m:fPr>
                    <m:ctrlPr>
                      <w:rPr>
                        <w:rFonts w:hint="default" w:ascii="Cambria Math" w:hAnsi="Cambria Math" w:eastAsia="宋体" w:cs="Times New Roman"/>
                        <w:color w:val="auto"/>
                        <w:sz w:val="24"/>
                      </w:rPr>
                    </m:ctrlPr>
                  </m:fPr>
                  <m:num>
                    <m:sSub>
                      <m:sSubPr>
                        <m:ctrlPr>
                          <w:rPr>
                            <w:rFonts w:hint="default" w:ascii="Cambria Math" w:hAnsi="Cambria Math" w:eastAsia="宋体" w:cs="Times New Roman"/>
                            <w:color w:val="auto"/>
                            <w:sz w:val="24"/>
                          </w:rPr>
                        </m:ctrlPr>
                      </m:sSubPr>
                      <m:e>
                        <m:r>
                          <m:rPr>
                            <m:sty m:val="p"/>
                          </m:rPr>
                          <w:rPr>
                            <w:rFonts w:hint="default" w:ascii="Cambria Math" w:hAnsi="Cambria Math" w:eastAsia="宋体" w:cs="Times New Roman"/>
                            <w:color w:val="auto"/>
                            <w:sz w:val="24"/>
                          </w:rPr>
                          <m:t>q</m:t>
                        </m:r>
                        <m:ctrlPr>
                          <w:rPr>
                            <w:rFonts w:hint="default" w:ascii="Cambria Math" w:hAnsi="Cambria Math" w:eastAsia="宋体" w:cs="Times New Roman"/>
                            <w:color w:val="auto"/>
                            <w:sz w:val="24"/>
                          </w:rPr>
                        </m:ctrlPr>
                      </m:e>
                      <m:sub>
                        <m:r>
                          <m:rPr>
                            <m:sty m:val="p"/>
                          </m:rPr>
                          <w:rPr>
                            <w:rFonts w:hint="default" w:ascii="Cambria Math" w:hAnsi="Cambria Math" w:eastAsia="宋体" w:cs="Times New Roman"/>
                            <w:color w:val="auto"/>
                            <w:sz w:val="24"/>
                          </w:rPr>
                          <m:t>1</m:t>
                        </m:r>
                        <m:ctrlPr>
                          <w:rPr>
                            <w:rFonts w:hint="default" w:ascii="Cambria Math" w:hAnsi="Cambria Math" w:eastAsia="宋体" w:cs="Times New Roman"/>
                            <w:color w:val="auto"/>
                            <w:sz w:val="24"/>
                          </w:rPr>
                        </m:ctrlPr>
                      </m:sub>
                    </m:sSub>
                    <m:ctrlPr>
                      <w:rPr>
                        <w:rFonts w:hint="default" w:ascii="Cambria Math" w:hAnsi="Cambria Math" w:eastAsia="宋体" w:cs="Times New Roman"/>
                        <w:color w:val="auto"/>
                        <w:sz w:val="24"/>
                      </w:rPr>
                    </m:ctrlPr>
                  </m:num>
                  <m:den>
                    <m:sSub>
                      <m:sSubPr>
                        <m:ctrlPr>
                          <w:rPr>
                            <w:rFonts w:hint="default" w:ascii="Cambria Math" w:hAnsi="Cambria Math" w:eastAsia="宋体" w:cs="Times New Roman"/>
                            <w:color w:val="auto"/>
                            <w:sz w:val="24"/>
                          </w:rPr>
                        </m:ctrlPr>
                      </m:sSubPr>
                      <m:e>
                        <m:r>
                          <m:rPr>
                            <m:sty m:val="p"/>
                          </m:rPr>
                          <w:rPr>
                            <w:rFonts w:hint="default" w:ascii="Cambria Math" w:hAnsi="Cambria Math" w:eastAsia="宋体" w:cs="Times New Roman"/>
                            <w:color w:val="auto"/>
                            <w:sz w:val="24"/>
                          </w:rPr>
                          <m:t>Q</m:t>
                        </m:r>
                        <m:ctrlPr>
                          <w:rPr>
                            <w:rFonts w:hint="default" w:ascii="Cambria Math" w:hAnsi="Cambria Math" w:eastAsia="宋体" w:cs="Times New Roman"/>
                            <w:color w:val="auto"/>
                            <w:sz w:val="24"/>
                          </w:rPr>
                        </m:ctrlPr>
                      </m:e>
                      <m:sub>
                        <m:r>
                          <m:rPr>
                            <m:sty m:val="p"/>
                          </m:rPr>
                          <w:rPr>
                            <w:rFonts w:hint="default" w:ascii="Cambria Math" w:hAnsi="Cambria Math" w:eastAsia="宋体" w:cs="Times New Roman"/>
                            <w:color w:val="auto"/>
                            <w:sz w:val="24"/>
                          </w:rPr>
                          <m:t>1</m:t>
                        </m:r>
                        <m:ctrlPr>
                          <w:rPr>
                            <w:rFonts w:hint="default" w:ascii="Cambria Math" w:hAnsi="Cambria Math" w:eastAsia="宋体" w:cs="Times New Roman"/>
                            <w:color w:val="auto"/>
                            <w:sz w:val="24"/>
                          </w:rPr>
                        </m:ctrlPr>
                      </m:sub>
                    </m:sSub>
                    <m:ctrlPr>
                      <w:rPr>
                        <w:rFonts w:hint="default" w:ascii="Cambria Math" w:hAnsi="Cambria Math" w:eastAsia="宋体" w:cs="Times New Roman"/>
                        <w:color w:val="auto"/>
                        <w:sz w:val="24"/>
                      </w:rPr>
                    </m:ctrlPr>
                  </m:den>
                </m:f>
                <m:r>
                  <m:rPr>
                    <m:sty m:val="p"/>
                  </m:rPr>
                  <w:rPr>
                    <w:rFonts w:hint="default" w:ascii="Cambria Math" w:hAnsi="Cambria Math" w:eastAsia="宋体" w:cs="Times New Roman"/>
                    <w:color w:val="auto"/>
                    <w:sz w:val="24"/>
                  </w:rPr>
                  <m:t>+</m:t>
                </m:r>
                <m:f>
                  <m:fPr>
                    <m:ctrlPr>
                      <w:rPr>
                        <w:rFonts w:hint="default" w:ascii="Cambria Math" w:hAnsi="Cambria Math" w:eastAsia="宋体" w:cs="Times New Roman"/>
                        <w:color w:val="auto"/>
                        <w:sz w:val="24"/>
                      </w:rPr>
                    </m:ctrlPr>
                  </m:fPr>
                  <m:num>
                    <m:sSub>
                      <m:sSubPr>
                        <m:ctrlPr>
                          <w:rPr>
                            <w:rFonts w:hint="default" w:ascii="Cambria Math" w:hAnsi="Cambria Math" w:eastAsia="宋体" w:cs="Times New Roman"/>
                            <w:color w:val="auto"/>
                            <w:sz w:val="24"/>
                          </w:rPr>
                        </m:ctrlPr>
                      </m:sSubPr>
                      <m:e>
                        <m:r>
                          <m:rPr>
                            <m:sty m:val="p"/>
                          </m:rPr>
                          <w:rPr>
                            <w:rFonts w:hint="default" w:ascii="Cambria Math" w:hAnsi="Cambria Math" w:eastAsia="宋体" w:cs="Times New Roman"/>
                            <w:color w:val="auto"/>
                            <w:sz w:val="24"/>
                          </w:rPr>
                          <m:t>q</m:t>
                        </m:r>
                        <m:ctrlPr>
                          <w:rPr>
                            <w:rFonts w:hint="default" w:ascii="Cambria Math" w:hAnsi="Cambria Math" w:eastAsia="宋体" w:cs="Times New Roman"/>
                            <w:color w:val="auto"/>
                            <w:sz w:val="24"/>
                          </w:rPr>
                        </m:ctrlPr>
                      </m:e>
                      <m:sub>
                        <m:r>
                          <m:rPr>
                            <m:sty m:val="p"/>
                          </m:rPr>
                          <w:rPr>
                            <w:rFonts w:hint="default" w:ascii="Cambria Math" w:hAnsi="Cambria Math" w:eastAsia="宋体" w:cs="Times New Roman"/>
                            <w:color w:val="auto"/>
                            <w:sz w:val="24"/>
                          </w:rPr>
                          <m:t>2</m:t>
                        </m:r>
                        <m:ctrlPr>
                          <w:rPr>
                            <w:rFonts w:hint="default" w:ascii="Cambria Math" w:hAnsi="Cambria Math" w:eastAsia="宋体" w:cs="Times New Roman"/>
                            <w:color w:val="auto"/>
                            <w:sz w:val="24"/>
                          </w:rPr>
                        </m:ctrlPr>
                      </m:sub>
                    </m:sSub>
                    <m:ctrlPr>
                      <w:rPr>
                        <w:rFonts w:hint="default" w:ascii="Cambria Math" w:hAnsi="Cambria Math" w:eastAsia="宋体" w:cs="Times New Roman"/>
                        <w:color w:val="auto"/>
                        <w:sz w:val="24"/>
                      </w:rPr>
                    </m:ctrlPr>
                  </m:num>
                  <m:den>
                    <m:sSub>
                      <m:sSubPr>
                        <m:ctrlPr>
                          <w:rPr>
                            <w:rFonts w:hint="default" w:ascii="Cambria Math" w:hAnsi="Cambria Math" w:eastAsia="宋体" w:cs="Times New Roman"/>
                            <w:color w:val="auto"/>
                            <w:sz w:val="24"/>
                          </w:rPr>
                        </m:ctrlPr>
                      </m:sSubPr>
                      <m:e>
                        <m:r>
                          <m:rPr>
                            <m:sty m:val="p"/>
                          </m:rPr>
                          <w:rPr>
                            <w:rFonts w:hint="default" w:ascii="Cambria Math" w:hAnsi="Cambria Math" w:eastAsia="宋体" w:cs="Times New Roman"/>
                            <w:color w:val="auto"/>
                            <w:sz w:val="24"/>
                          </w:rPr>
                          <m:t>Q</m:t>
                        </m:r>
                        <m:ctrlPr>
                          <w:rPr>
                            <w:rFonts w:hint="default" w:ascii="Cambria Math" w:hAnsi="Cambria Math" w:eastAsia="宋体" w:cs="Times New Roman"/>
                            <w:color w:val="auto"/>
                            <w:sz w:val="24"/>
                          </w:rPr>
                        </m:ctrlPr>
                      </m:e>
                      <m:sub>
                        <m:r>
                          <m:rPr>
                            <m:sty m:val="p"/>
                          </m:rPr>
                          <w:rPr>
                            <w:rFonts w:hint="default" w:ascii="Cambria Math" w:hAnsi="Cambria Math" w:eastAsia="宋体" w:cs="Times New Roman"/>
                            <w:color w:val="auto"/>
                            <w:sz w:val="24"/>
                          </w:rPr>
                          <m:t>2</m:t>
                        </m:r>
                        <m:ctrlPr>
                          <w:rPr>
                            <w:rFonts w:hint="default" w:ascii="Cambria Math" w:hAnsi="Cambria Math" w:eastAsia="宋体" w:cs="Times New Roman"/>
                            <w:color w:val="auto"/>
                            <w:sz w:val="24"/>
                          </w:rPr>
                        </m:ctrlPr>
                      </m:sub>
                    </m:sSub>
                    <m:ctrlPr>
                      <w:rPr>
                        <w:rFonts w:hint="default" w:ascii="Cambria Math" w:hAnsi="Cambria Math" w:eastAsia="宋体" w:cs="Times New Roman"/>
                        <w:color w:val="auto"/>
                        <w:sz w:val="24"/>
                      </w:rPr>
                    </m:ctrlPr>
                  </m:den>
                </m:f>
                <m:r>
                  <m:rPr>
                    <m:sty m:val="p"/>
                  </m:rPr>
                  <w:rPr>
                    <w:rFonts w:hint="default" w:ascii="Cambria Math" w:hAnsi="Cambria Math" w:eastAsia="宋体" w:cs="Times New Roman"/>
                    <w:color w:val="auto"/>
                    <w:sz w:val="24"/>
                  </w:rPr>
                  <m:t>+⋯</m:t>
                </m:r>
                <m:f>
                  <m:fPr>
                    <m:ctrlPr>
                      <w:rPr>
                        <w:rFonts w:hint="default" w:ascii="Cambria Math" w:hAnsi="Cambria Math" w:eastAsia="宋体" w:cs="Times New Roman"/>
                        <w:color w:val="auto"/>
                        <w:sz w:val="24"/>
                      </w:rPr>
                    </m:ctrlPr>
                  </m:fPr>
                  <m:num>
                    <m:sSub>
                      <m:sSubPr>
                        <m:ctrlPr>
                          <w:rPr>
                            <w:rFonts w:hint="default" w:ascii="Cambria Math" w:hAnsi="Cambria Math" w:eastAsia="宋体" w:cs="Times New Roman"/>
                            <w:color w:val="auto"/>
                            <w:sz w:val="24"/>
                          </w:rPr>
                        </m:ctrlPr>
                      </m:sSubPr>
                      <m:e>
                        <m:r>
                          <m:rPr>
                            <m:sty m:val="p"/>
                          </m:rPr>
                          <w:rPr>
                            <w:rFonts w:hint="default" w:ascii="Cambria Math" w:hAnsi="Cambria Math" w:eastAsia="宋体" w:cs="Times New Roman"/>
                            <w:color w:val="auto"/>
                            <w:sz w:val="24"/>
                          </w:rPr>
                          <m:t>q</m:t>
                        </m:r>
                        <m:ctrlPr>
                          <w:rPr>
                            <w:rFonts w:hint="default" w:ascii="Cambria Math" w:hAnsi="Cambria Math" w:eastAsia="宋体" w:cs="Times New Roman"/>
                            <w:color w:val="auto"/>
                            <w:sz w:val="24"/>
                          </w:rPr>
                        </m:ctrlPr>
                      </m:e>
                      <m:sub>
                        <m:r>
                          <m:rPr>
                            <m:sty m:val="p"/>
                          </m:rPr>
                          <w:rPr>
                            <w:rFonts w:hint="default" w:ascii="Cambria Math" w:hAnsi="Cambria Math" w:eastAsia="宋体" w:cs="Times New Roman"/>
                            <w:color w:val="auto"/>
                            <w:sz w:val="24"/>
                          </w:rPr>
                          <m:t>n</m:t>
                        </m:r>
                        <m:ctrlPr>
                          <w:rPr>
                            <w:rFonts w:hint="default" w:ascii="Cambria Math" w:hAnsi="Cambria Math" w:eastAsia="宋体" w:cs="Times New Roman"/>
                            <w:color w:val="auto"/>
                            <w:sz w:val="24"/>
                          </w:rPr>
                        </m:ctrlPr>
                      </m:sub>
                    </m:sSub>
                    <m:ctrlPr>
                      <w:rPr>
                        <w:rFonts w:hint="default" w:ascii="Cambria Math" w:hAnsi="Cambria Math" w:eastAsia="宋体" w:cs="Times New Roman"/>
                        <w:color w:val="auto"/>
                        <w:sz w:val="24"/>
                      </w:rPr>
                    </m:ctrlPr>
                  </m:num>
                  <m:den>
                    <m:sSub>
                      <m:sSubPr>
                        <m:ctrlPr>
                          <w:rPr>
                            <w:rFonts w:hint="default" w:ascii="Cambria Math" w:hAnsi="Cambria Math" w:eastAsia="宋体" w:cs="Times New Roman"/>
                            <w:color w:val="auto"/>
                            <w:sz w:val="24"/>
                          </w:rPr>
                        </m:ctrlPr>
                      </m:sSubPr>
                      <m:e>
                        <m:r>
                          <m:rPr>
                            <m:sty m:val="p"/>
                          </m:rPr>
                          <w:rPr>
                            <w:rFonts w:hint="default" w:ascii="Cambria Math" w:hAnsi="Cambria Math" w:eastAsia="宋体" w:cs="Times New Roman"/>
                            <w:color w:val="auto"/>
                            <w:sz w:val="24"/>
                          </w:rPr>
                          <m:t>Q</m:t>
                        </m:r>
                        <m:ctrlPr>
                          <w:rPr>
                            <w:rFonts w:hint="default" w:ascii="Cambria Math" w:hAnsi="Cambria Math" w:eastAsia="宋体" w:cs="Times New Roman"/>
                            <w:color w:val="auto"/>
                            <w:sz w:val="24"/>
                          </w:rPr>
                        </m:ctrlPr>
                      </m:e>
                      <m:sub>
                        <m:r>
                          <m:rPr>
                            <m:sty m:val="p"/>
                          </m:rPr>
                          <w:rPr>
                            <w:rFonts w:hint="default" w:ascii="Cambria Math" w:hAnsi="Cambria Math" w:eastAsia="宋体" w:cs="Times New Roman"/>
                            <w:color w:val="auto"/>
                            <w:sz w:val="24"/>
                          </w:rPr>
                          <m:t>n</m:t>
                        </m:r>
                        <m:ctrlPr>
                          <w:rPr>
                            <w:rFonts w:hint="default" w:ascii="Cambria Math" w:hAnsi="Cambria Math" w:eastAsia="宋体" w:cs="Times New Roman"/>
                            <w:color w:val="auto"/>
                            <w:sz w:val="24"/>
                          </w:rPr>
                        </m:ctrlPr>
                      </m:sub>
                    </m:sSub>
                    <m:ctrlPr>
                      <w:rPr>
                        <w:rFonts w:hint="default" w:ascii="Cambria Math" w:hAnsi="Cambria Math" w:eastAsia="宋体" w:cs="Times New Roman"/>
                        <w:color w:val="auto"/>
                        <w:sz w:val="24"/>
                      </w:rPr>
                    </m:ctrlPr>
                  </m:den>
                </m:f>
              </m:oMath>
            </m:oMathPara>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式中：</w:t>
            </w:r>
            <w:r>
              <w:rPr>
                <w:rFonts w:ascii="Times New Roman" w:hAnsi="Times New Roman" w:eastAsia="宋体" w:cs="Times New Roman"/>
                <w:i/>
                <w:color w:val="auto"/>
                <w:sz w:val="24"/>
                <w:szCs w:val="24"/>
              </w:rPr>
              <w:t>q</w:t>
            </w:r>
            <w:r>
              <w:rPr>
                <w:rFonts w:ascii="Times New Roman" w:hAnsi="Times New Roman" w:eastAsia="宋体" w:cs="Times New Roman"/>
                <w:i/>
                <w:color w:val="auto"/>
                <w:sz w:val="24"/>
                <w:szCs w:val="24"/>
                <w:vertAlign w:val="subscript"/>
              </w:rPr>
              <w:t>1</w:t>
            </w:r>
            <w:r>
              <w:rPr>
                <w:rFonts w:ascii="Times New Roman" w:hAnsi="Times New Roman" w:eastAsia="宋体" w:cs="Times New Roman"/>
                <w:i/>
                <w:color w:val="auto"/>
                <w:sz w:val="24"/>
                <w:szCs w:val="24"/>
              </w:rPr>
              <w:t>,q</w:t>
            </w:r>
            <w:r>
              <w:rPr>
                <w:rFonts w:ascii="Times New Roman" w:hAnsi="Times New Roman" w:eastAsia="宋体" w:cs="Times New Roman"/>
                <w:i/>
                <w:color w:val="auto"/>
                <w:sz w:val="24"/>
                <w:szCs w:val="24"/>
                <w:vertAlign w:val="subscript"/>
              </w:rPr>
              <w:t>2</w:t>
            </w:r>
            <w:r>
              <w:rPr>
                <w:rFonts w:ascii="Times New Roman" w:hAnsi="Times New Roman" w:eastAsia="宋体" w:cs="Times New Roman"/>
                <w:i/>
                <w:color w:val="auto"/>
                <w:sz w:val="24"/>
                <w:szCs w:val="24"/>
              </w:rPr>
              <w:t>,…q</w:t>
            </w:r>
            <w:r>
              <w:rPr>
                <w:rFonts w:ascii="Times New Roman" w:hAnsi="Times New Roman" w:eastAsia="宋体" w:cs="Times New Roman"/>
                <w:i/>
                <w:color w:val="auto"/>
                <w:sz w:val="24"/>
                <w:szCs w:val="24"/>
                <w:vertAlign w:val="subscript"/>
              </w:rPr>
              <w:t>n</w:t>
            </w:r>
            <w:r>
              <w:rPr>
                <w:rFonts w:ascii="Times New Roman" w:hAnsi="Times New Roman" w:eastAsia="宋体" w:cs="Times New Roman"/>
                <w:color w:val="auto"/>
                <w:sz w:val="24"/>
                <w:szCs w:val="24"/>
              </w:rPr>
              <w:t>—每种危险物质的最大存在量，t；</w:t>
            </w:r>
          </w:p>
          <w:p>
            <w:pPr>
              <w:spacing w:line="360" w:lineRule="auto"/>
              <w:ind w:firstLine="1200" w:firstLineChars="500"/>
              <w:rPr>
                <w:rFonts w:ascii="Times New Roman" w:hAnsi="Times New Roman" w:eastAsia="宋体" w:cs="Times New Roman"/>
                <w:color w:val="auto"/>
                <w:sz w:val="24"/>
                <w:szCs w:val="24"/>
              </w:rPr>
            </w:pPr>
            <w:r>
              <w:rPr>
                <w:rFonts w:ascii="Times New Roman" w:hAnsi="Times New Roman" w:eastAsia="宋体" w:cs="Times New Roman"/>
                <w:i/>
                <w:color w:val="auto"/>
                <w:sz w:val="24"/>
                <w:szCs w:val="24"/>
              </w:rPr>
              <w:t>Q</w:t>
            </w:r>
            <w:r>
              <w:rPr>
                <w:rFonts w:ascii="Times New Roman" w:hAnsi="Times New Roman" w:eastAsia="宋体" w:cs="Times New Roman"/>
                <w:i/>
                <w:color w:val="auto"/>
                <w:sz w:val="24"/>
                <w:szCs w:val="24"/>
                <w:vertAlign w:val="subscript"/>
              </w:rPr>
              <w:t>1</w:t>
            </w:r>
            <w:r>
              <w:rPr>
                <w:rFonts w:ascii="Times New Roman" w:hAnsi="Times New Roman" w:eastAsia="宋体" w:cs="Times New Roman"/>
                <w:i/>
                <w:color w:val="auto"/>
                <w:sz w:val="24"/>
                <w:szCs w:val="24"/>
              </w:rPr>
              <w:t>,Q</w:t>
            </w:r>
            <w:r>
              <w:rPr>
                <w:rFonts w:ascii="Times New Roman" w:hAnsi="Times New Roman" w:eastAsia="宋体" w:cs="Times New Roman"/>
                <w:i/>
                <w:color w:val="auto"/>
                <w:sz w:val="24"/>
                <w:szCs w:val="24"/>
                <w:vertAlign w:val="subscript"/>
              </w:rPr>
              <w:t>2</w:t>
            </w:r>
            <w:r>
              <w:rPr>
                <w:rFonts w:ascii="Times New Roman" w:hAnsi="Times New Roman" w:eastAsia="宋体" w:cs="Times New Roman"/>
                <w:i/>
                <w:color w:val="auto"/>
                <w:sz w:val="24"/>
                <w:szCs w:val="24"/>
              </w:rPr>
              <w:t>,…Q</w:t>
            </w:r>
            <w:r>
              <w:rPr>
                <w:rFonts w:ascii="Times New Roman" w:hAnsi="Times New Roman" w:eastAsia="宋体" w:cs="Times New Roman"/>
                <w:i/>
                <w:color w:val="auto"/>
                <w:sz w:val="24"/>
                <w:szCs w:val="24"/>
                <w:vertAlign w:val="subscript"/>
              </w:rPr>
              <w:t>n</w:t>
            </w:r>
            <w:r>
              <w:rPr>
                <w:rFonts w:ascii="Times New Roman" w:hAnsi="Times New Roman" w:eastAsia="宋体" w:cs="Times New Roman"/>
                <w:color w:val="auto"/>
                <w:sz w:val="24"/>
                <w:szCs w:val="24"/>
              </w:rPr>
              <w:t>—每种危险物质的临界量，t。</w:t>
            </w:r>
          </w:p>
          <w:p>
            <w:pPr>
              <w:spacing w:line="360" w:lineRule="auto"/>
              <w:ind w:firstLine="480" w:firstLineChars="200"/>
              <w:rPr>
                <w:rFonts w:ascii="Times New Roman" w:hAnsi="Times New Roman" w:eastAsia="宋体" w:cs="Times New Roman"/>
                <w:color w:val="auto"/>
                <w:sz w:val="24"/>
                <w:szCs w:val="22"/>
              </w:rPr>
            </w:pPr>
            <w:r>
              <w:rPr>
                <w:rFonts w:ascii="Times New Roman" w:hAnsi="Times New Roman" w:eastAsia="宋体" w:cs="Times New Roman"/>
                <w:color w:val="auto"/>
                <w:sz w:val="24"/>
                <w:szCs w:val="22"/>
              </w:rPr>
              <w:t>当Q＜1时，该项目环境风险潜势为Ⅰ。</w:t>
            </w:r>
          </w:p>
          <w:p>
            <w:pPr>
              <w:spacing w:line="360" w:lineRule="auto"/>
              <w:ind w:firstLine="480" w:firstLineChars="200"/>
              <w:rPr>
                <w:rFonts w:ascii="Times New Roman" w:hAnsi="Times New Roman" w:eastAsia="宋体" w:cs="Times New Roman"/>
                <w:color w:val="auto"/>
                <w:sz w:val="24"/>
                <w:szCs w:val="22"/>
              </w:rPr>
            </w:pPr>
            <w:r>
              <w:rPr>
                <w:rFonts w:ascii="Times New Roman" w:hAnsi="Times New Roman" w:eastAsia="宋体" w:cs="Times New Roman"/>
                <w:color w:val="auto"/>
                <w:sz w:val="24"/>
                <w:szCs w:val="22"/>
              </w:rPr>
              <w:t>当Q≥1时，将Q值划分为：（1）1≤Q＜10；（2）10≤Q＜100；（3）Q≥100。</w:t>
            </w:r>
          </w:p>
          <w:p>
            <w:pPr>
              <w:spacing w:line="360" w:lineRule="auto"/>
              <w:ind w:firstLine="480" w:firstLineChars="200"/>
              <w:rPr>
                <w:rFonts w:ascii="Times New Roman" w:hAnsi="Times New Roman" w:eastAsia="宋体" w:cs="Times New Roman"/>
                <w:color w:val="auto"/>
                <w:sz w:val="24"/>
                <w:szCs w:val="22"/>
              </w:rPr>
            </w:pPr>
            <w:r>
              <w:rPr>
                <w:rFonts w:hint="eastAsia" w:ascii="Times New Roman" w:hAnsi="Times New Roman" w:eastAsia="宋体" w:cs="Times New Roman"/>
                <w:color w:val="auto"/>
                <w:sz w:val="24"/>
                <w:szCs w:val="22"/>
                <w:lang w:val="en-US" w:eastAsia="zh-CN"/>
              </w:rPr>
              <w:t>拟建项目环境风险物质为</w:t>
            </w:r>
            <w:r>
              <w:rPr>
                <w:rFonts w:hint="eastAsia" w:ascii="Times New Roman" w:hAnsi="Times New Roman" w:cs="Times New Roman"/>
                <w:color w:val="auto"/>
                <w:sz w:val="24"/>
                <w:szCs w:val="22"/>
                <w:lang w:val="en-US" w:eastAsia="zh-CN"/>
              </w:rPr>
              <w:t>废机油</w:t>
            </w:r>
            <w:r>
              <w:rPr>
                <w:rFonts w:hint="eastAsia" w:ascii="Times New Roman" w:hAnsi="Times New Roman" w:eastAsia="宋体" w:cs="Times New Roman"/>
                <w:color w:val="auto"/>
                <w:sz w:val="24"/>
                <w:szCs w:val="22"/>
                <w:lang w:val="en-US" w:eastAsia="zh-CN"/>
              </w:rPr>
              <w:t>，</w:t>
            </w:r>
            <w:r>
              <w:rPr>
                <w:rFonts w:ascii="Times New Roman" w:hAnsi="Times New Roman" w:eastAsia="宋体" w:cs="Times New Roman"/>
                <w:color w:val="auto"/>
                <w:sz w:val="24"/>
                <w:szCs w:val="22"/>
              </w:rPr>
              <w:t>拟建项目危险物质数量与临界量比值（Q）计算结果见表</w:t>
            </w:r>
            <w:r>
              <w:rPr>
                <w:rFonts w:hint="eastAsia" w:cs="Times New Roman"/>
                <w:color w:val="auto"/>
                <w:sz w:val="24"/>
                <w:szCs w:val="22"/>
                <w:lang w:val="en-US" w:eastAsia="zh-CN"/>
              </w:rPr>
              <w:t>40</w:t>
            </w:r>
            <w:r>
              <w:rPr>
                <w:rFonts w:ascii="Times New Roman" w:hAnsi="Times New Roman" w:eastAsia="宋体" w:cs="Times New Roman"/>
                <w:color w:val="auto"/>
                <w:sz w:val="24"/>
                <w:szCs w:val="22"/>
              </w:rPr>
              <w:t>。</w:t>
            </w:r>
          </w:p>
          <w:p>
            <w:pPr>
              <w:spacing w:line="360" w:lineRule="auto"/>
              <w:ind w:firstLine="0" w:firstLineChars="0"/>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表</w:t>
            </w:r>
            <w:r>
              <w:rPr>
                <w:rFonts w:hint="eastAsia" w:cs="Times New Roman"/>
                <w:b/>
                <w:color w:val="auto"/>
                <w:sz w:val="24"/>
                <w:szCs w:val="24"/>
                <w:lang w:val="en-US" w:eastAsia="zh-CN"/>
              </w:rPr>
              <w:t xml:space="preserve">40 </w:t>
            </w:r>
            <w:r>
              <w:rPr>
                <w:rFonts w:ascii="Times New Roman" w:hAnsi="Times New Roman" w:eastAsia="宋体" w:cs="Times New Roman"/>
                <w:b/>
                <w:color w:val="auto"/>
                <w:sz w:val="24"/>
                <w:szCs w:val="24"/>
              </w:rPr>
              <w:t xml:space="preserve"> 拟建项目Q值确定表</w:t>
            </w:r>
          </w:p>
          <w:tbl>
            <w:tblPr>
              <w:tblStyle w:val="17"/>
              <w:tblW w:w="79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077"/>
              <w:gridCol w:w="1140"/>
              <w:gridCol w:w="1245"/>
              <w:gridCol w:w="1554"/>
              <w:gridCol w:w="2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46" w:type="dxa"/>
                  <w:noWrap w:val="0"/>
                  <w:vAlign w:val="center"/>
                </w:tcPr>
                <w:p>
                  <w:pPr>
                    <w:keepNext w:val="0"/>
                    <w:keepLines w:val="0"/>
                    <w:pageBreakBefore w:val="0"/>
                    <w:widowControl w:val="0"/>
                    <w:kinsoku/>
                    <w:wordWrap/>
                    <w:overflowPunct/>
                    <w:topLinePunct w:val="0"/>
                    <w:autoSpaceDE/>
                    <w:autoSpaceDN/>
                    <w:bidi w:val="0"/>
                    <w:snapToGrid w:val="0"/>
                    <w:spacing w:line="300" w:lineRule="auto"/>
                    <w:ind w:firstLine="0" w:firstLineChars="0"/>
                    <w:jc w:val="center"/>
                    <w:textAlignment w:val="auto"/>
                    <w:rPr>
                      <w:rFonts w:ascii="Times New Roman" w:hAnsi="Times New Roman" w:eastAsia="宋体" w:cs="Times New Roman"/>
                      <w:b/>
                      <w:bCs w:val="0"/>
                      <w:color w:val="auto"/>
                      <w:sz w:val="21"/>
                      <w:szCs w:val="21"/>
                    </w:rPr>
                  </w:pPr>
                  <w:r>
                    <w:rPr>
                      <w:rFonts w:ascii="Times New Roman" w:hAnsi="Times New Roman" w:eastAsia="宋体" w:cs="Times New Roman"/>
                      <w:b/>
                      <w:bCs w:val="0"/>
                      <w:color w:val="auto"/>
                      <w:sz w:val="21"/>
                      <w:szCs w:val="21"/>
                    </w:rPr>
                    <w:t>序号</w:t>
                  </w:r>
                </w:p>
              </w:tc>
              <w:tc>
                <w:tcPr>
                  <w:tcW w:w="1077" w:type="dxa"/>
                  <w:noWrap w:val="0"/>
                  <w:vAlign w:val="center"/>
                </w:tcPr>
                <w:p>
                  <w:pPr>
                    <w:keepNext w:val="0"/>
                    <w:keepLines w:val="0"/>
                    <w:pageBreakBefore w:val="0"/>
                    <w:widowControl w:val="0"/>
                    <w:kinsoku/>
                    <w:wordWrap/>
                    <w:overflowPunct/>
                    <w:topLinePunct w:val="0"/>
                    <w:autoSpaceDE/>
                    <w:autoSpaceDN/>
                    <w:bidi w:val="0"/>
                    <w:snapToGrid w:val="0"/>
                    <w:spacing w:line="300" w:lineRule="auto"/>
                    <w:ind w:firstLine="0" w:firstLineChars="0"/>
                    <w:jc w:val="center"/>
                    <w:textAlignment w:val="auto"/>
                    <w:rPr>
                      <w:rFonts w:ascii="Times New Roman" w:hAnsi="Times New Roman" w:eastAsia="宋体" w:cs="Times New Roman"/>
                      <w:b/>
                      <w:bCs w:val="0"/>
                      <w:color w:val="auto"/>
                      <w:sz w:val="21"/>
                      <w:szCs w:val="21"/>
                    </w:rPr>
                  </w:pPr>
                  <w:r>
                    <w:rPr>
                      <w:rFonts w:hint="eastAsia" w:cs="Times New Roman"/>
                      <w:b/>
                      <w:bCs w:val="0"/>
                      <w:color w:val="auto"/>
                      <w:sz w:val="21"/>
                      <w:szCs w:val="21"/>
                      <w:lang w:eastAsia="zh-CN"/>
                    </w:rPr>
                    <w:t>风险</w:t>
                  </w:r>
                  <w:r>
                    <w:rPr>
                      <w:rFonts w:ascii="Times New Roman" w:hAnsi="Times New Roman" w:eastAsia="宋体" w:cs="Times New Roman"/>
                      <w:b/>
                      <w:bCs w:val="0"/>
                      <w:color w:val="auto"/>
                      <w:sz w:val="21"/>
                      <w:szCs w:val="21"/>
                    </w:rPr>
                    <w:t>物质名称</w:t>
                  </w:r>
                </w:p>
              </w:tc>
              <w:tc>
                <w:tcPr>
                  <w:tcW w:w="1140" w:type="dxa"/>
                  <w:noWrap w:val="0"/>
                  <w:vAlign w:val="center"/>
                </w:tcPr>
                <w:p>
                  <w:pPr>
                    <w:keepNext w:val="0"/>
                    <w:keepLines w:val="0"/>
                    <w:pageBreakBefore w:val="0"/>
                    <w:widowControl w:val="0"/>
                    <w:kinsoku/>
                    <w:wordWrap/>
                    <w:overflowPunct/>
                    <w:topLinePunct w:val="0"/>
                    <w:autoSpaceDE/>
                    <w:autoSpaceDN/>
                    <w:bidi w:val="0"/>
                    <w:snapToGrid w:val="0"/>
                    <w:spacing w:line="300" w:lineRule="auto"/>
                    <w:ind w:firstLine="0" w:firstLineChars="0"/>
                    <w:jc w:val="center"/>
                    <w:textAlignment w:val="auto"/>
                    <w:rPr>
                      <w:rFonts w:ascii="Times New Roman" w:hAnsi="Times New Roman" w:eastAsia="宋体" w:cs="Times New Roman"/>
                      <w:b/>
                      <w:bCs w:val="0"/>
                      <w:color w:val="auto"/>
                      <w:sz w:val="21"/>
                      <w:szCs w:val="21"/>
                    </w:rPr>
                  </w:pPr>
                  <w:r>
                    <w:rPr>
                      <w:rFonts w:ascii="Times New Roman" w:hAnsi="Times New Roman" w:eastAsia="宋体" w:cs="Times New Roman"/>
                      <w:b/>
                      <w:bCs w:val="0"/>
                      <w:color w:val="auto"/>
                      <w:sz w:val="21"/>
                      <w:szCs w:val="21"/>
                    </w:rPr>
                    <w:t>最大存在总量（t）</w:t>
                  </w:r>
                </w:p>
              </w:tc>
              <w:tc>
                <w:tcPr>
                  <w:tcW w:w="124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300" w:lineRule="auto"/>
                    <w:ind w:firstLine="0" w:firstLineChars="0"/>
                    <w:jc w:val="center"/>
                    <w:textAlignment w:val="auto"/>
                    <w:rPr>
                      <w:rFonts w:ascii="Times New Roman" w:hAnsi="Times New Roman" w:eastAsia="宋体" w:cs="Times New Roman"/>
                      <w:b/>
                      <w:bCs w:val="0"/>
                      <w:color w:val="auto"/>
                      <w:sz w:val="21"/>
                      <w:szCs w:val="21"/>
                    </w:rPr>
                  </w:pPr>
                  <w:r>
                    <w:rPr>
                      <w:rFonts w:ascii="Times New Roman" w:hAnsi="Times New Roman" w:eastAsia="宋体" w:cs="Times New Roman"/>
                      <w:b/>
                      <w:bCs w:val="0"/>
                      <w:color w:val="auto"/>
                      <w:sz w:val="21"/>
                      <w:szCs w:val="21"/>
                    </w:rPr>
                    <w:t>临界量（t）</w:t>
                  </w:r>
                </w:p>
              </w:tc>
              <w:tc>
                <w:tcPr>
                  <w:tcW w:w="155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300" w:lineRule="auto"/>
                    <w:ind w:firstLine="0" w:firstLineChars="0"/>
                    <w:jc w:val="center"/>
                    <w:textAlignment w:val="auto"/>
                    <w:rPr>
                      <w:rFonts w:hint="eastAsia" w:ascii="Times New Roman" w:hAnsi="Times New Roman" w:eastAsia="宋体" w:cs="Times New Roman"/>
                      <w:b/>
                      <w:bCs w:val="0"/>
                      <w:color w:val="auto"/>
                      <w:sz w:val="21"/>
                      <w:szCs w:val="21"/>
                      <w:lang w:eastAsia="zh-CN"/>
                    </w:rPr>
                  </w:pPr>
                  <w:r>
                    <w:rPr>
                      <w:rFonts w:hint="eastAsia" w:cs="Times New Roman"/>
                      <w:b/>
                      <w:bCs w:val="0"/>
                      <w:color w:val="auto"/>
                      <w:sz w:val="21"/>
                      <w:szCs w:val="21"/>
                      <w:lang w:eastAsia="zh-CN"/>
                    </w:rPr>
                    <w:t>是否超过临界量</w:t>
                  </w:r>
                </w:p>
              </w:tc>
              <w:tc>
                <w:tcPr>
                  <w:tcW w:w="2176" w:type="dxa"/>
                  <w:noWrap w:val="0"/>
                  <w:vAlign w:val="center"/>
                </w:tcPr>
                <w:p>
                  <w:pPr>
                    <w:keepNext w:val="0"/>
                    <w:keepLines w:val="0"/>
                    <w:pageBreakBefore w:val="0"/>
                    <w:widowControl w:val="0"/>
                    <w:kinsoku/>
                    <w:wordWrap/>
                    <w:overflowPunct/>
                    <w:topLinePunct w:val="0"/>
                    <w:autoSpaceDE/>
                    <w:autoSpaceDN/>
                    <w:bidi w:val="0"/>
                    <w:snapToGrid w:val="0"/>
                    <w:spacing w:line="300" w:lineRule="auto"/>
                    <w:ind w:firstLine="0" w:firstLineChars="0"/>
                    <w:jc w:val="center"/>
                    <w:textAlignment w:val="auto"/>
                    <w:rPr>
                      <w:rFonts w:ascii="Times New Roman" w:hAnsi="Times New Roman" w:eastAsia="宋体" w:cs="Times New Roman"/>
                      <w:b/>
                      <w:bCs w:val="0"/>
                      <w:color w:val="auto"/>
                      <w:sz w:val="21"/>
                      <w:szCs w:val="21"/>
                    </w:rPr>
                  </w:pPr>
                  <w:r>
                    <w:rPr>
                      <w:rFonts w:ascii="Times New Roman" w:hAnsi="Times New Roman" w:eastAsia="宋体" w:cs="Times New Roman"/>
                      <w:b/>
                      <w:bCs w:val="0"/>
                      <w:color w:val="auto"/>
                      <w:sz w:val="21"/>
                      <w:szCs w:val="21"/>
                    </w:rPr>
                    <w:t>该种危险物质Q值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746" w:type="dxa"/>
                  <w:noWrap w:val="0"/>
                  <w:vAlign w:val="center"/>
                </w:tcPr>
                <w:p>
                  <w:pPr>
                    <w:keepNext w:val="0"/>
                    <w:keepLines w:val="0"/>
                    <w:pageBreakBefore w:val="0"/>
                    <w:widowControl w:val="0"/>
                    <w:kinsoku/>
                    <w:wordWrap/>
                    <w:overflowPunct/>
                    <w:topLinePunct w:val="0"/>
                    <w:autoSpaceDE/>
                    <w:autoSpaceDN/>
                    <w:bidi w:val="0"/>
                    <w:snapToGrid w:val="0"/>
                    <w:spacing w:line="300" w:lineRule="auto"/>
                    <w:ind w:firstLine="0" w:firstLineChars="0"/>
                    <w:jc w:val="center"/>
                    <w:textAlignment w:val="auto"/>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1</w:t>
                  </w:r>
                </w:p>
              </w:tc>
              <w:tc>
                <w:tcPr>
                  <w:tcW w:w="1077" w:type="dxa"/>
                  <w:noWrap w:val="0"/>
                  <w:vAlign w:val="center"/>
                </w:tcPr>
                <w:p>
                  <w:pPr>
                    <w:keepNext w:val="0"/>
                    <w:keepLines w:val="0"/>
                    <w:pageBreakBefore w:val="0"/>
                    <w:widowControl w:val="0"/>
                    <w:kinsoku/>
                    <w:wordWrap/>
                    <w:overflowPunct/>
                    <w:topLinePunct w:val="0"/>
                    <w:autoSpaceDE/>
                    <w:autoSpaceDN/>
                    <w:bidi w:val="0"/>
                    <w:adjustRightInd w:val="0"/>
                    <w:snapToGrid/>
                    <w:spacing w:line="300" w:lineRule="auto"/>
                    <w:ind w:firstLine="0" w:firstLineChars="0"/>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cs="Times New Roman"/>
                      <w:color w:val="auto"/>
                      <w:sz w:val="21"/>
                      <w:szCs w:val="21"/>
                      <w:lang w:val="en-US" w:eastAsia="zh-CN"/>
                    </w:rPr>
                    <w:t>废</w:t>
                  </w:r>
                  <w:r>
                    <w:rPr>
                      <w:rFonts w:hint="eastAsia" w:cs="Times New Roman"/>
                      <w:color w:val="auto"/>
                      <w:sz w:val="21"/>
                      <w:szCs w:val="21"/>
                      <w:lang w:val="en-US" w:eastAsia="zh-CN"/>
                    </w:rPr>
                    <w:t>润滑油</w:t>
                  </w:r>
                </w:p>
              </w:tc>
              <w:tc>
                <w:tcPr>
                  <w:tcW w:w="1140" w:type="dxa"/>
                  <w:noWrap w:val="0"/>
                  <w:vAlign w:val="center"/>
                </w:tcPr>
                <w:p>
                  <w:pPr>
                    <w:keepNext w:val="0"/>
                    <w:keepLines w:val="0"/>
                    <w:pageBreakBefore w:val="0"/>
                    <w:widowControl w:val="0"/>
                    <w:kinsoku/>
                    <w:wordWrap/>
                    <w:overflowPunct/>
                    <w:topLinePunct w:val="0"/>
                    <w:autoSpaceDE/>
                    <w:autoSpaceDN/>
                    <w:bidi w:val="0"/>
                    <w:spacing w:line="30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w:t>
                  </w:r>
                  <w:r>
                    <w:rPr>
                      <w:rFonts w:hint="eastAsia" w:cs="Times New Roman"/>
                      <w:color w:val="auto"/>
                      <w:sz w:val="21"/>
                      <w:szCs w:val="21"/>
                      <w:lang w:val="en-US" w:eastAsia="zh-CN"/>
                    </w:rPr>
                    <w:t>5</w:t>
                  </w:r>
                </w:p>
              </w:tc>
              <w:tc>
                <w:tcPr>
                  <w:tcW w:w="124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30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2500</w:t>
                  </w:r>
                </w:p>
              </w:tc>
              <w:tc>
                <w:tcPr>
                  <w:tcW w:w="155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300" w:lineRule="auto"/>
                    <w:ind w:firstLine="0" w:firstLineChars="0"/>
                    <w:jc w:val="center"/>
                    <w:textAlignment w:val="auto"/>
                    <w:rPr>
                      <w:rFonts w:hint="eastAsia" w:cs="Times New Roman"/>
                      <w:bCs/>
                      <w:color w:val="auto"/>
                      <w:sz w:val="21"/>
                      <w:szCs w:val="21"/>
                      <w:lang w:val="en-US" w:eastAsia="zh-CN"/>
                    </w:rPr>
                  </w:pPr>
                  <w:r>
                    <w:rPr>
                      <w:rFonts w:hint="eastAsia" w:cs="Times New Roman"/>
                      <w:bCs/>
                      <w:color w:val="auto"/>
                      <w:sz w:val="21"/>
                      <w:szCs w:val="21"/>
                      <w:lang w:val="en-US" w:eastAsia="zh-CN"/>
                    </w:rPr>
                    <w:t>否</w:t>
                  </w:r>
                </w:p>
              </w:tc>
              <w:tc>
                <w:tcPr>
                  <w:tcW w:w="2176" w:type="dxa"/>
                  <w:noWrap w:val="0"/>
                  <w:vAlign w:val="center"/>
                </w:tcPr>
                <w:p>
                  <w:pPr>
                    <w:keepNext w:val="0"/>
                    <w:keepLines w:val="0"/>
                    <w:pageBreakBefore w:val="0"/>
                    <w:widowControl w:val="0"/>
                    <w:kinsoku/>
                    <w:wordWrap/>
                    <w:overflowPunct/>
                    <w:topLinePunct w:val="0"/>
                    <w:autoSpaceDE/>
                    <w:autoSpaceDN/>
                    <w:bidi w:val="0"/>
                    <w:spacing w:line="30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5762" w:type="dxa"/>
                  <w:gridSpan w:val="5"/>
                  <w:noWrap w:val="0"/>
                  <w:vAlign w:val="center"/>
                </w:tcPr>
                <w:p>
                  <w:pPr>
                    <w:keepNext w:val="0"/>
                    <w:keepLines w:val="0"/>
                    <w:pageBreakBefore w:val="0"/>
                    <w:widowControl w:val="0"/>
                    <w:kinsoku/>
                    <w:wordWrap/>
                    <w:overflowPunct/>
                    <w:topLinePunct w:val="0"/>
                    <w:autoSpaceDE/>
                    <w:autoSpaceDN/>
                    <w:bidi w:val="0"/>
                    <w:snapToGrid w:val="0"/>
                    <w:spacing w:line="30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项目Q值∑</w:t>
                  </w:r>
                </w:p>
              </w:tc>
              <w:tc>
                <w:tcPr>
                  <w:tcW w:w="2176" w:type="dxa"/>
                  <w:noWrap w:val="0"/>
                  <w:vAlign w:val="center"/>
                </w:tcPr>
                <w:p>
                  <w:pPr>
                    <w:keepNext w:val="0"/>
                    <w:keepLines w:val="0"/>
                    <w:pageBreakBefore w:val="0"/>
                    <w:widowControl w:val="0"/>
                    <w:kinsoku/>
                    <w:wordWrap/>
                    <w:overflowPunct/>
                    <w:topLinePunct w:val="0"/>
                    <w:autoSpaceDE/>
                    <w:autoSpaceDN/>
                    <w:bidi w:val="0"/>
                    <w:spacing w:line="30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0.00002</w:t>
                  </w:r>
                </w:p>
              </w:tc>
            </w:tr>
          </w:tbl>
          <w:p>
            <w:pPr>
              <w:spacing w:line="360" w:lineRule="auto"/>
              <w:ind w:firstLine="480" w:firstLineChars="200"/>
              <w:rPr>
                <w:rFonts w:hint="default" w:ascii="Times New Roman" w:hAnsi="Times New Roman" w:eastAsia="宋体" w:cs="Times New Roman"/>
                <w:color w:val="auto"/>
                <w:sz w:val="24"/>
                <w:szCs w:val="22"/>
                <w:lang w:val="en-US"/>
              </w:rPr>
            </w:pPr>
            <w:r>
              <w:rPr>
                <w:rFonts w:ascii="Times New Roman" w:hAnsi="Times New Roman" w:eastAsia="宋体" w:cs="Times New Roman"/>
                <w:color w:val="auto"/>
                <w:sz w:val="24"/>
                <w:szCs w:val="22"/>
              </w:rPr>
              <w:t>由表</w:t>
            </w:r>
            <w:r>
              <w:rPr>
                <w:rFonts w:hint="eastAsia" w:ascii="Times New Roman" w:hAnsi="Times New Roman" w:cs="Times New Roman"/>
                <w:color w:val="auto"/>
                <w:sz w:val="24"/>
                <w:szCs w:val="22"/>
                <w:lang w:val="en-US" w:eastAsia="zh-CN"/>
              </w:rPr>
              <w:t>36</w:t>
            </w:r>
            <w:r>
              <w:rPr>
                <w:rFonts w:ascii="Times New Roman" w:hAnsi="Times New Roman" w:eastAsia="宋体" w:cs="Times New Roman"/>
                <w:color w:val="auto"/>
                <w:sz w:val="24"/>
                <w:szCs w:val="22"/>
              </w:rPr>
              <w:t>可知，</w:t>
            </w:r>
            <w:r>
              <w:rPr>
                <w:rFonts w:ascii="Times New Roman" w:hAnsi="Times New Roman" w:eastAsia="宋体" w:cs="Times New Roman"/>
                <w:b w:val="0"/>
                <w:bCs w:val="0"/>
                <w:color w:val="auto"/>
                <w:sz w:val="24"/>
                <w:szCs w:val="22"/>
                <w:highlight w:val="none"/>
              </w:rPr>
              <w:t>Q=</w:t>
            </w:r>
            <w:r>
              <w:rPr>
                <w:rFonts w:hint="eastAsia" w:cs="Times New Roman"/>
                <w:b w:val="0"/>
                <w:bCs w:val="0"/>
                <w:color w:val="auto"/>
                <w:sz w:val="24"/>
                <w:szCs w:val="22"/>
                <w:highlight w:val="none"/>
                <w:lang w:val="en-US" w:eastAsia="zh-CN"/>
              </w:rPr>
              <w:t>0.00002</w:t>
            </w:r>
            <w:r>
              <w:rPr>
                <w:rFonts w:ascii="Times New Roman" w:hAnsi="Times New Roman" w:eastAsia="宋体" w:cs="Times New Roman"/>
                <w:b w:val="0"/>
                <w:bCs w:val="0"/>
                <w:color w:val="auto"/>
                <w:sz w:val="24"/>
                <w:szCs w:val="22"/>
                <w:highlight w:val="none"/>
              </w:rPr>
              <w:t>＜1</w:t>
            </w:r>
            <w:r>
              <w:rPr>
                <w:rFonts w:hint="eastAsia" w:ascii="Times New Roman" w:hAnsi="Times New Roman" w:eastAsia="宋体" w:cs="Times New Roman"/>
                <w:b w:val="0"/>
                <w:bCs w:val="0"/>
                <w:color w:val="auto"/>
                <w:sz w:val="24"/>
                <w:szCs w:val="22"/>
                <w:highlight w:val="none"/>
                <w:lang w:eastAsia="zh-CN"/>
              </w:rPr>
              <w:t>，因此，为简单分析。</w:t>
            </w:r>
          </w:p>
          <w:p>
            <w:pPr>
              <w:autoSpaceDE w:val="0"/>
              <w:autoSpaceDN w:val="0"/>
              <w:spacing w:line="28" w:lineRule="exact"/>
              <w:ind w:left="455" w:firstLine="0" w:firstLineChars="0"/>
              <w:jc w:val="left"/>
              <w:rPr>
                <w:rFonts w:ascii="宋体" w:hAnsi="宋体" w:eastAsia="宋体" w:cs="宋体"/>
                <w:color w:val="auto"/>
                <w:kern w:val="0"/>
                <w:sz w:val="2"/>
              </w:rPr>
            </w:pPr>
          </w:p>
          <w:p>
            <w:pPr>
              <w:spacing w:line="360" w:lineRule="auto"/>
              <w:rPr>
                <w:rFonts w:hint="eastAsia"/>
                <w:color w:val="auto"/>
                <w:lang w:val="en-US" w:eastAsia="zh-CN"/>
              </w:rPr>
            </w:pPr>
            <w:r>
              <w:rPr>
                <w:rFonts w:hint="eastAsia" w:ascii="Times New Roman" w:hAnsi="Times New Roman" w:cs="Times New Roman"/>
                <w:b/>
                <w:bCs/>
                <w:color w:val="auto"/>
                <w:sz w:val="24"/>
                <w:szCs w:val="22"/>
                <w:lang w:val="en-US" w:eastAsia="zh-CN"/>
              </w:rPr>
              <w:t>7.2风险防范措施</w:t>
            </w:r>
          </w:p>
          <w:p>
            <w:pPr>
              <w:bidi w:val="0"/>
              <w:rPr>
                <w:rFonts w:hint="eastAsia"/>
                <w:color w:val="auto"/>
                <w:lang w:val="en-US" w:eastAsia="zh-CN"/>
              </w:rPr>
            </w:pPr>
            <w:r>
              <w:rPr>
                <w:rFonts w:hint="eastAsia" w:ascii="宋体" w:hAnsi="宋体" w:eastAsia="宋体" w:cs="宋体"/>
                <w:color w:val="auto"/>
                <w:lang w:val="en-US" w:eastAsia="zh-CN"/>
              </w:rPr>
              <w:t>①</w:t>
            </w:r>
            <w:r>
              <w:rPr>
                <w:rFonts w:hint="eastAsia"/>
                <w:color w:val="auto"/>
                <w:lang w:val="en-US" w:eastAsia="zh-CN"/>
              </w:rPr>
              <w:t>生产作业人员应接受职业安全技术培训后方能上岗。</w:t>
            </w:r>
          </w:p>
          <w:p>
            <w:pPr>
              <w:bidi w:val="0"/>
              <w:rPr>
                <w:rFonts w:hint="eastAsia"/>
                <w:color w:val="auto"/>
                <w:lang w:val="en-US" w:eastAsia="zh-CN"/>
              </w:rPr>
            </w:pPr>
            <w:r>
              <w:rPr>
                <w:rFonts w:hint="eastAsia" w:ascii="宋体" w:hAnsi="宋体" w:eastAsia="宋体" w:cs="宋体"/>
                <w:color w:val="auto"/>
                <w:lang w:val="en-US" w:eastAsia="zh-CN"/>
              </w:rPr>
              <w:t>②</w:t>
            </w:r>
            <w:r>
              <w:rPr>
                <w:rFonts w:hint="eastAsia"/>
                <w:color w:val="auto"/>
                <w:lang w:val="en-US" w:eastAsia="zh-CN"/>
              </w:rPr>
              <w:t>加强车间内通风设备的日常维修，必须在通风设备正常运转的情况下进行生产，一旦通风设备故障，必须停车修复后方能恢复生产。</w:t>
            </w:r>
          </w:p>
          <w:p>
            <w:pPr>
              <w:bidi w:val="0"/>
              <w:rPr>
                <w:rFonts w:hint="eastAsia"/>
                <w:color w:val="auto"/>
                <w:lang w:val="en-US" w:eastAsia="zh-CN"/>
              </w:rPr>
            </w:pPr>
            <w:r>
              <w:rPr>
                <w:rFonts w:hint="eastAsia" w:ascii="宋体" w:hAnsi="宋体" w:eastAsia="宋体" w:cs="宋体"/>
                <w:color w:val="auto"/>
                <w:lang w:val="en-US" w:eastAsia="zh-CN"/>
              </w:rPr>
              <w:t>③</w:t>
            </w:r>
            <w:r>
              <w:rPr>
                <w:rFonts w:hint="eastAsia"/>
                <w:color w:val="auto"/>
                <w:lang w:val="en-US" w:eastAsia="zh-CN"/>
              </w:rPr>
              <w:t>生产车间应有明显的禁止烟火的安全标志。设备在停产检修时，如需要采用电焊、气焊、喷灯等明火作业，应严格执行动火安全制度，遵守安全操作规程，施工现场应有专人监管并配备灭火设施。</w:t>
            </w:r>
          </w:p>
          <w:p>
            <w:pPr>
              <w:bidi w:val="0"/>
              <w:rPr>
                <w:rFonts w:hint="eastAsia"/>
                <w:color w:val="auto"/>
                <w:lang w:val="en-US" w:eastAsia="zh-CN"/>
              </w:rPr>
            </w:pPr>
            <w:r>
              <w:rPr>
                <w:rFonts w:hint="eastAsia" w:ascii="宋体" w:hAnsi="宋体" w:eastAsia="宋体" w:cs="宋体"/>
                <w:color w:val="auto"/>
                <w:lang w:val="en-US" w:eastAsia="zh-CN"/>
              </w:rPr>
              <w:t>④</w:t>
            </w:r>
            <w:r>
              <w:rPr>
                <w:rFonts w:hint="eastAsia"/>
                <w:color w:val="auto"/>
                <w:lang w:val="en-US" w:eastAsia="zh-CN"/>
              </w:rPr>
              <w:t>定期检修线路，防止线路老化引起火花进而引发事故。</w:t>
            </w:r>
          </w:p>
          <w:p>
            <w:pPr>
              <w:bidi w:val="0"/>
              <w:rPr>
                <w:rFonts w:hint="eastAsia"/>
                <w:color w:val="auto"/>
                <w:lang w:val="en-US" w:eastAsia="zh-CN"/>
              </w:rPr>
            </w:pPr>
            <w:r>
              <w:rPr>
                <w:rFonts w:hint="eastAsia" w:ascii="宋体" w:hAnsi="宋体" w:eastAsia="宋体" w:cs="宋体"/>
                <w:color w:val="auto"/>
                <w:lang w:val="en-US" w:eastAsia="zh-CN"/>
              </w:rPr>
              <w:t>⑤</w:t>
            </w:r>
            <w:r>
              <w:rPr>
                <w:rFonts w:hint="eastAsia"/>
                <w:color w:val="auto"/>
                <w:lang w:val="en-US" w:eastAsia="zh-CN"/>
              </w:rPr>
              <w:t>车间内应配备足够数量的灭火器，应有火灾报警装置。</w:t>
            </w:r>
          </w:p>
          <w:p>
            <w:pPr>
              <w:bidi w:val="0"/>
              <w:rPr>
                <w:rFonts w:hint="eastAsia"/>
                <w:color w:val="auto"/>
                <w:lang w:val="en-US" w:eastAsia="zh-CN"/>
              </w:rPr>
            </w:pPr>
            <w:r>
              <w:rPr>
                <w:rFonts w:hint="eastAsia" w:ascii="宋体" w:hAnsi="宋体" w:eastAsia="宋体" w:cs="宋体"/>
                <w:color w:val="auto"/>
                <w:lang w:val="en-US" w:eastAsia="zh-CN"/>
              </w:rPr>
              <w:t>⑥</w:t>
            </w:r>
            <w:r>
              <w:rPr>
                <w:rFonts w:hint="eastAsia"/>
                <w:color w:val="auto"/>
                <w:lang w:val="en-US" w:eastAsia="zh-CN"/>
              </w:rPr>
              <w:t>定期对职工进行消防安全培训，确保每位职工都掌握安全防火技能，一旦发生事故能采取正确的应急措施。</w:t>
            </w:r>
          </w:p>
          <w:p>
            <w:pPr>
              <w:bidi w:val="0"/>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color w:val="auto"/>
                <w:lang w:val="en-US" w:eastAsia="zh-CN"/>
              </w:rPr>
              <w:t>拟建项目</w:t>
            </w:r>
            <w:r>
              <w:rPr>
                <w:rFonts w:hint="eastAsia" w:ascii="Times New Roman" w:hAnsi="Times New Roman" w:eastAsia="宋体" w:cs="Times New Roman"/>
                <w:color w:val="auto"/>
              </w:rPr>
              <w:t>突发环境污染事故应急预案制定框架</w:t>
            </w:r>
            <w:r>
              <w:rPr>
                <w:rFonts w:ascii="Times New Roman" w:hAnsi="Times New Roman" w:eastAsia="宋体" w:cs="Times New Roman"/>
                <w:color w:val="auto"/>
              </w:rPr>
              <w:t>见表</w:t>
            </w:r>
            <w:r>
              <w:rPr>
                <w:rFonts w:hint="eastAsia" w:cs="Times New Roman"/>
                <w:color w:val="auto"/>
                <w:lang w:val="en-US" w:eastAsia="zh-CN"/>
              </w:rPr>
              <w:t>41</w:t>
            </w:r>
            <w:r>
              <w:rPr>
                <w:rFonts w:hint="eastAsia" w:ascii="Times New Roman" w:hAnsi="Times New Roman" w:eastAsia="宋体" w:cs="Times New Roman"/>
                <w:color w:val="auto"/>
                <w:lang w:eastAsia="zh-CN"/>
              </w:rPr>
              <w:t>。</w:t>
            </w:r>
          </w:p>
          <w:p>
            <w:pPr>
              <w:spacing w:line="360" w:lineRule="auto"/>
              <w:ind w:firstLine="482" w:firstLineChars="200"/>
              <w:jc w:val="center"/>
              <w:rPr>
                <w:rFonts w:hint="eastAsia" w:ascii="Times New Roman" w:hAnsi="Times New Roman" w:eastAsia="宋体" w:cs="Times New Roman"/>
                <w:b/>
                <w:bCs/>
                <w:color w:val="auto"/>
                <w:sz w:val="24"/>
                <w:szCs w:val="22"/>
                <w:lang w:eastAsia="zh-CN"/>
              </w:rPr>
            </w:pPr>
            <w:r>
              <w:rPr>
                <w:rFonts w:ascii="Times New Roman" w:hAnsi="Times New Roman" w:eastAsia="宋体" w:cs="Times New Roman"/>
                <w:b/>
                <w:bCs/>
                <w:color w:val="auto"/>
                <w:sz w:val="24"/>
                <w:szCs w:val="22"/>
              </w:rPr>
              <w:t>表</w:t>
            </w:r>
            <w:r>
              <w:rPr>
                <w:rFonts w:hint="eastAsia" w:cs="Times New Roman"/>
                <w:b/>
                <w:bCs/>
                <w:color w:val="auto"/>
                <w:sz w:val="24"/>
                <w:szCs w:val="22"/>
                <w:lang w:val="en-US" w:eastAsia="zh-CN"/>
              </w:rPr>
              <w:t>41</w:t>
            </w:r>
            <w:r>
              <w:rPr>
                <w:rFonts w:hint="eastAsia" w:ascii="Times New Roman" w:hAnsi="Times New Roman" w:eastAsia="宋体" w:cs="Times New Roman"/>
                <w:b/>
                <w:bCs/>
                <w:color w:val="auto"/>
                <w:sz w:val="24"/>
                <w:szCs w:val="22"/>
                <w:lang w:val="en-US" w:eastAsia="zh-CN"/>
              </w:rPr>
              <w:t xml:space="preserve">  </w:t>
            </w:r>
            <w:r>
              <w:rPr>
                <w:rFonts w:hint="eastAsia" w:ascii="Times New Roman" w:hAnsi="Times New Roman" w:eastAsia="宋体" w:cs="Times New Roman"/>
                <w:b/>
                <w:bCs/>
                <w:color w:val="auto"/>
                <w:sz w:val="24"/>
                <w:szCs w:val="22"/>
              </w:rPr>
              <w:t>拟建</w:t>
            </w:r>
            <w:r>
              <w:rPr>
                <w:rFonts w:ascii="Times New Roman" w:hAnsi="Times New Roman" w:eastAsia="宋体" w:cs="Times New Roman"/>
                <w:b/>
                <w:bCs/>
                <w:color w:val="auto"/>
                <w:sz w:val="24"/>
                <w:szCs w:val="22"/>
              </w:rPr>
              <w:t>项目突发环境污染事故应</w:t>
            </w:r>
            <w:r>
              <w:rPr>
                <w:rFonts w:hint="eastAsia" w:ascii="Times New Roman" w:hAnsi="Times New Roman" w:eastAsia="宋体" w:cs="Times New Roman"/>
                <w:b/>
                <w:bCs/>
                <w:color w:val="auto"/>
                <w:sz w:val="24"/>
                <w:szCs w:val="22"/>
              </w:rPr>
              <w:t>急预案</w:t>
            </w:r>
            <w:r>
              <w:rPr>
                <w:rFonts w:hint="eastAsia" w:ascii="Times New Roman" w:hAnsi="Times New Roman" w:eastAsia="宋体" w:cs="Times New Roman"/>
                <w:b/>
                <w:bCs/>
                <w:color w:val="auto"/>
                <w:sz w:val="24"/>
                <w:szCs w:val="22"/>
                <w:lang w:eastAsia="zh-CN"/>
              </w:rPr>
              <w:t>基本内容</w:t>
            </w:r>
          </w:p>
          <w:tbl>
            <w:tblPr>
              <w:tblStyle w:val="17"/>
              <w:tblW w:w="0" w:type="auto"/>
              <w:tblInd w:w="6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01"/>
              <w:gridCol w:w="5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序号</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项目</w:t>
                  </w:r>
                </w:p>
              </w:tc>
              <w:tc>
                <w:tcPr>
                  <w:tcW w:w="56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总则</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简述生产过程中涉及物料性质及可能产生的突发环境污染事故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危险源概况</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评述危险源类型、数量及其分布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应急计划区</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生产区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应急组织</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工场：场指挥部——负责全场全面指挥</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专业救援队伍——负责事故控制、救援善后处理</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地区：地区指挥部——负责工场附近地区、全面指挥、救援疏散，专业救援队伍——负责对场专业救援队伍支持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应急状态分类及应急响应程度</w:t>
                  </w:r>
                </w:p>
              </w:tc>
              <w:tc>
                <w:tcPr>
                  <w:tcW w:w="56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规定事故的级别及相应的应急分类响应程度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应急设施、设备与材料</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生产装置、贮存区：</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①防火灾、爆炸事故应急设施、设备与材料；主要是消防器材和防护服装</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②防止</w:t>
                  </w:r>
                  <w:r>
                    <w:rPr>
                      <w:rFonts w:hint="eastAsia" w:cs="Times New Roman"/>
                      <w:color w:val="auto"/>
                      <w:sz w:val="21"/>
                      <w:szCs w:val="21"/>
                      <w:lang w:eastAsia="zh-CN"/>
                    </w:rPr>
                    <w:t>废气处置设施出现故障，废气超标排放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应急通讯、通知和交通</w:t>
                  </w:r>
                </w:p>
              </w:tc>
              <w:tc>
                <w:tcPr>
                  <w:tcW w:w="56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规定应急状态下的通讯方式、通知方式和交通保障、管制措施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8</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both"/>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应急环境监测及事故后评估</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由专业队伍对事故现场进行监测，对事故性质、参数与后果进行评估，为指挥部门提供决策依据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应急防护措施、消除泄漏措施方法和器材</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事故现场：控制事故、防止扩大、</w:t>
                  </w:r>
                  <w:r>
                    <w:rPr>
                      <w:rFonts w:hint="eastAsia" w:ascii="Times New Roman" w:hAnsi="Times New Roman" w:eastAsia="宋体" w:cs="Times New Roman"/>
                      <w:color w:val="auto"/>
                      <w:sz w:val="21"/>
                      <w:szCs w:val="21"/>
                      <w:lang w:val="en-US" w:eastAsia="zh-CN"/>
                    </w:rPr>
                    <w:t>蔓延</w:t>
                  </w:r>
                  <w:r>
                    <w:rPr>
                      <w:rFonts w:hint="eastAsia" w:ascii="Times New Roman" w:hAnsi="Times New Roman" w:eastAsia="宋体" w:cs="Times New Roman"/>
                      <w:color w:val="auto"/>
                      <w:sz w:val="21"/>
                      <w:szCs w:val="21"/>
                    </w:rPr>
                    <w:t>及连锁反应、消除现场泄漏物、降低危害；相应的设施器材配备</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邻近区域：控制火灾、有毒区域，控制和消除污染措施及相应设备配备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10</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应急剂量控制、撤离组织计划、医疗救护与公众健康</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事故现场：事故处理人员对毒物的应急剂量控制规定，现场及邻近装置人员撤离组织计划及救护</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工</w:t>
                  </w:r>
                  <w:r>
                    <w:rPr>
                      <w:rFonts w:hint="eastAsia" w:ascii="Times New Roman" w:hAnsi="Times New Roman" w:eastAsia="宋体" w:cs="Times New Roman"/>
                      <w:color w:val="auto"/>
                      <w:sz w:val="21"/>
                      <w:szCs w:val="21"/>
                      <w:lang w:val="en-US" w:eastAsia="zh-CN"/>
                    </w:rPr>
                    <w:t>厂</w:t>
                  </w:r>
                  <w:r>
                    <w:rPr>
                      <w:rFonts w:hint="eastAsia" w:ascii="Times New Roman" w:hAnsi="Times New Roman" w:eastAsia="宋体" w:cs="Times New Roman"/>
                      <w:color w:val="auto"/>
                      <w:sz w:val="21"/>
                      <w:szCs w:val="21"/>
                    </w:rPr>
                    <w:t>邻近区：受事故影响的邻近区域人员及公众对毒物应急剂量控制规定，撤离组织及救护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11</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应急状态终止与恢复措施</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规定应急状态终止程度：事故善后处理，恢复措施，邻近区域解除事故警戒及善后恢复措施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12</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人员培训与演练</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应急计划制定后，平时安排人员培训及演练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13</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公众教育和信息</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对工</w:t>
                  </w:r>
                  <w:r>
                    <w:rPr>
                      <w:rFonts w:hint="eastAsia" w:ascii="Times New Roman" w:hAnsi="Times New Roman" w:eastAsia="宋体" w:cs="Times New Roman"/>
                      <w:color w:val="auto"/>
                      <w:sz w:val="21"/>
                      <w:szCs w:val="21"/>
                      <w:lang w:val="en-US" w:eastAsia="zh-CN"/>
                    </w:rPr>
                    <w:t>厂</w:t>
                  </w:r>
                  <w:r>
                    <w:rPr>
                      <w:rFonts w:hint="eastAsia" w:ascii="Times New Roman" w:hAnsi="Times New Roman" w:eastAsia="宋体" w:cs="Times New Roman"/>
                      <w:color w:val="auto"/>
                      <w:sz w:val="21"/>
                      <w:szCs w:val="21"/>
                    </w:rPr>
                    <w:t>邻近地区开展公众教育、培训与发布相关信息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14</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记录和报告</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设置应急事故专门记录，建立档案和专门报告制度，设专门部门和负责管理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15</w:t>
                  </w:r>
                </w:p>
              </w:tc>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附件</w:t>
                  </w:r>
                </w:p>
              </w:tc>
              <w:tc>
                <w:tcPr>
                  <w:tcW w:w="563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与应急事故有关的多种附件材料的准备和形成</w:t>
                  </w:r>
                </w:p>
              </w:tc>
            </w:tr>
          </w:tbl>
          <w:p>
            <w:pPr>
              <w:pStyle w:val="2"/>
              <w:ind w:left="0" w:leftChars="0" w:firstLine="0" w:firstLineChars="0"/>
              <w:rPr>
                <w:color w:val="auto"/>
                <w:lang w:eastAsia="zh-Hans"/>
              </w:rPr>
            </w:pPr>
          </w:p>
          <w:p>
            <w:pPr>
              <w:pStyle w:val="32"/>
              <w:adjustRightInd w:val="0"/>
              <w:snapToGrid w:val="0"/>
              <w:spacing w:line="360" w:lineRule="auto"/>
              <w:ind w:left="0" w:leftChars="0" w:firstLine="0" w:firstLineChars="0"/>
              <w:jc w:val="both"/>
              <w:rPr>
                <w:rFonts w:hint="default" w:ascii="Times New Roman" w:hAnsi="Times New Roman" w:eastAsia="宋体" w:cs="Times New Roman"/>
                <w:color w:val="auto"/>
              </w:rPr>
            </w:pPr>
          </w:p>
        </w:tc>
      </w:tr>
    </w:tbl>
    <w:p>
      <w:pPr>
        <w:pStyle w:val="2"/>
        <w:rPr>
          <w:rFonts w:hint="default" w:ascii="Times New Roman" w:hAnsi="Times New Roman" w:eastAsia="宋体" w:cs="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rPr>
          <w:rFonts w:ascii="Times New Roman" w:hAnsi="Times New Roman" w:cs="Times New Roman"/>
          <w:color w:val="auto"/>
        </w:rPr>
      </w:pPr>
      <w:bookmarkStart w:id="7" w:name="_Hlk54167917"/>
      <w:r>
        <w:rPr>
          <w:rFonts w:ascii="Times New Roman" w:hAnsi="Times New Roman" w:cs="Times New Roman"/>
          <w:color w:val="auto"/>
        </w:rPr>
        <w:t>五、环境保护措施监督检查清单</w:t>
      </w:r>
      <w:bookmarkEnd w:id="7"/>
    </w:p>
    <w:tbl>
      <w:tblPr>
        <w:tblStyle w:val="17"/>
        <w:tblW w:w="88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626"/>
        <w:gridCol w:w="1062"/>
        <w:gridCol w:w="2669"/>
        <w:gridCol w:w="2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1" w:type="dxa"/>
            <w:tcBorders>
              <w:tl2br w:val="single" w:color="auto" w:sz="4" w:space="0"/>
            </w:tcBorders>
            <w:vAlign w:val="center"/>
          </w:tcPr>
          <w:p>
            <w:pPr>
              <w:ind w:firstLine="0" w:firstLineChars="0"/>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t>内容</w:t>
            </w:r>
          </w:p>
          <w:p>
            <w:pPr>
              <w:ind w:firstLine="0" w:firstLineChars="0"/>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要素</w:t>
            </w:r>
          </w:p>
        </w:tc>
        <w:tc>
          <w:tcPr>
            <w:tcW w:w="1626" w:type="dxa"/>
            <w:vAlign w:val="center"/>
          </w:tcPr>
          <w:p>
            <w:pPr>
              <w:ind w:firstLine="0" w:firstLineChars="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排放口(编号、</w:t>
            </w:r>
          </w:p>
          <w:p>
            <w:pPr>
              <w:ind w:firstLine="0" w:firstLineChars="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名称)/污染源</w:t>
            </w:r>
          </w:p>
        </w:tc>
        <w:tc>
          <w:tcPr>
            <w:tcW w:w="1062" w:type="dxa"/>
            <w:vAlign w:val="center"/>
          </w:tcPr>
          <w:p>
            <w:pPr>
              <w:ind w:firstLine="0" w:firstLineChars="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污染物项目</w:t>
            </w:r>
          </w:p>
        </w:tc>
        <w:tc>
          <w:tcPr>
            <w:tcW w:w="2669" w:type="dxa"/>
            <w:vAlign w:val="center"/>
          </w:tcPr>
          <w:p>
            <w:pPr>
              <w:ind w:firstLine="0" w:firstLineChars="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环境保护措施</w:t>
            </w:r>
          </w:p>
        </w:tc>
        <w:tc>
          <w:tcPr>
            <w:tcW w:w="2333" w:type="dxa"/>
            <w:vAlign w:val="center"/>
          </w:tcPr>
          <w:p>
            <w:pPr>
              <w:ind w:firstLine="0" w:firstLineChars="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41" w:type="dxa"/>
            <w:vAlign w:val="center"/>
          </w:tcPr>
          <w:p>
            <w:pPr>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大气</w:t>
            </w:r>
          </w:p>
          <w:p>
            <w:pPr>
              <w:ind w:firstLine="0" w:firstLineChars="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环境</w:t>
            </w:r>
          </w:p>
        </w:tc>
        <w:tc>
          <w:tcPr>
            <w:tcW w:w="1626" w:type="dxa"/>
            <w:vAlign w:val="center"/>
          </w:tcPr>
          <w:p>
            <w:pPr>
              <w:ind w:left="0" w:leftChars="0" w:firstLine="0" w:firstLineChars="0"/>
              <w:rPr>
                <w:rFonts w:hint="default" w:eastAsia="宋体"/>
                <w:color w:val="auto"/>
                <w:sz w:val="24"/>
                <w:szCs w:val="24"/>
                <w:highlight w:val="none"/>
                <w:lang w:val="en-US" w:eastAsia="zh-CN"/>
              </w:rPr>
            </w:pPr>
            <w:r>
              <w:rPr>
                <w:rFonts w:hint="eastAsia"/>
                <w:color w:val="auto"/>
                <w:sz w:val="24"/>
                <w:szCs w:val="24"/>
                <w:highlight w:val="none"/>
                <w:lang w:val="en-US" w:eastAsia="zh-CN"/>
              </w:rPr>
              <w:t>再生胶粉生产线排气筒</w:t>
            </w:r>
          </w:p>
        </w:tc>
        <w:tc>
          <w:tcPr>
            <w:tcW w:w="1062" w:type="dxa"/>
            <w:vAlign w:val="center"/>
          </w:tcPr>
          <w:p>
            <w:pPr>
              <w:pStyle w:val="24"/>
              <w:ind w:firstLine="0" w:firstLineChars="0"/>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sz w:val="24"/>
                <w:szCs w:val="24"/>
                <w:highlight w:val="none"/>
              </w:rPr>
              <w:t>颗粒物</w:t>
            </w:r>
          </w:p>
        </w:tc>
        <w:tc>
          <w:tcPr>
            <w:tcW w:w="2669" w:type="dxa"/>
            <w:vAlign w:val="center"/>
          </w:tcPr>
          <w:p>
            <w:pPr>
              <w:pStyle w:val="2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eastAsia"/>
                <w:b w:val="0"/>
                <w:bCs w:val="0"/>
                <w:color w:val="auto"/>
                <w:sz w:val="24"/>
                <w:szCs w:val="24"/>
                <w:lang w:val="en-US" w:eastAsia="zh-CN"/>
              </w:rPr>
              <w:t>集气罩（集气效率95%）+水喷淋塔（去除效率99%）+1根15m高的排气筒进行排放。</w:t>
            </w:r>
          </w:p>
        </w:tc>
        <w:tc>
          <w:tcPr>
            <w:tcW w:w="2333" w:type="dxa"/>
            <w:vAlign w:val="center"/>
          </w:tcPr>
          <w:p>
            <w:pPr>
              <w:pStyle w:val="24"/>
              <w:ind w:firstLine="0" w:firstLineChars="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大气</w:t>
            </w:r>
            <w:r>
              <w:rPr>
                <w:rFonts w:hint="eastAsia" w:ascii="Times New Roman" w:hAnsi="Times New Roman" w:cs="Times New Roman"/>
                <w:color w:val="auto"/>
                <w:sz w:val="24"/>
                <w:szCs w:val="24"/>
                <w:highlight w:val="none"/>
              </w:rPr>
              <w:t>污染物</w:t>
            </w:r>
            <w:r>
              <w:rPr>
                <w:rFonts w:hint="eastAsia" w:cs="Times New Roman"/>
                <w:color w:val="auto"/>
                <w:sz w:val="24"/>
                <w:szCs w:val="24"/>
                <w:highlight w:val="none"/>
                <w:lang w:val="en-US" w:eastAsia="zh-CN"/>
              </w:rPr>
              <w:t>综合</w:t>
            </w:r>
            <w:r>
              <w:rPr>
                <w:rFonts w:hint="eastAsia" w:ascii="Times New Roman" w:hAnsi="Times New Roman" w:cs="Times New Roman"/>
                <w:color w:val="auto"/>
                <w:sz w:val="24"/>
                <w:szCs w:val="24"/>
                <w:highlight w:val="none"/>
              </w:rPr>
              <w:t>排放标准》（GB</w:t>
            </w:r>
            <w:r>
              <w:rPr>
                <w:rFonts w:hint="eastAsia" w:cs="Times New Roman"/>
                <w:color w:val="auto"/>
                <w:sz w:val="24"/>
                <w:szCs w:val="24"/>
                <w:highlight w:val="none"/>
                <w:lang w:val="en-US" w:eastAsia="zh-CN"/>
              </w:rPr>
              <w:t>16297-1996</w:t>
            </w:r>
            <w:r>
              <w:rPr>
                <w:rFonts w:hint="eastAsia" w:ascii="Times New Roman" w:hAnsi="Times New Roman" w:cs="Times New Roman"/>
                <w:color w:val="auto"/>
                <w:sz w:val="24"/>
                <w:szCs w:val="24"/>
                <w:highlight w:val="none"/>
              </w:rPr>
              <w:t xml:space="preserve">）中表 </w:t>
            </w:r>
            <w:r>
              <w:rPr>
                <w:rFonts w:hint="eastAsia"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 xml:space="preserve"> </w:t>
            </w:r>
            <w:r>
              <w:rPr>
                <w:rFonts w:hint="eastAsia" w:cs="Times New Roman"/>
                <w:color w:val="auto"/>
                <w:sz w:val="24"/>
                <w:szCs w:val="24"/>
                <w:highlight w:val="none"/>
                <w:lang w:val="en-US" w:eastAsia="zh-CN"/>
              </w:rPr>
              <w:t>新污染源大气污染物</w:t>
            </w:r>
            <w:r>
              <w:rPr>
                <w:rFonts w:hint="eastAsia" w:ascii="Times New Roman" w:hAnsi="Times New Roman" w:cs="Times New Roman"/>
                <w:color w:val="auto"/>
                <w:sz w:val="24"/>
                <w:szCs w:val="24"/>
                <w:highlight w:val="none"/>
              </w:rPr>
              <w:t>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41" w:type="dxa"/>
            <w:vMerge w:val="restart"/>
            <w:vAlign w:val="center"/>
          </w:tcPr>
          <w:p>
            <w:pPr>
              <w:ind w:firstLine="0" w:firstLineChars="0"/>
              <w:jc w:val="center"/>
              <w:rPr>
                <w:rFonts w:hint="eastAsia"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水环境</w:t>
            </w:r>
          </w:p>
        </w:tc>
        <w:tc>
          <w:tcPr>
            <w:tcW w:w="1626" w:type="dxa"/>
            <w:vAlign w:val="center"/>
          </w:tcPr>
          <w:p>
            <w:pPr>
              <w:ind w:left="0" w:leftChars="0" w:firstLine="0" w:firstLineChars="0"/>
              <w:rPr>
                <w:rFonts w:hint="default" w:eastAsia="宋体"/>
                <w:color w:val="auto"/>
                <w:sz w:val="24"/>
                <w:szCs w:val="24"/>
                <w:highlight w:val="none"/>
                <w:lang w:val="en-US" w:eastAsia="zh-CN"/>
              </w:rPr>
            </w:pPr>
            <w:r>
              <w:rPr>
                <w:rFonts w:hint="eastAsia"/>
                <w:color w:val="auto"/>
                <w:sz w:val="24"/>
                <w:szCs w:val="24"/>
                <w:highlight w:val="none"/>
                <w:lang w:val="en-US" w:eastAsia="zh-CN"/>
              </w:rPr>
              <w:t>设备循环冷却水定期排水</w:t>
            </w:r>
          </w:p>
        </w:tc>
        <w:tc>
          <w:tcPr>
            <w:tcW w:w="1062" w:type="dxa"/>
            <w:vAlign w:val="center"/>
          </w:tcPr>
          <w:p>
            <w:pPr>
              <w:pStyle w:val="24"/>
              <w:ind w:firstLine="0" w:firstLineChars="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SS、TDS</w:t>
            </w:r>
          </w:p>
        </w:tc>
        <w:tc>
          <w:tcPr>
            <w:tcW w:w="2669" w:type="dxa"/>
            <w:vAlign w:val="center"/>
          </w:tcPr>
          <w:p>
            <w:pPr>
              <w:pStyle w:val="24"/>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由于水质较为简单，直接用于厂区洒水抑尘</w:t>
            </w:r>
          </w:p>
        </w:tc>
        <w:tc>
          <w:tcPr>
            <w:tcW w:w="2333" w:type="dxa"/>
            <w:vAlign w:val="center"/>
          </w:tcPr>
          <w:p>
            <w:pPr>
              <w:pStyle w:val="24"/>
              <w:ind w:firstLine="0" w:firstLineChars="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41" w:type="dxa"/>
            <w:vMerge w:val="continue"/>
            <w:vAlign w:val="center"/>
          </w:tcPr>
          <w:p>
            <w:pPr>
              <w:ind w:firstLine="0" w:firstLineChars="0"/>
              <w:jc w:val="center"/>
              <w:rPr>
                <w:rFonts w:hint="eastAsia" w:cs="Times New Roman"/>
                <w:b/>
                <w:bCs/>
                <w:color w:val="auto"/>
                <w:sz w:val="24"/>
                <w:szCs w:val="24"/>
                <w:highlight w:val="none"/>
                <w:lang w:val="en-US" w:eastAsia="zh-CN"/>
              </w:rPr>
            </w:pPr>
          </w:p>
        </w:tc>
        <w:tc>
          <w:tcPr>
            <w:tcW w:w="1626" w:type="dxa"/>
            <w:vAlign w:val="center"/>
          </w:tcPr>
          <w:p>
            <w:pPr>
              <w:ind w:left="0" w:leftChars="0" w:firstLine="0" w:firstLineChars="0"/>
              <w:rPr>
                <w:rFonts w:hint="eastAsia"/>
                <w:color w:val="auto"/>
                <w:sz w:val="24"/>
                <w:szCs w:val="24"/>
                <w:highlight w:val="none"/>
                <w:lang w:val="en-US" w:eastAsia="zh-CN"/>
              </w:rPr>
            </w:pPr>
            <w:r>
              <w:rPr>
                <w:rFonts w:hint="eastAsia"/>
                <w:color w:val="auto"/>
                <w:sz w:val="24"/>
                <w:szCs w:val="24"/>
                <w:highlight w:val="none"/>
                <w:lang w:val="en-US" w:eastAsia="zh-CN"/>
              </w:rPr>
              <w:t>喷淋塔排水</w:t>
            </w:r>
          </w:p>
        </w:tc>
        <w:tc>
          <w:tcPr>
            <w:tcW w:w="1062" w:type="dxa"/>
            <w:vAlign w:val="center"/>
          </w:tcPr>
          <w:p>
            <w:pPr>
              <w:pStyle w:val="24"/>
              <w:ind w:firstLine="0" w:firstLineChars="0"/>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SS、TDS</w:t>
            </w:r>
          </w:p>
        </w:tc>
        <w:tc>
          <w:tcPr>
            <w:tcW w:w="2669" w:type="dxa"/>
            <w:vAlign w:val="center"/>
          </w:tcPr>
          <w:p>
            <w:pPr>
              <w:pStyle w:val="24"/>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经污水管网，最终进入园区污水处理厂处理</w:t>
            </w:r>
          </w:p>
        </w:tc>
        <w:tc>
          <w:tcPr>
            <w:tcW w:w="2333" w:type="dxa"/>
            <w:vAlign w:val="center"/>
          </w:tcPr>
          <w:p>
            <w:pPr>
              <w:pStyle w:val="24"/>
              <w:ind w:firstLine="0" w:firstLineChars="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《污水综合排放标准》（GB8978-1996）中三级标准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41" w:type="dxa"/>
            <w:vAlign w:val="center"/>
          </w:tcPr>
          <w:p>
            <w:pPr>
              <w:ind w:firstLine="0" w:firstLineChars="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声环境</w:t>
            </w:r>
          </w:p>
        </w:tc>
        <w:tc>
          <w:tcPr>
            <w:tcW w:w="1626" w:type="dxa"/>
            <w:vAlign w:val="center"/>
          </w:tcPr>
          <w:p>
            <w:pPr>
              <w:pStyle w:val="24"/>
              <w:adjustRightInd/>
              <w:snapToGrid/>
              <w:spacing w:line="360" w:lineRule="auto"/>
              <w:rPr>
                <w:rFonts w:ascii="Times New Roman" w:hAnsi="Times New Roman" w:cs="Times New Roman"/>
                <w:color w:val="auto"/>
                <w:kern w:val="2"/>
                <w:sz w:val="24"/>
                <w:szCs w:val="24"/>
              </w:rPr>
            </w:pPr>
            <w:r>
              <w:rPr>
                <w:rFonts w:hint="eastAsia" w:ascii="Times New Roman" w:hAnsi="Times New Roman" w:cs="Times New Roman"/>
                <w:color w:val="auto"/>
                <w:kern w:val="2"/>
                <w:sz w:val="24"/>
                <w:szCs w:val="24"/>
              </w:rPr>
              <w:t>生产设备、风机等</w:t>
            </w:r>
          </w:p>
        </w:tc>
        <w:tc>
          <w:tcPr>
            <w:tcW w:w="1062" w:type="dxa"/>
            <w:vAlign w:val="center"/>
          </w:tcPr>
          <w:p>
            <w:pPr>
              <w:pStyle w:val="24"/>
              <w:adjustRightInd/>
              <w:snapToGrid/>
              <w:spacing w:line="360" w:lineRule="auto"/>
              <w:rPr>
                <w:rFonts w:ascii="Times New Roman" w:hAnsi="Times New Roman" w:cs="Times New Roman"/>
                <w:color w:val="auto"/>
                <w:kern w:val="2"/>
                <w:sz w:val="24"/>
                <w:szCs w:val="24"/>
              </w:rPr>
            </w:pPr>
            <w:r>
              <w:rPr>
                <w:rFonts w:ascii="Times New Roman" w:hAnsi="Times New Roman" w:cs="Times New Roman"/>
                <w:color w:val="auto"/>
                <w:kern w:val="2"/>
                <w:sz w:val="24"/>
                <w:szCs w:val="24"/>
              </w:rPr>
              <w:t>Leq（A）</w:t>
            </w:r>
          </w:p>
        </w:tc>
        <w:tc>
          <w:tcPr>
            <w:tcW w:w="2669" w:type="dxa"/>
            <w:vAlign w:val="center"/>
          </w:tcPr>
          <w:p>
            <w:pPr>
              <w:pStyle w:val="24"/>
              <w:adjustRightInd/>
              <w:snapToGrid/>
              <w:spacing w:line="360" w:lineRule="auto"/>
              <w:rPr>
                <w:rFonts w:ascii="Times New Roman" w:hAnsi="Times New Roman" w:cs="Times New Roman"/>
                <w:color w:val="auto"/>
                <w:kern w:val="2"/>
                <w:sz w:val="24"/>
                <w:szCs w:val="24"/>
              </w:rPr>
            </w:pPr>
            <w:r>
              <w:rPr>
                <w:rFonts w:hint="eastAsia" w:ascii="Times New Roman" w:hAnsi="Times New Roman" w:cs="Times New Roman"/>
                <w:color w:val="auto"/>
                <w:kern w:val="2"/>
                <w:sz w:val="24"/>
                <w:szCs w:val="24"/>
              </w:rPr>
              <w:t>选用低噪声设备，厂房（车间）隔声、设置基础减震</w:t>
            </w:r>
          </w:p>
        </w:tc>
        <w:tc>
          <w:tcPr>
            <w:tcW w:w="2333" w:type="dxa"/>
            <w:vAlign w:val="center"/>
          </w:tcPr>
          <w:p>
            <w:pPr>
              <w:ind w:firstLine="0" w:firstLineChars="0"/>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《工业企业厂界环境噪声排放标准》（GB12348-2008）</w:t>
            </w:r>
            <w:r>
              <w:rPr>
                <w:rFonts w:hint="eastAsia" w:ascii="Times New Roman" w:hAnsi="Times New Roman" w:cs="Times New Roman"/>
                <w:color w:val="auto"/>
                <w:kern w:val="0"/>
                <w:sz w:val="24"/>
                <w:szCs w:val="24"/>
              </w:rPr>
              <w:t>3</w:t>
            </w:r>
            <w:r>
              <w:rPr>
                <w:rFonts w:ascii="Times New Roman" w:hAnsi="Times New Roman" w:cs="Times New Roman"/>
                <w:color w:val="auto"/>
                <w:kern w:val="0"/>
                <w:sz w:val="24"/>
                <w:szCs w:val="24"/>
              </w:rPr>
              <w:t>类标准限值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41" w:type="dxa"/>
            <w:vMerge w:val="restart"/>
            <w:vAlign w:val="center"/>
          </w:tcPr>
          <w:p>
            <w:pPr>
              <w:ind w:firstLine="0" w:firstLineChars="0"/>
              <w:jc w:val="center"/>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固体废物</w:t>
            </w:r>
          </w:p>
        </w:tc>
        <w:tc>
          <w:tcPr>
            <w:tcW w:w="1626" w:type="dxa"/>
            <w:vMerge w:val="restart"/>
            <w:vAlign w:val="center"/>
          </w:tcPr>
          <w:p>
            <w:pPr>
              <w:pStyle w:val="24"/>
              <w:adjustRightInd/>
              <w:snapToGrid/>
              <w:spacing w:line="360" w:lineRule="auto"/>
              <w:rPr>
                <w:rFonts w:hint="default" w:ascii="Times New Roman" w:hAnsi="Times New Roman" w:eastAsia="宋体" w:cs="Times New Roman"/>
                <w:color w:val="auto"/>
                <w:kern w:val="2"/>
                <w:sz w:val="24"/>
                <w:szCs w:val="24"/>
                <w:lang w:val="en-US" w:eastAsia="zh-CN"/>
              </w:rPr>
            </w:pPr>
            <w:r>
              <w:rPr>
                <w:rFonts w:hint="eastAsia" w:cs="Times New Roman"/>
                <w:color w:val="auto"/>
                <w:kern w:val="2"/>
                <w:sz w:val="24"/>
                <w:szCs w:val="24"/>
                <w:lang w:val="en-US" w:eastAsia="zh-CN"/>
              </w:rPr>
              <w:t>生产车间</w:t>
            </w:r>
          </w:p>
        </w:tc>
        <w:tc>
          <w:tcPr>
            <w:tcW w:w="1062" w:type="dxa"/>
            <w:vAlign w:val="center"/>
          </w:tcPr>
          <w:p>
            <w:pPr>
              <w:pStyle w:val="24"/>
              <w:adjustRightInd/>
              <w:snapToGrid/>
              <w:spacing w:line="360" w:lineRule="auto"/>
              <w:rPr>
                <w:rFonts w:hint="eastAsia" w:ascii="Times New Roman" w:hAnsi="Times New Roman" w:eastAsia="宋体" w:cs="Times New Roman"/>
                <w:color w:val="auto"/>
                <w:kern w:val="2"/>
                <w:sz w:val="24"/>
                <w:szCs w:val="24"/>
                <w:lang w:val="en-US" w:eastAsia="zh-CN"/>
              </w:rPr>
            </w:pPr>
            <w:r>
              <w:rPr>
                <w:rFonts w:hint="eastAsia" w:cs="Times New Roman"/>
                <w:color w:val="auto"/>
                <w:kern w:val="2"/>
                <w:sz w:val="24"/>
                <w:szCs w:val="24"/>
                <w:lang w:val="en-US" w:eastAsia="zh-CN"/>
              </w:rPr>
              <w:t>循环水箱污泥</w:t>
            </w:r>
          </w:p>
        </w:tc>
        <w:tc>
          <w:tcPr>
            <w:tcW w:w="2669" w:type="dxa"/>
            <w:vAlign w:val="center"/>
          </w:tcPr>
          <w:p>
            <w:pPr>
              <w:pStyle w:val="24"/>
              <w:adjustRightInd/>
              <w:snapToGrid/>
              <w:spacing w:line="360" w:lineRule="auto"/>
              <w:rPr>
                <w:rFonts w:hint="default" w:ascii="Times New Roman" w:hAnsi="Times New Roman" w:eastAsia="宋体" w:cs="Times New Roman"/>
                <w:color w:val="auto"/>
                <w:kern w:val="2"/>
                <w:sz w:val="24"/>
                <w:szCs w:val="24"/>
                <w:lang w:val="en-US" w:eastAsia="zh-CN"/>
              </w:rPr>
            </w:pPr>
            <w:r>
              <w:rPr>
                <w:rFonts w:hint="eastAsia" w:cs="Times New Roman"/>
                <w:color w:val="auto"/>
                <w:kern w:val="2"/>
                <w:sz w:val="24"/>
                <w:szCs w:val="24"/>
                <w:lang w:val="en-US" w:eastAsia="zh-CN"/>
              </w:rPr>
              <w:t>定期清掏，委托环卫部门清运。</w:t>
            </w:r>
          </w:p>
        </w:tc>
        <w:tc>
          <w:tcPr>
            <w:tcW w:w="2333" w:type="dxa"/>
            <w:vMerge w:val="restart"/>
            <w:vAlign w:val="center"/>
          </w:tcPr>
          <w:p>
            <w:pPr>
              <w:ind w:firstLine="0" w:firstLineChars="0"/>
              <w:jc w:val="center"/>
              <w:rPr>
                <w:rFonts w:ascii="Times New Roman" w:hAnsi="Times New Roman" w:cs="Times New Roman"/>
                <w:color w:val="auto"/>
                <w:kern w:val="0"/>
                <w:sz w:val="24"/>
                <w:szCs w:val="24"/>
              </w:rPr>
            </w:pPr>
            <w:r>
              <w:rPr>
                <w:rFonts w:hint="default" w:ascii="Times New Roman" w:hAnsi="Times New Roman" w:eastAsia="宋体" w:cs="Times New Roman"/>
                <w:color w:val="auto"/>
                <w:sz w:val="24"/>
                <w:szCs w:val="24"/>
                <w:lang w:val="en-US" w:eastAsia="zh-CN"/>
              </w:rPr>
              <w:t>《一般工业固体废物贮存</w:t>
            </w:r>
            <w:r>
              <w:rPr>
                <w:rFonts w:hint="eastAsia" w:ascii="Times New Roman" w:hAnsi="Times New Roman" w:eastAsia="宋体" w:cs="Times New Roman"/>
                <w:color w:val="auto"/>
                <w:sz w:val="24"/>
                <w:szCs w:val="24"/>
                <w:lang w:val="en-US" w:eastAsia="zh-CN"/>
              </w:rPr>
              <w:t>和填埋</w:t>
            </w:r>
            <w:r>
              <w:rPr>
                <w:rFonts w:hint="default" w:ascii="Times New Roman" w:hAnsi="Times New Roman" w:eastAsia="宋体" w:cs="Times New Roman"/>
                <w:color w:val="auto"/>
                <w:sz w:val="24"/>
                <w:szCs w:val="24"/>
                <w:lang w:val="en-US" w:eastAsia="zh-CN"/>
              </w:rPr>
              <w:t>污染控制标准》(GB18599-20</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41" w:type="dxa"/>
            <w:vMerge w:val="continue"/>
            <w:vAlign w:val="center"/>
          </w:tcPr>
          <w:p>
            <w:pPr>
              <w:ind w:firstLine="0" w:firstLineChars="0"/>
              <w:jc w:val="center"/>
              <w:rPr>
                <w:rFonts w:ascii="Times New Roman" w:hAnsi="Times New Roman" w:cs="Times New Roman"/>
                <w:b/>
                <w:bCs/>
                <w:color w:val="auto"/>
                <w:sz w:val="24"/>
                <w:szCs w:val="24"/>
              </w:rPr>
            </w:pPr>
          </w:p>
        </w:tc>
        <w:tc>
          <w:tcPr>
            <w:tcW w:w="1626" w:type="dxa"/>
            <w:vMerge w:val="continue"/>
            <w:vAlign w:val="center"/>
          </w:tcPr>
          <w:p>
            <w:pPr>
              <w:pStyle w:val="24"/>
              <w:adjustRightInd/>
              <w:snapToGrid/>
              <w:spacing w:line="360" w:lineRule="auto"/>
              <w:rPr>
                <w:rFonts w:hint="eastAsia" w:ascii="Times New Roman" w:hAnsi="Times New Roman" w:cs="Times New Roman"/>
                <w:color w:val="auto"/>
                <w:kern w:val="2"/>
                <w:sz w:val="24"/>
                <w:szCs w:val="24"/>
              </w:rPr>
            </w:pPr>
          </w:p>
        </w:tc>
        <w:tc>
          <w:tcPr>
            <w:tcW w:w="1062" w:type="dxa"/>
            <w:vAlign w:val="center"/>
          </w:tcPr>
          <w:p>
            <w:pPr>
              <w:pStyle w:val="24"/>
              <w:adjustRightInd/>
              <w:snapToGrid/>
              <w:spacing w:line="360" w:lineRule="auto"/>
              <w:rPr>
                <w:rFonts w:hint="eastAsia" w:ascii="Times New Roman" w:hAnsi="Times New Roman" w:eastAsia="宋体" w:cs="Times New Roman"/>
                <w:color w:val="auto"/>
                <w:kern w:val="2"/>
                <w:sz w:val="24"/>
                <w:szCs w:val="24"/>
                <w:lang w:val="en-US" w:eastAsia="zh-CN"/>
              </w:rPr>
            </w:pPr>
            <w:r>
              <w:rPr>
                <w:rFonts w:hint="eastAsia" w:cs="Times New Roman"/>
                <w:color w:val="auto"/>
                <w:kern w:val="2"/>
                <w:sz w:val="24"/>
                <w:szCs w:val="24"/>
                <w:lang w:val="en-US" w:eastAsia="zh-CN"/>
              </w:rPr>
              <w:t>废钢丝</w:t>
            </w:r>
          </w:p>
        </w:tc>
        <w:tc>
          <w:tcPr>
            <w:tcW w:w="2669" w:type="dxa"/>
            <w:vMerge w:val="restart"/>
            <w:vAlign w:val="center"/>
          </w:tcPr>
          <w:p>
            <w:pPr>
              <w:pStyle w:val="24"/>
              <w:adjustRightInd/>
              <w:snapToGrid/>
              <w:spacing w:line="360" w:lineRule="auto"/>
              <w:rPr>
                <w:rFonts w:hint="default" w:ascii="Times New Roman" w:hAnsi="Times New Roman" w:eastAsia="宋体" w:cs="Times New Roman"/>
                <w:color w:val="auto"/>
                <w:kern w:val="2"/>
                <w:sz w:val="24"/>
                <w:szCs w:val="24"/>
                <w:lang w:val="en-US" w:eastAsia="zh-CN"/>
              </w:rPr>
            </w:pPr>
            <w:r>
              <w:rPr>
                <w:rFonts w:hint="eastAsia" w:cs="Times New Roman"/>
                <w:color w:val="auto"/>
                <w:kern w:val="2"/>
                <w:sz w:val="24"/>
                <w:szCs w:val="24"/>
                <w:lang w:val="en-US" w:eastAsia="zh-CN"/>
              </w:rPr>
              <w:t>分类收集后，定期外售</w:t>
            </w:r>
          </w:p>
        </w:tc>
        <w:tc>
          <w:tcPr>
            <w:tcW w:w="2333" w:type="dxa"/>
            <w:vMerge w:val="continue"/>
            <w:vAlign w:val="center"/>
          </w:tcPr>
          <w:p>
            <w:pPr>
              <w:ind w:firstLine="0" w:firstLineChars="0"/>
              <w:jc w:val="center"/>
              <w:rPr>
                <w:rFonts w:ascii="Times New Roman" w:hAnsi="Times New Roman" w:cs="Times New Roman"/>
                <w:color w:val="auto"/>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41" w:type="dxa"/>
            <w:vMerge w:val="continue"/>
            <w:vAlign w:val="center"/>
          </w:tcPr>
          <w:p>
            <w:pPr>
              <w:ind w:firstLine="0" w:firstLineChars="0"/>
              <w:jc w:val="center"/>
              <w:rPr>
                <w:rFonts w:ascii="Times New Roman" w:hAnsi="Times New Roman" w:cs="Times New Roman"/>
                <w:b/>
                <w:bCs/>
                <w:color w:val="auto"/>
                <w:sz w:val="24"/>
                <w:szCs w:val="24"/>
              </w:rPr>
            </w:pPr>
          </w:p>
        </w:tc>
        <w:tc>
          <w:tcPr>
            <w:tcW w:w="1626" w:type="dxa"/>
            <w:vMerge w:val="continue"/>
            <w:vAlign w:val="center"/>
          </w:tcPr>
          <w:p>
            <w:pPr>
              <w:pStyle w:val="24"/>
              <w:adjustRightInd/>
              <w:snapToGrid/>
              <w:spacing w:line="360" w:lineRule="auto"/>
              <w:rPr>
                <w:rFonts w:hint="eastAsia" w:ascii="Times New Roman" w:hAnsi="Times New Roman" w:cs="Times New Roman"/>
                <w:color w:val="auto"/>
                <w:kern w:val="2"/>
                <w:sz w:val="24"/>
                <w:szCs w:val="24"/>
              </w:rPr>
            </w:pPr>
          </w:p>
        </w:tc>
        <w:tc>
          <w:tcPr>
            <w:tcW w:w="1062" w:type="dxa"/>
            <w:vAlign w:val="center"/>
          </w:tcPr>
          <w:p>
            <w:pPr>
              <w:pStyle w:val="24"/>
              <w:adjustRightInd/>
              <w:snapToGrid/>
              <w:spacing w:line="360" w:lineRule="auto"/>
              <w:rPr>
                <w:rFonts w:hint="default" w:cs="Times New Roman"/>
                <w:color w:val="auto"/>
                <w:kern w:val="2"/>
                <w:sz w:val="24"/>
                <w:szCs w:val="24"/>
                <w:lang w:val="en-US" w:eastAsia="zh-CN"/>
              </w:rPr>
            </w:pPr>
            <w:r>
              <w:rPr>
                <w:rFonts w:hint="eastAsia" w:cs="Times New Roman"/>
                <w:color w:val="auto"/>
                <w:kern w:val="2"/>
                <w:sz w:val="24"/>
                <w:szCs w:val="24"/>
                <w:lang w:val="en-US" w:eastAsia="zh-CN"/>
              </w:rPr>
              <w:t>废纤维</w:t>
            </w:r>
          </w:p>
        </w:tc>
        <w:tc>
          <w:tcPr>
            <w:tcW w:w="2669" w:type="dxa"/>
            <w:vMerge w:val="continue"/>
            <w:vAlign w:val="center"/>
          </w:tcPr>
          <w:p>
            <w:pPr>
              <w:pStyle w:val="24"/>
              <w:adjustRightInd/>
              <w:snapToGrid/>
              <w:spacing w:line="360" w:lineRule="auto"/>
              <w:rPr>
                <w:rFonts w:hint="eastAsia" w:ascii="Times New Roman" w:hAnsi="Times New Roman" w:cs="Times New Roman"/>
                <w:color w:val="auto"/>
                <w:kern w:val="2"/>
                <w:sz w:val="24"/>
                <w:szCs w:val="24"/>
              </w:rPr>
            </w:pPr>
          </w:p>
        </w:tc>
        <w:tc>
          <w:tcPr>
            <w:tcW w:w="2333" w:type="dxa"/>
            <w:vMerge w:val="continue"/>
            <w:vAlign w:val="center"/>
          </w:tcPr>
          <w:p>
            <w:pPr>
              <w:ind w:firstLine="0" w:firstLineChars="0"/>
              <w:jc w:val="center"/>
              <w:rPr>
                <w:rFonts w:ascii="Times New Roman" w:hAnsi="Times New Roman" w:cs="Times New Roman"/>
                <w:color w:val="auto"/>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41" w:type="dxa"/>
            <w:vMerge w:val="continue"/>
            <w:vAlign w:val="center"/>
          </w:tcPr>
          <w:p>
            <w:pPr>
              <w:ind w:firstLine="0" w:firstLineChars="0"/>
              <w:jc w:val="center"/>
              <w:rPr>
                <w:rFonts w:ascii="Times New Roman" w:hAnsi="Times New Roman" w:cs="Times New Roman"/>
                <w:b/>
                <w:bCs/>
                <w:color w:val="auto"/>
                <w:sz w:val="24"/>
                <w:szCs w:val="24"/>
              </w:rPr>
            </w:pPr>
          </w:p>
        </w:tc>
        <w:tc>
          <w:tcPr>
            <w:tcW w:w="1626" w:type="dxa"/>
            <w:vMerge w:val="continue"/>
            <w:vAlign w:val="center"/>
          </w:tcPr>
          <w:p>
            <w:pPr>
              <w:pStyle w:val="24"/>
              <w:adjustRightInd/>
              <w:snapToGrid/>
              <w:spacing w:line="360" w:lineRule="auto"/>
              <w:rPr>
                <w:rFonts w:hint="eastAsia" w:ascii="Times New Roman" w:hAnsi="Times New Roman" w:cs="Times New Roman"/>
                <w:color w:val="auto"/>
                <w:kern w:val="2"/>
                <w:sz w:val="24"/>
                <w:szCs w:val="24"/>
              </w:rPr>
            </w:pPr>
          </w:p>
        </w:tc>
        <w:tc>
          <w:tcPr>
            <w:tcW w:w="1062" w:type="dxa"/>
            <w:vAlign w:val="center"/>
          </w:tcPr>
          <w:p>
            <w:pPr>
              <w:pStyle w:val="24"/>
              <w:adjustRightInd/>
              <w:snapToGrid/>
              <w:spacing w:line="360" w:lineRule="auto"/>
              <w:rPr>
                <w:rFonts w:hint="default" w:cs="Times New Roman"/>
                <w:color w:val="auto"/>
                <w:kern w:val="2"/>
                <w:sz w:val="24"/>
                <w:szCs w:val="24"/>
                <w:lang w:val="en-US" w:eastAsia="zh-CN"/>
              </w:rPr>
            </w:pPr>
            <w:r>
              <w:rPr>
                <w:rFonts w:hint="eastAsia" w:cs="Times New Roman"/>
                <w:color w:val="auto"/>
                <w:kern w:val="2"/>
                <w:sz w:val="24"/>
                <w:szCs w:val="24"/>
                <w:lang w:val="en-US" w:eastAsia="zh-CN"/>
              </w:rPr>
              <w:t>废润滑油</w:t>
            </w:r>
          </w:p>
        </w:tc>
        <w:tc>
          <w:tcPr>
            <w:tcW w:w="2669" w:type="dxa"/>
            <w:vAlign w:val="center"/>
          </w:tcPr>
          <w:p>
            <w:pPr>
              <w:pStyle w:val="24"/>
              <w:adjustRightInd/>
              <w:snapToGrid/>
              <w:spacing w:line="360" w:lineRule="auto"/>
              <w:rPr>
                <w:rFonts w:hint="default" w:ascii="Times New Roman" w:hAnsi="Times New Roman" w:eastAsia="宋体" w:cs="Times New Roman"/>
                <w:color w:val="auto"/>
                <w:kern w:val="2"/>
                <w:sz w:val="24"/>
                <w:szCs w:val="24"/>
                <w:lang w:val="en-US" w:eastAsia="zh-CN"/>
              </w:rPr>
            </w:pPr>
            <w:r>
              <w:rPr>
                <w:rFonts w:hint="eastAsia" w:cs="Times New Roman"/>
                <w:color w:val="auto"/>
                <w:kern w:val="2"/>
                <w:sz w:val="24"/>
                <w:szCs w:val="24"/>
                <w:lang w:val="en-US" w:eastAsia="zh-CN"/>
              </w:rPr>
              <w:t>由铁桶收集后，暂存于为废暂存间内，委托有相关资质的单位处置</w:t>
            </w:r>
          </w:p>
        </w:tc>
        <w:tc>
          <w:tcPr>
            <w:tcW w:w="2333" w:type="dxa"/>
            <w:vAlign w:val="center"/>
          </w:tcPr>
          <w:p>
            <w:pPr>
              <w:ind w:firstLine="0" w:firstLineChars="0"/>
              <w:jc w:val="center"/>
              <w:rPr>
                <w:rFonts w:ascii="Times New Roman" w:hAnsi="Times New Roman" w:cs="Times New Roman"/>
                <w:color w:val="auto"/>
                <w:kern w:val="0"/>
                <w:sz w:val="24"/>
                <w:szCs w:val="24"/>
              </w:rPr>
            </w:pPr>
            <w:r>
              <w:rPr>
                <w:rFonts w:hint="eastAsia" w:ascii="Times New Roman" w:hAnsi="Times New Roman" w:eastAsia="宋体" w:cs="Times New Roman"/>
                <w:color w:val="auto"/>
                <w:sz w:val="24"/>
                <w:szCs w:val="24"/>
                <w:lang w:val="en-US" w:eastAsia="zh-CN"/>
              </w:rPr>
              <w:t>《危险废物贮存污染控制标准》（GB18597-2001）及修改单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41" w:type="dxa"/>
            <w:vAlign w:val="center"/>
          </w:tcPr>
          <w:p>
            <w:pPr>
              <w:ind w:firstLine="0" w:firstLineChars="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土壤及地下水污染防治措施</w:t>
            </w:r>
          </w:p>
        </w:tc>
        <w:tc>
          <w:tcPr>
            <w:tcW w:w="7690" w:type="dxa"/>
            <w:gridSpan w:val="4"/>
            <w:vAlign w:val="center"/>
          </w:tcPr>
          <w:p>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Times New Roman"/>
                <w:bCs/>
                <w:color w:val="auto"/>
                <w:sz w:val="24"/>
                <w:szCs w:val="24"/>
                <w:lang w:eastAsia="zh-CN"/>
              </w:rPr>
            </w:pPr>
            <w:r>
              <w:rPr>
                <w:rFonts w:hint="eastAsia" w:ascii="Times New Roman" w:hAnsi="Times New Roman" w:eastAsia="宋体" w:cs="Times New Roman"/>
                <w:bCs/>
                <w:color w:val="auto"/>
                <w:sz w:val="24"/>
                <w:szCs w:val="24"/>
              </w:rPr>
              <w:t>①</w:t>
            </w:r>
            <w:r>
              <w:rPr>
                <w:rFonts w:hint="eastAsia" w:ascii="Times New Roman" w:hAnsi="Times New Roman" w:eastAsia="宋体" w:cs="Times New Roman"/>
                <w:bCs/>
                <w:color w:val="auto"/>
                <w:sz w:val="24"/>
                <w:szCs w:val="24"/>
                <w:lang w:val="en-US" w:eastAsia="zh-CN"/>
              </w:rPr>
              <w:t>废铁渣集中收集后暂存于一般固废暂存</w:t>
            </w:r>
            <w:r>
              <w:rPr>
                <w:rFonts w:hint="eastAsia" w:cs="Times New Roman"/>
                <w:bCs/>
                <w:color w:val="auto"/>
                <w:sz w:val="24"/>
                <w:szCs w:val="24"/>
                <w:lang w:val="en-US" w:eastAsia="zh-CN"/>
              </w:rPr>
              <w:t>区</w:t>
            </w:r>
            <w:r>
              <w:rPr>
                <w:rFonts w:hint="eastAsia" w:ascii="Times New Roman" w:hAnsi="Times New Roman" w:eastAsia="宋体" w:cs="Times New Roman"/>
                <w:bCs/>
                <w:color w:val="auto"/>
                <w:sz w:val="24"/>
                <w:szCs w:val="24"/>
                <w:lang w:val="en-US" w:eastAsia="zh-CN"/>
              </w:rPr>
              <w:t>；化粪池及一般固废暂存</w:t>
            </w:r>
            <w:r>
              <w:rPr>
                <w:rFonts w:hint="eastAsia" w:cs="Times New Roman"/>
                <w:bCs/>
                <w:color w:val="auto"/>
                <w:sz w:val="24"/>
                <w:szCs w:val="24"/>
                <w:lang w:val="en-US" w:eastAsia="zh-CN"/>
              </w:rPr>
              <w:t>区</w:t>
            </w:r>
            <w:r>
              <w:rPr>
                <w:rFonts w:hint="eastAsia" w:ascii="Times New Roman" w:hAnsi="Times New Roman" w:eastAsia="宋体" w:cs="Times New Roman"/>
                <w:bCs/>
                <w:color w:val="auto"/>
                <w:sz w:val="24"/>
                <w:szCs w:val="24"/>
                <w:lang w:val="en-US" w:eastAsia="zh-CN"/>
              </w:rPr>
              <w:t>的</w:t>
            </w:r>
            <w:r>
              <w:rPr>
                <w:rFonts w:hint="eastAsia" w:ascii="Times New Roman" w:hAnsi="Times New Roman" w:eastAsia="宋体" w:cs="Times New Roman"/>
                <w:bCs/>
                <w:color w:val="auto"/>
                <w:sz w:val="24"/>
                <w:szCs w:val="24"/>
              </w:rPr>
              <w:t>渗透系数</w:t>
            </w:r>
            <w:r>
              <w:rPr>
                <w:rFonts w:hint="eastAsia" w:ascii="Times New Roman" w:hAnsi="Times New Roman" w:eastAsia="宋体" w:cs="Times New Roman"/>
                <w:bCs/>
                <w:color w:val="auto"/>
                <w:sz w:val="24"/>
                <w:szCs w:val="24"/>
                <w:lang w:val="en-US" w:eastAsia="zh-CN"/>
              </w:rPr>
              <w:t>满足</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bCs/>
                <w:color w:val="auto"/>
                <w:sz w:val="24"/>
                <w:szCs w:val="24"/>
                <w:lang w:val="en-US" w:eastAsia="zh-CN"/>
              </w:rPr>
              <w:t>1</w:t>
            </w:r>
            <w:r>
              <w:rPr>
                <w:rFonts w:hint="default" w:ascii="Arial" w:hAnsi="Arial" w:eastAsia="宋体" w:cs="Arial"/>
                <w:bCs/>
                <w:color w:val="auto"/>
                <w:sz w:val="24"/>
                <w:szCs w:val="24"/>
                <w:lang w:val="en-US" w:eastAsia="zh-CN"/>
              </w:rPr>
              <w:t>×</w:t>
            </w:r>
            <w:r>
              <w:rPr>
                <w:rFonts w:hint="eastAsia" w:ascii="Times New Roman" w:hAnsi="Times New Roman" w:eastAsia="宋体" w:cs="Times New Roman"/>
                <w:bCs/>
                <w:color w:val="auto"/>
                <w:sz w:val="24"/>
                <w:szCs w:val="24"/>
              </w:rPr>
              <w:t>10</w:t>
            </w:r>
            <w:r>
              <w:rPr>
                <w:rFonts w:hint="eastAsia" w:ascii="Times New Roman" w:hAnsi="Times New Roman" w:eastAsia="宋体" w:cs="Times New Roman"/>
                <w:bCs/>
                <w:color w:val="auto"/>
                <w:sz w:val="24"/>
                <w:szCs w:val="24"/>
                <w:vertAlign w:val="superscript"/>
              </w:rPr>
              <w:t>-7</w:t>
            </w:r>
            <w:r>
              <w:rPr>
                <w:rFonts w:hint="eastAsia" w:ascii="Times New Roman" w:hAnsi="Times New Roman" w:eastAsia="宋体" w:cs="Times New Roman"/>
                <w:bCs/>
                <w:color w:val="auto"/>
                <w:sz w:val="24"/>
                <w:szCs w:val="24"/>
              </w:rPr>
              <w:t>cm/s</w:t>
            </w:r>
            <w:r>
              <w:rPr>
                <w:rFonts w:hint="eastAsia" w:ascii="Times New Roman" w:hAnsi="Times New Roman" w:eastAsia="宋体" w:cs="Times New Roman"/>
                <w:bCs/>
                <w:color w:val="auto"/>
                <w:sz w:val="24"/>
                <w:szCs w:val="24"/>
                <w:lang w:eastAsia="zh-CN"/>
              </w:rPr>
              <w:t>。</w:t>
            </w:r>
          </w:p>
          <w:p>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rPr>
              <w:t>②</w:t>
            </w:r>
            <w:r>
              <w:rPr>
                <w:rFonts w:hint="eastAsia" w:ascii="Times New Roman" w:hAnsi="Times New Roman" w:eastAsia="宋体" w:cs="Times New Roman"/>
                <w:bCs/>
                <w:color w:val="auto"/>
                <w:sz w:val="24"/>
                <w:szCs w:val="24"/>
                <w:lang w:val="en-US" w:eastAsia="zh-CN"/>
              </w:rPr>
              <w:t>维修和养护生产设备产生的废机油经桶收集后暂存于危废暂存间，其渗透系数为满足</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bCs/>
                <w:color w:val="auto"/>
                <w:sz w:val="24"/>
                <w:szCs w:val="24"/>
                <w:lang w:val="en-US" w:eastAsia="zh-CN"/>
              </w:rPr>
              <w:t>1</w:t>
            </w:r>
            <w:r>
              <w:rPr>
                <w:rFonts w:hint="default" w:ascii="Arial" w:hAnsi="Arial" w:eastAsia="宋体" w:cs="Arial"/>
                <w:bCs/>
                <w:color w:val="auto"/>
                <w:sz w:val="24"/>
                <w:szCs w:val="24"/>
                <w:lang w:val="en-US" w:eastAsia="zh-CN"/>
              </w:rPr>
              <w:t>×</w:t>
            </w:r>
            <w:r>
              <w:rPr>
                <w:rFonts w:hint="eastAsia" w:ascii="Times New Roman" w:hAnsi="Times New Roman" w:eastAsia="宋体" w:cs="Times New Roman"/>
                <w:bCs/>
                <w:color w:val="auto"/>
                <w:sz w:val="24"/>
                <w:szCs w:val="24"/>
              </w:rPr>
              <w:t>10</w:t>
            </w:r>
            <w:r>
              <w:rPr>
                <w:rFonts w:hint="eastAsia" w:ascii="Times New Roman" w:hAnsi="Times New Roman" w:eastAsia="宋体" w:cs="Times New Roman"/>
                <w:bCs/>
                <w:color w:val="auto"/>
                <w:sz w:val="24"/>
                <w:szCs w:val="24"/>
                <w:vertAlign w:val="superscript"/>
              </w:rPr>
              <w:t>-</w:t>
            </w:r>
            <w:r>
              <w:rPr>
                <w:rFonts w:hint="eastAsia" w:ascii="Times New Roman" w:hAnsi="Times New Roman" w:eastAsia="宋体" w:cs="Times New Roman"/>
                <w:bCs/>
                <w:color w:val="auto"/>
                <w:sz w:val="24"/>
                <w:szCs w:val="24"/>
                <w:vertAlign w:val="superscript"/>
                <w:lang w:val="en-US" w:eastAsia="zh-CN"/>
              </w:rPr>
              <w:t>10</w:t>
            </w:r>
            <w:r>
              <w:rPr>
                <w:rFonts w:hint="eastAsia" w:ascii="Times New Roman" w:hAnsi="Times New Roman" w:eastAsia="宋体" w:cs="Times New Roman"/>
                <w:bCs/>
                <w:color w:val="auto"/>
                <w:sz w:val="24"/>
                <w:szCs w:val="24"/>
              </w:rPr>
              <w:t>cm/s</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Times New Roman" w:hAnsi="Times New Roman" w:cs="Times New Roman"/>
                <w:color w:val="auto"/>
                <w:sz w:val="24"/>
                <w:szCs w:val="24"/>
              </w:rPr>
            </w:pPr>
            <w:r>
              <w:rPr>
                <w:rFonts w:hint="eastAsia" w:ascii="Times New Roman" w:hAnsi="Times New Roman" w:eastAsia="宋体" w:cs="Times New Roman"/>
                <w:bCs/>
                <w:color w:val="auto"/>
                <w:sz w:val="24"/>
                <w:szCs w:val="24"/>
              </w:rPr>
              <w:t>③加强环保设施的维护，确保废气污染物达标排放。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141" w:type="dxa"/>
            <w:vAlign w:val="center"/>
          </w:tcPr>
          <w:p>
            <w:pPr>
              <w:ind w:firstLine="0" w:firstLineChars="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生态保护措施</w:t>
            </w:r>
          </w:p>
        </w:tc>
        <w:tc>
          <w:tcPr>
            <w:tcW w:w="7690" w:type="dxa"/>
            <w:gridSpan w:val="4"/>
            <w:vAlign w:val="center"/>
          </w:tcPr>
          <w:p>
            <w:pPr>
              <w:pStyle w:val="9"/>
              <w:ind w:firstLine="0" w:firstLineChars="0"/>
              <w:jc w:val="center"/>
              <w:rPr>
                <w:rFonts w:ascii="Times New Roman" w:hAnsi="Times New Roman" w:cs="Times New Roman"/>
                <w:color w:val="auto"/>
                <w:sz w:val="24"/>
                <w:szCs w:val="24"/>
              </w:rPr>
            </w:pPr>
            <w:r>
              <w:rPr>
                <w:rFonts w:ascii="Times New Roman" w:hAnsi="Times New Roman" w:cs="Times New Roman"/>
                <w:bCs/>
                <w:color w:val="auto"/>
                <w:sz w:val="24"/>
                <w:szCs w:val="24"/>
                <w:lang w:bidi="ar-OM"/>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41" w:type="dxa"/>
            <w:vAlign w:val="center"/>
          </w:tcPr>
          <w:p>
            <w:pPr>
              <w:ind w:firstLine="0" w:firstLineChars="0"/>
              <w:jc w:val="center"/>
              <w:rPr>
                <w:rFonts w:ascii="Times New Roman" w:hAnsi="Times New Roman" w:cs="Times New Roman"/>
                <w:b/>
                <w:bCs/>
                <w:color w:val="auto"/>
                <w:spacing w:val="-8"/>
                <w:sz w:val="24"/>
                <w:szCs w:val="24"/>
              </w:rPr>
            </w:pPr>
            <w:r>
              <w:rPr>
                <w:rFonts w:ascii="Times New Roman" w:hAnsi="Times New Roman" w:cs="Times New Roman"/>
                <w:b/>
                <w:bCs/>
                <w:color w:val="auto"/>
                <w:spacing w:val="-8"/>
                <w:sz w:val="24"/>
                <w:szCs w:val="24"/>
              </w:rPr>
              <w:t>环境风险</w:t>
            </w:r>
          </w:p>
          <w:p>
            <w:pPr>
              <w:ind w:firstLine="0" w:firstLineChars="0"/>
              <w:jc w:val="center"/>
              <w:rPr>
                <w:rFonts w:ascii="Times New Roman" w:hAnsi="Times New Roman" w:cs="Times New Roman"/>
                <w:b/>
                <w:bCs/>
                <w:color w:val="auto"/>
                <w:spacing w:val="-8"/>
                <w:sz w:val="24"/>
                <w:szCs w:val="24"/>
              </w:rPr>
            </w:pPr>
            <w:r>
              <w:rPr>
                <w:rFonts w:ascii="Times New Roman" w:hAnsi="Times New Roman" w:cs="Times New Roman"/>
                <w:b/>
                <w:bCs/>
                <w:color w:val="auto"/>
                <w:spacing w:val="-8"/>
                <w:sz w:val="24"/>
                <w:szCs w:val="24"/>
              </w:rPr>
              <w:t>防范措施</w:t>
            </w:r>
          </w:p>
        </w:tc>
        <w:tc>
          <w:tcPr>
            <w:tcW w:w="7690" w:type="dxa"/>
            <w:gridSpan w:val="4"/>
            <w:vAlign w:val="center"/>
          </w:tcPr>
          <w:p>
            <w:pPr>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t>严格执行《建筑设计防火规范》，结合厂地自然环境，根据生产流程和火灾危险分类，按照功能分区要求进行集中布置。根据规范要求满足建构筑物间的防火间距，确保消防车道畅通。</w:t>
            </w:r>
          </w:p>
          <w:p>
            <w:pPr>
              <w:ind w:firstLine="0" w:firstLineChars="0"/>
              <w:rPr>
                <w:rFonts w:ascii="Times New Roman" w:hAnsi="Times New Roman" w:cs="Times New Roman"/>
                <w:color w:val="auto"/>
                <w:sz w:val="24"/>
                <w:szCs w:val="24"/>
              </w:rPr>
            </w:pPr>
            <w:r>
              <w:rPr>
                <w:rFonts w:hint="eastAsia" w:ascii="Times New Roman" w:hAnsi="Times New Roman" w:cs="Times New Roman"/>
                <w:color w:val="auto"/>
                <w:sz w:val="24"/>
                <w:szCs w:val="24"/>
                <w:lang w:eastAsia="zh-CN"/>
              </w:rPr>
              <w:t>原料</w:t>
            </w:r>
            <w:r>
              <w:rPr>
                <w:rFonts w:ascii="Times New Roman" w:hAnsi="Times New Roman" w:cs="Times New Roman"/>
                <w:color w:val="auto"/>
                <w:sz w:val="24"/>
                <w:szCs w:val="24"/>
              </w:rPr>
              <w:t>存储区严禁吸烟和使用明火，防止火源进入；设置明显标志；安全设施、消防器材齐备；制定各种操作规范，加强监督管理，严格安全、环保检查制度，避免环境事件的发生。</w:t>
            </w:r>
          </w:p>
          <w:p>
            <w:pPr>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t>加大安全、环保设施的投入：在强化安全、环保教育，提高安全、环保意识的同时，企业保证预警、监控设施到位。配备救护设备；危险作业增设监护人员并为其配备通讯、救援等设备；按照国家、地方和相关部门要求，编制突发环境事件应急预案；企业根据实际情况，不断充实和完善应急预案的各项措施，并定期组织演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1" w:hRule="atLeast"/>
          <w:jc w:val="center"/>
        </w:trPr>
        <w:tc>
          <w:tcPr>
            <w:tcW w:w="1141" w:type="dxa"/>
            <w:vAlign w:val="center"/>
          </w:tcPr>
          <w:p>
            <w:pPr>
              <w:ind w:firstLine="0" w:firstLineChars="0"/>
              <w:jc w:val="center"/>
              <w:rPr>
                <w:rFonts w:ascii="Times New Roman" w:hAnsi="Times New Roman" w:cs="Times New Roman"/>
                <w:b/>
                <w:bCs/>
                <w:color w:val="auto"/>
                <w:spacing w:val="-8"/>
                <w:sz w:val="24"/>
                <w:szCs w:val="24"/>
              </w:rPr>
            </w:pPr>
            <w:r>
              <w:rPr>
                <w:rFonts w:ascii="Times New Roman" w:hAnsi="Times New Roman" w:cs="Times New Roman"/>
                <w:b/>
                <w:bCs/>
                <w:color w:val="auto"/>
                <w:spacing w:val="-8"/>
                <w:sz w:val="24"/>
                <w:szCs w:val="24"/>
              </w:rPr>
              <w:t>其他环境</w:t>
            </w:r>
          </w:p>
          <w:p>
            <w:pPr>
              <w:ind w:firstLine="0" w:firstLineChars="0"/>
              <w:jc w:val="center"/>
              <w:rPr>
                <w:rFonts w:ascii="Times New Roman" w:hAnsi="Times New Roman" w:cs="Times New Roman"/>
                <w:b/>
                <w:bCs/>
                <w:color w:val="auto"/>
                <w:spacing w:val="-8"/>
                <w:sz w:val="24"/>
                <w:szCs w:val="24"/>
              </w:rPr>
            </w:pPr>
            <w:r>
              <w:rPr>
                <w:rFonts w:ascii="Times New Roman" w:hAnsi="Times New Roman" w:cs="Times New Roman"/>
                <w:b/>
                <w:bCs/>
                <w:color w:val="auto"/>
                <w:spacing w:val="-8"/>
                <w:sz w:val="24"/>
                <w:szCs w:val="24"/>
              </w:rPr>
              <w:t>管理要求</w:t>
            </w:r>
          </w:p>
        </w:tc>
        <w:tc>
          <w:tcPr>
            <w:tcW w:w="7690" w:type="dxa"/>
            <w:gridSpan w:val="4"/>
          </w:tcPr>
          <w:p>
            <w:pPr>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t>1、竣工环境保护验收</w:t>
            </w:r>
          </w:p>
          <w:p>
            <w:pPr>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t>根据《建设项目竣工环境保护验收暂行办法》的规定，建设项目竣工后，建设单位应当如实查验、监测、记载建设项目环境保护设施的建设和调试情况，</w:t>
            </w:r>
            <w:r>
              <w:rPr>
                <w:rFonts w:hint="eastAsia" w:ascii="Times New Roman" w:hAnsi="Times New Roman" w:cs="Times New Roman"/>
                <w:color w:val="auto"/>
                <w:sz w:val="24"/>
                <w:szCs w:val="24"/>
              </w:rPr>
              <w:t>投产后与原项目结合</w:t>
            </w:r>
            <w:r>
              <w:rPr>
                <w:rFonts w:ascii="Times New Roman" w:hAnsi="Times New Roman" w:cs="Times New Roman"/>
                <w:color w:val="auto"/>
                <w:sz w:val="24"/>
                <w:szCs w:val="24"/>
              </w:rPr>
              <w:t>编制验收监测报告。</w:t>
            </w:r>
          </w:p>
          <w:p>
            <w:pPr>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t>2、排污许可管理要求</w:t>
            </w:r>
          </w:p>
          <w:p>
            <w:pPr>
              <w:ind w:firstLine="0" w:firstLineChars="0"/>
              <w:rPr>
                <w:rFonts w:ascii="Times New Roman" w:hAnsi="Times New Roman" w:eastAsia="宋体" w:cs="Times New Roman"/>
                <w:color w:val="auto"/>
                <w:sz w:val="24"/>
                <w:szCs w:val="24"/>
              </w:rPr>
            </w:pPr>
            <w:r>
              <w:rPr>
                <w:rFonts w:ascii="Times New Roman" w:hAnsi="Times New Roman" w:cs="Times New Roman"/>
                <w:color w:val="auto"/>
                <w:sz w:val="24"/>
                <w:szCs w:val="24"/>
              </w:rPr>
              <w:t>根据《固定污染源排污许可分类管理名录（2019年版）》（生态环境部第11号）可知本项目实行排污许可</w:t>
            </w:r>
            <w:r>
              <w:rPr>
                <w:rFonts w:hint="eastAsia" w:cs="Times New Roman"/>
                <w:color w:val="auto"/>
                <w:sz w:val="24"/>
                <w:szCs w:val="24"/>
                <w:lang w:val="en-US" w:eastAsia="zh-CN"/>
              </w:rPr>
              <w:t>重点</w:t>
            </w:r>
            <w:r>
              <w:rPr>
                <w:rFonts w:ascii="Times New Roman" w:hAnsi="Times New Roman" w:cs="Times New Roman"/>
                <w:color w:val="auto"/>
                <w:sz w:val="24"/>
                <w:szCs w:val="24"/>
              </w:rPr>
              <w:t>管理；因此，建设单位应当在启动生产设施或者发生实际排污之前在全国排污许可证管理信息平台进行排污许可证申请</w:t>
            </w:r>
            <w:r>
              <w:rPr>
                <w:rFonts w:hint="eastAsia" w:ascii="Times New Roman" w:hAnsi="Times New Roman" w:cs="Times New Roman"/>
                <w:color w:val="auto"/>
                <w:sz w:val="24"/>
                <w:szCs w:val="24"/>
              </w:rPr>
              <w:t>。</w:t>
            </w:r>
          </w:p>
        </w:tc>
      </w:tr>
    </w:tbl>
    <w:p>
      <w:pPr>
        <w:rPr>
          <w:rFonts w:hint="default"/>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bidi w:val="0"/>
        <w:rPr>
          <w:color w:val="auto"/>
        </w:rPr>
      </w:pPr>
      <w:r>
        <w:rPr>
          <w:color w:val="auto"/>
        </w:rPr>
        <w:t>六、结论</w:t>
      </w:r>
    </w:p>
    <w:tbl>
      <w:tblPr>
        <w:tblStyle w:val="17"/>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vAlign w:val="center"/>
          </w:tcPr>
          <w:p>
            <w:pPr>
              <w:spacing w:line="360" w:lineRule="auto"/>
              <w:ind w:firstLine="480" w:firstLineChars="200"/>
              <w:jc w:val="both"/>
              <w:rPr>
                <w:rFonts w:hint="eastAsia" w:ascii="宋体" w:cs="宋体"/>
                <w:color w:val="auto"/>
                <w:sz w:val="24"/>
                <w:lang w:val="en-US" w:eastAsia="zh-CN"/>
              </w:rPr>
            </w:pPr>
            <w:r>
              <w:rPr>
                <w:rFonts w:hint="eastAsia" w:ascii="宋体" w:cs="宋体"/>
                <w:color w:val="auto"/>
                <w:sz w:val="24"/>
                <w:lang w:val="en-US" w:eastAsia="zh-CN"/>
              </w:rPr>
              <w:t>综上所述，项目建设符合国家和地方的相关政策，厂址选择符合当地大气、噪声功能区划的要求，在各项污染防治措施落实后，污染物均能达标排放。因此，该项目在采取相应的环保措施之后，从环保角度讲拟建项目建设是可行的。</w:t>
            </w:r>
          </w:p>
          <w:p>
            <w:pPr>
              <w:ind w:firstLine="480"/>
              <w:jc w:val="both"/>
              <w:rPr>
                <w:color w:val="auto"/>
                <w:szCs w:val="21"/>
              </w:rPr>
            </w:pPr>
          </w:p>
        </w:tc>
      </w:tr>
    </w:tbl>
    <w:p>
      <w:pPr>
        <w:pStyle w:val="2"/>
        <w:rPr>
          <w:rFonts w:hint="default"/>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bidi w:val="0"/>
        <w:rPr>
          <w:color w:val="auto"/>
        </w:rPr>
      </w:pPr>
      <w:r>
        <w:rPr>
          <w:color w:val="auto"/>
        </w:rPr>
        <w:t>附表</w:t>
      </w:r>
    </w:p>
    <w:p>
      <w:pPr>
        <w:pStyle w:val="15"/>
        <w:adjustRightInd w:val="0"/>
        <w:snapToGrid w:val="0"/>
        <w:spacing w:before="0" w:beforeAutospacing="0" w:after="0" w:afterAutospacing="0"/>
        <w:ind w:firstLine="0" w:firstLineChars="0"/>
        <w:jc w:val="center"/>
        <w:outlineLvl w:val="9"/>
        <w:rPr>
          <w:rFonts w:ascii="Times New Roman" w:hAnsi="Times New Roman" w:cs="Times New Roman"/>
          <w:b/>
          <w:bCs/>
          <w:snapToGrid w:val="0"/>
          <w:color w:val="auto"/>
          <w:sz w:val="21"/>
          <w:szCs w:val="21"/>
        </w:rPr>
      </w:pPr>
      <w:r>
        <w:rPr>
          <w:rFonts w:ascii="Times New Roman" w:hAnsi="Times New Roman" w:cs="Times New Roman"/>
          <w:b/>
          <w:bCs/>
          <w:snapToGrid w:val="0"/>
          <w:color w:val="auto"/>
          <w:sz w:val="21"/>
          <w:szCs w:val="21"/>
        </w:rPr>
        <w:t>建设项目污染物排放量汇总表</w:t>
      </w:r>
    </w:p>
    <w:tbl>
      <w:tblPr>
        <w:tblStyle w:val="1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42"/>
        <w:gridCol w:w="1603"/>
        <w:gridCol w:w="1701"/>
        <w:gridCol w:w="1295"/>
        <w:gridCol w:w="1682"/>
        <w:gridCol w:w="1559"/>
        <w:gridCol w:w="1463"/>
        <w:gridCol w:w="1692"/>
        <w:gridCol w:w="13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02" w:type="dxa"/>
            <w:gridSpan w:val="2"/>
            <w:tcBorders>
              <w:tl2br w:val="single" w:color="auto" w:sz="4" w:space="0"/>
            </w:tcBorders>
            <w:tcMar>
              <w:left w:w="28" w:type="dxa"/>
              <w:right w:w="28" w:type="dxa"/>
            </w:tcMar>
            <w:vAlign w:val="center"/>
          </w:tcPr>
          <w:p>
            <w:pPr>
              <w:pStyle w:val="24"/>
              <w:spacing w:line="360" w:lineRule="auto"/>
              <w:rPr>
                <w:rFonts w:ascii="Times New Roman" w:hAnsi="Times New Roman" w:cs="Times New Roman"/>
                <w:b/>
                <w:bCs/>
                <w:snapToGrid w:val="0"/>
                <w:color w:val="auto"/>
                <w:spacing w:val="-6"/>
                <w:kern w:val="21"/>
              </w:rPr>
            </w:pPr>
            <w:r>
              <w:rPr>
                <w:rFonts w:hint="eastAsia" w:ascii="Times New Roman" w:hAnsi="Times New Roman" w:cs="Times New Roman"/>
                <w:b/>
                <w:bCs/>
                <w:snapToGrid w:val="0"/>
                <w:color w:val="auto"/>
                <w:spacing w:val="-6"/>
                <w:kern w:val="21"/>
              </w:rPr>
              <w:t xml:space="preserve">         </w:t>
            </w:r>
            <w:r>
              <w:rPr>
                <w:rFonts w:ascii="Times New Roman" w:hAnsi="Times New Roman" w:cs="Times New Roman"/>
                <w:b/>
                <w:bCs/>
                <w:snapToGrid w:val="0"/>
                <w:color w:val="auto"/>
                <w:spacing w:val="-6"/>
                <w:kern w:val="21"/>
              </w:rPr>
              <w:t>项目</w:t>
            </w:r>
          </w:p>
          <w:p>
            <w:pPr>
              <w:pStyle w:val="24"/>
              <w:spacing w:line="360" w:lineRule="auto"/>
              <w:jc w:val="both"/>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t>分类</w:t>
            </w:r>
          </w:p>
        </w:tc>
        <w:tc>
          <w:tcPr>
            <w:tcW w:w="1603" w:type="dxa"/>
            <w:tcMar>
              <w:left w:w="28" w:type="dxa"/>
              <w:right w:w="28" w:type="dxa"/>
            </w:tcMar>
            <w:vAlign w:val="center"/>
          </w:tcPr>
          <w:p>
            <w:pPr>
              <w:pStyle w:val="24"/>
              <w:spacing w:line="360" w:lineRule="auto"/>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t>污染物名称</w:t>
            </w:r>
          </w:p>
        </w:tc>
        <w:tc>
          <w:tcPr>
            <w:tcW w:w="1701" w:type="dxa"/>
            <w:tcMar>
              <w:left w:w="28" w:type="dxa"/>
              <w:right w:w="28" w:type="dxa"/>
            </w:tcMar>
            <w:vAlign w:val="center"/>
          </w:tcPr>
          <w:p>
            <w:pPr>
              <w:pStyle w:val="24"/>
              <w:spacing w:line="360" w:lineRule="auto"/>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t>现有工程</w:t>
            </w:r>
          </w:p>
          <w:p>
            <w:pPr>
              <w:pStyle w:val="24"/>
              <w:spacing w:line="360" w:lineRule="auto"/>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t>排放量（固体废物产生量）</w:t>
            </w:r>
            <w:r>
              <w:rPr>
                <w:rFonts w:ascii="Times New Roman" w:hAnsi="Times New Roman" w:cs="Times New Roman"/>
                <w:b/>
                <w:bCs/>
                <w:snapToGrid w:val="0"/>
                <w:color w:val="auto"/>
                <w:spacing w:val="-6"/>
                <w:kern w:val="21"/>
              </w:rPr>
              <w:fldChar w:fldCharType="begin"/>
            </w:r>
            <w:r>
              <w:rPr>
                <w:rFonts w:ascii="Times New Roman" w:hAnsi="Times New Roman" w:cs="Times New Roman"/>
                <w:b/>
                <w:bCs/>
                <w:snapToGrid w:val="0"/>
                <w:color w:val="auto"/>
                <w:spacing w:val="-6"/>
                <w:kern w:val="21"/>
              </w:rPr>
              <w:instrText xml:space="preserve"> = 1 \* GB3 \* MERGEFORMAT </w:instrText>
            </w:r>
            <w:r>
              <w:rPr>
                <w:rFonts w:ascii="Times New Roman" w:hAnsi="Times New Roman" w:cs="Times New Roman"/>
                <w:b/>
                <w:bCs/>
                <w:snapToGrid w:val="0"/>
                <w:color w:val="auto"/>
                <w:spacing w:val="-6"/>
                <w:kern w:val="21"/>
              </w:rPr>
              <w:fldChar w:fldCharType="separate"/>
            </w:r>
            <w:r>
              <w:rPr>
                <w:rFonts w:ascii="Times New Roman" w:hAnsi="Times New Roman" w:cs="Times New Roman"/>
                <w:b/>
                <w:bCs/>
                <w:color w:val="auto"/>
                <w:kern w:val="2"/>
              </w:rPr>
              <w:t>①</w:t>
            </w:r>
            <w:r>
              <w:rPr>
                <w:rFonts w:ascii="Times New Roman" w:hAnsi="Times New Roman" w:cs="Times New Roman"/>
                <w:b/>
                <w:bCs/>
                <w:snapToGrid w:val="0"/>
                <w:color w:val="auto"/>
                <w:spacing w:val="-6"/>
                <w:kern w:val="21"/>
              </w:rPr>
              <w:fldChar w:fldCharType="end"/>
            </w:r>
          </w:p>
        </w:tc>
        <w:tc>
          <w:tcPr>
            <w:tcW w:w="1295" w:type="dxa"/>
            <w:tcMar>
              <w:left w:w="28" w:type="dxa"/>
              <w:right w:w="28" w:type="dxa"/>
            </w:tcMar>
            <w:vAlign w:val="center"/>
          </w:tcPr>
          <w:p>
            <w:pPr>
              <w:pStyle w:val="24"/>
              <w:spacing w:line="360" w:lineRule="auto"/>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t>现有工程</w:t>
            </w:r>
          </w:p>
          <w:p>
            <w:pPr>
              <w:pStyle w:val="24"/>
              <w:spacing w:line="360" w:lineRule="auto"/>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t>许可排放量</w:t>
            </w:r>
          </w:p>
          <w:p>
            <w:pPr>
              <w:pStyle w:val="24"/>
              <w:spacing w:line="360" w:lineRule="auto"/>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fldChar w:fldCharType="begin"/>
            </w:r>
            <w:r>
              <w:rPr>
                <w:rFonts w:ascii="Times New Roman" w:hAnsi="Times New Roman" w:cs="Times New Roman"/>
                <w:b/>
                <w:bCs/>
                <w:snapToGrid w:val="0"/>
                <w:color w:val="auto"/>
                <w:spacing w:val="-6"/>
                <w:kern w:val="21"/>
              </w:rPr>
              <w:instrText xml:space="preserve"> = 2 \* GB3 \* MERGEFORMAT </w:instrText>
            </w:r>
            <w:r>
              <w:rPr>
                <w:rFonts w:ascii="Times New Roman" w:hAnsi="Times New Roman" w:cs="Times New Roman"/>
                <w:b/>
                <w:bCs/>
                <w:snapToGrid w:val="0"/>
                <w:color w:val="auto"/>
                <w:spacing w:val="-6"/>
                <w:kern w:val="21"/>
              </w:rPr>
              <w:fldChar w:fldCharType="separate"/>
            </w:r>
            <w:r>
              <w:rPr>
                <w:rFonts w:ascii="Times New Roman" w:hAnsi="Times New Roman" w:cs="Times New Roman"/>
                <w:b/>
                <w:bCs/>
                <w:snapToGrid w:val="0"/>
                <w:color w:val="auto"/>
                <w:spacing w:val="-6"/>
                <w:kern w:val="21"/>
              </w:rPr>
              <w:t>②</w:t>
            </w:r>
            <w:r>
              <w:rPr>
                <w:rFonts w:ascii="Times New Roman" w:hAnsi="Times New Roman" w:cs="Times New Roman"/>
                <w:b/>
                <w:bCs/>
                <w:snapToGrid w:val="0"/>
                <w:color w:val="auto"/>
                <w:spacing w:val="-6"/>
                <w:kern w:val="21"/>
              </w:rPr>
              <w:fldChar w:fldCharType="end"/>
            </w:r>
          </w:p>
        </w:tc>
        <w:tc>
          <w:tcPr>
            <w:tcW w:w="1682" w:type="dxa"/>
            <w:tcMar>
              <w:left w:w="28" w:type="dxa"/>
              <w:right w:w="28" w:type="dxa"/>
            </w:tcMar>
            <w:vAlign w:val="center"/>
          </w:tcPr>
          <w:p>
            <w:pPr>
              <w:pStyle w:val="24"/>
              <w:spacing w:line="360" w:lineRule="auto"/>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t>在建工程</w:t>
            </w:r>
          </w:p>
          <w:p>
            <w:pPr>
              <w:pStyle w:val="24"/>
              <w:spacing w:line="360" w:lineRule="auto"/>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t>排放量（固体废物产生量）</w:t>
            </w:r>
            <w:r>
              <w:rPr>
                <w:rFonts w:ascii="Times New Roman" w:hAnsi="Times New Roman" w:cs="Times New Roman"/>
                <w:b/>
                <w:bCs/>
                <w:snapToGrid w:val="0"/>
                <w:color w:val="auto"/>
                <w:spacing w:val="-6"/>
                <w:kern w:val="21"/>
              </w:rPr>
              <w:fldChar w:fldCharType="begin"/>
            </w:r>
            <w:r>
              <w:rPr>
                <w:rFonts w:ascii="Times New Roman" w:hAnsi="Times New Roman" w:cs="Times New Roman"/>
                <w:b/>
                <w:bCs/>
                <w:snapToGrid w:val="0"/>
                <w:color w:val="auto"/>
                <w:spacing w:val="-6"/>
                <w:kern w:val="21"/>
              </w:rPr>
              <w:instrText xml:space="preserve"> = 3 \* GB3 \* MERGEFORMAT </w:instrText>
            </w:r>
            <w:r>
              <w:rPr>
                <w:rFonts w:ascii="Times New Roman" w:hAnsi="Times New Roman" w:cs="Times New Roman"/>
                <w:b/>
                <w:bCs/>
                <w:snapToGrid w:val="0"/>
                <w:color w:val="auto"/>
                <w:spacing w:val="-6"/>
                <w:kern w:val="21"/>
              </w:rPr>
              <w:fldChar w:fldCharType="separate"/>
            </w:r>
            <w:r>
              <w:rPr>
                <w:rFonts w:ascii="Times New Roman" w:hAnsi="Times New Roman" w:cs="Times New Roman"/>
                <w:b/>
                <w:bCs/>
                <w:color w:val="auto"/>
                <w:kern w:val="2"/>
              </w:rPr>
              <w:t>③</w:t>
            </w:r>
            <w:r>
              <w:rPr>
                <w:rFonts w:ascii="Times New Roman" w:hAnsi="Times New Roman" w:cs="Times New Roman"/>
                <w:b/>
                <w:bCs/>
                <w:snapToGrid w:val="0"/>
                <w:color w:val="auto"/>
                <w:spacing w:val="-6"/>
                <w:kern w:val="21"/>
              </w:rPr>
              <w:fldChar w:fldCharType="end"/>
            </w:r>
          </w:p>
        </w:tc>
        <w:tc>
          <w:tcPr>
            <w:tcW w:w="1559" w:type="dxa"/>
            <w:tcMar>
              <w:left w:w="28" w:type="dxa"/>
              <w:right w:w="28" w:type="dxa"/>
            </w:tcMar>
            <w:vAlign w:val="center"/>
          </w:tcPr>
          <w:p>
            <w:pPr>
              <w:pStyle w:val="24"/>
              <w:spacing w:line="360" w:lineRule="auto"/>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t>本项目</w:t>
            </w:r>
          </w:p>
          <w:p>
            <w:pPr>
              <w:pStyle w:val="24"/>
              <w:spacing w:line="360" w:lineRule="auto"/>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t>排放量（固体废物产生量）</w:t>
            </w:r>
            <w:r>
              <w:rPr>
                <w:rFonts w:ascii="Times New Roman" w:hAnsi="Times New Roman" w:cs="Times New Roman"/>
                <w:b/>
                <w:bCs/>
                <w:snapToGrid w:val="0"/>
                <w:color w:val="auto"/>
                <w:spacing w:val="-6"/>
                <w:kern w:val="21"/>
              </w:rPr>
              <w:fldChar w:fldCharType="begin"/>
            </w:r>
            <w:r>
              <w:rPr>
                <w:rFonts w:ascii="Times New Roman" w:hAnsi="Times New Roman" w:cs="Times New Roman"/>
                <w:b/>
                <w:bCs/>
                <w:snapToGrid w:val="0"/>
                <w:color w:val="auto"/>
                <w:spacing w:val="-6"/>
                <w:kern w:val="21"/>
              </w:rPr>
              <w:instrText xml:space="preserve"> = 4 \* GB3 \* MERGEFORMAT </w:instrText>
            </w:r>
            <w:r>
              <w:rPr>
                <w:rFonts w:ascii="Times New Roman" w:hAnsi="Times New Roman" w:cs="Times New Roman"/>
                <w:b/>
                <w:bCs/>
                <w:snapToGrid w:val="0"/>
                <w:color w:val="auto"/>
                <w:spacing w:val="-6"/>
                <w:kern w:val="21"/>
              </w:rPr>
              <w:fldChar w:fldCharType="separate"/>
            </w:r>
            <w:r>
              <w:rPr>
                <w:rFonts w:ascii="Times New Roman" w:hAnsi="Times New Roman" w:cs="Times New Roman"/>
                <w:b/>
                <w:bCs/>
                <w:color w:val="auto"/>
                <w:kern w:val="2"/>
              </w:rPr>
              <w:t>④</w:t>
            </w:r>
            <w:r>
              <w:rPr>
                <w:rFonts w:ascii="Times New Roman" w:hAnsi="Times New Roman" w:cs="Times New Roman"/>
                <w:b/>
                <w:bCs/>
                <w:snapToGrid w:val="0"/>
                <w:color w:val="auto"/>
                <w:spacing w:val="-6"/>
                <w:kern w:val="21"/>
              </w:rPr>
              <w:fldChar w:fldCharType="end"/>
            </w:r>
          </w:p>
        </w:tc>
        <w:tc>
          <w:tcPr>
            <w:tcW w:w="1463" w:type="dxa"/>
            <w:tcMar>
              <w:left w:w="28" w:type="dxa"/>
              <w:right w:w="28" w:type="dxa"/>
            </w:tcMar>
            <w:vAlign w:val="center"/>
          </w:tcPr>
          <w:p>
            <w:pPr>
              <w:pStyle w:val="24"/>
              <w:spacing w:line="360" w:lineRule="auto"/>
              <w:rPr>
                <w:rFonts w:ascii="Times New Roman" w:hAnsi="Times New Roman" w:cs="Times New Roman"/>
                <w:b/>
                <w:bCs/>
                <w:snapToGrid w:val="0"/>
                <w:color w:val="auto"/>
                <w:spacing w:val="-16"/>
                <w:kern w:val="21"/>
              </w:rPr>
            </w:pPr>
            <w:r>
              <w:rPr>
                <w:rFonts w:ascii="Times New Roman" w:hAnsi="Times New Roman" w:cs="Times New Roman"/>
                <w:b/>
                <w:bCs/>
                <w:snapToGrid w:val="0"/>
                <w:color w:val="auto"/>
                <w:spacing w:val="-16"/>
                <w:kern w:val="21"/>
              </w:rPr>
              <w:t>以新带老削减量（新建项目不填）</w:t>
            </w:r>
            <w:r>
              <w:rPr>
                <w:rFonts w:ascii="Times New Roman" w:hAnsi="Times New Roman" w:cs="Times New Roman"/>
                <w:b/>
                <w:bCs/>
                <w:snapToGrid w:val="0"/>
                <w:color w:val="auto"/>
                <w:spacing w:val="-16"/>
                <w:kern w:val="21"/>
              </w:rPr>
              <w:fldChar w:fldCharType="begin"/>
            </w:r>
            <w:r>
              <w:rPr>
                <w:rFonts w:ascii="Times New Roman" w:hAnsi="Times New Roman" w:cs="Times New Roman"/>
                <w:b/>
                <w:bCs/>
                <w:snapToGrid w:val="0"/>
                <w:color w:val="auto"/>
                <w:spacing w:val="-16"/>
                <w:kern w:val="21"/>
              </w:rPr>
              <w:instrText xml:space="preserve"> = 5 \* GB3 \* MERGEFORMAT </w:instrText>
            </w:r>
            <w:r>
              <w:rPr>
                <w:rFonts w:ascii="Times New Roman" w:hAnsi="Times New Roman" w:cs="Times New Roman"/>
                <w:b/>
                <w:bCs/>
                <w:snapToGrid w:val="0"/>
                <w:color w:val="auto"/>
                <w:spacing w:val="-16"/>
                <w:kern w:val="21"/>
              </w:rPr>
              <w:fldChar w:fldCharType="separate"/>
            </w:r>
            <w:r>
              <w:rPr>
                <w:rFonts w:ascii="Times New Roman" w:hAnsi="Times New Roman" w:cs="Times New Roman"/>
                <w:b/>
                <w:bCs/>
                <w:color w:val="auto"/>
                <w:kern w:val="2"/>
              </w:rPr>
              <w:t>⑤</w:t>
            </w:r>
            <w:r>
              <w:rPr>
                <w:rFonts w:ascii="Times New Roman" w:hAnsi="Times New Roman" w:cs="Times New Roman"/>
                <w:b/>
                <w:bCs/>
                <w:snapToGrid w:val="0"/>
                <w:color w:val="auto"/>
                <w:spacing w:val="-16"/>
                <w:kern w:val="21"/>
              </w:rPr>
              <w:fldChar w:fldCharType="end"/>
            </w:r>
          </w:p>
        </w:tc>
        <w:tc>
          <w:tcPr>
            <w:tcW w:w="1692" w:type="dxa"/>
            <w:tcMar>
              <w:left w:w="28" w:type="dxa"/>
              <w:right w:w="28" w:type="dxa"/>
            </w:tcMar>
            <w:vAlign w:val="center"/>
          </w:tcPr>
          <w:p>
            <w:pPr>
              <w:pStyle w:val="24"/>
              <w:spacing w:line="360" w:lineRule="auto"/>
              <w:rPr>
                <w:rFonts w:ascii="Times New Roman" w:hAnsi="Times New Roman" w:cs="Times New Roman"/>
                <w:b/>
                <w:bCs/>
                <w:snapToGrid w:val="0"/>
                <w:color w:val="auto"/>
                <w:spacing w:val="-16"/>
                <w:kern w:val="21"/>
              </w:rPr>
            </w:pPr>
            <w:r>
              <w:rPr>
                <w:rFonts w:ascii="Times New Roman" w:hAnsi="Times New Roman" w:cs="Times New Roman"/>
                <w:b/>
                <w:bCs/>
                <w:snapToGrid w:val="0"/>
                <w:color w:val="auto"/>
                <w:spacing w:val="-16"/>
                <w:kern w:val="21"/>
              </w:rPr>
              <w:t>本项目建成后</w:t>
            </w:r>
          </w:p>
          <w:p>
            <w:pPr>
              <w:pStyle w:val="24"/>
              <w:spacing w:line="360" w:lineRule="auto"/>
              <w:rPr>
                <w:rFonts w:ascii="Times New Roman" w:hAnsi="Times New Roman" w:cs="Times New Roman"/>
                <w:b/>
                <w:bCs/>
                <w:snapToGrid w:val="0"/>
                <w:color w:val="auto"/>
                <w:spacing w:val="-16"/>
                <w:kern w:val="21"/>
              </w:rPr>
            </w:pPr>
            <w:r>
              <w:rPr>
                <w:rFonts w:ascii="Times New Roman" w:hAnsi="Times New Roman" w:cs="Times New Roman"/>
                <w:b/>
                <w:bCs/>
                <w:snapToGrid w:val="0"/>
                <w:color w:val="auto"/>
                <w:spacing w:val="-16"/>
                <w:kern w:val="21"/>
              </w:rPr>
              <w:t>全厂排放量（固体废物产生量）</w:t>
            </w:r>
            <w:r>
              <w:rPr>
                <w:rFonts w:ascii="Times New Roman" w:hAnsi="Times New Roman" w:cs="Times New Roman"/>
                <w:b/>
                <w:bCs/>
                <w:snapToGrid w:val="0"/>
                <w:color w:val="auto"/>
                <w:spacing w:val="-16"/>
                <w:kern w:val="21"/>
              </w:rPr>
              <w:fldChar w:fldCharType="begin"/>
            </w:r>
            <w:r>
              <w:rPr>
                <w:rFonts w:ascii="Times New Roman" w:hAnsi="Times New Roman" w:cs="Times New Roman"/>
                <w:b/>
                <w:bCs/>
                <w:snapToGrid w:val="0"/>
                <w:color w:val="auto"/>
                <w:spacing w:val="-16"/>
                <w:kern w:val="21"/>
              </w:rPr>
              <w:instrText xml:space="preserve"> = 6 \* GB3 \* MERGEFORMAT </w:instrText>
            </w:r>
            <w:r>
              <w:rPr>
                <w:rFonts w:ascii="Times New Roman" w:hAnsi="Times New Roman" w:cs="Times New Roman"/>
                <w:b/>
                <w:bCs/>
                <w:snapToGrid w:val="0"/>
                <w:color w:val="auto"/>
                <w:spacing w:val="-16"/>
                <w:kern w:val="21"/>
              </w:rPr>
              <w:fldChar w:fldCharType="separate"/>
            </w:r>
            <w:r>
              <w:rPr>
                <w:rFonts w:ascii="Times New Roman" w:hAnsi="Times New Roman" w:cs="Times New Roman"/>
                <w:b/>
                <w:bCs/>
                <w:color w:val="auto"/>
                <w:kern w:val="2"/>
              </w:rPr>
              <w:t>⑥</w:t>
            </w:r>
            <w:r>
              <w:rPr>
                <w:rFonts w:ascii="Times New Roman" w:hAnsi="Times New Roman" w:cs="Times New Roman"/>
                <w:b/>
                <w:bCs/>
                <w:snapToGrid w:val="0"/>
                <w:color w:val="auto"/>
                <w:spacing w:val="-16"/>
                <w:kern w:val="21"/>
              </w:rPr>
              <w:fldChar w:fldCharType="end"/>
            </w:r>
          </w:p>
        </w:tc>
        <w:tc>
          <w:tcPr>
            <w:tcW w:w="1391" w:type="dxa"/>
            <w:tcMar>
              <w:left w:w="28" w:type="dxa"/>
              <w:right w:w="28" w:type="dxa"/>
            </w:tcMar>
            <w:vAlign w:val="center"/>
          </w:tcPr>
          <w:p>
            <w:pPr>
              <w:pStyle w:val="24"/>
              <w:spacing w:line="360" w:lineRule="auto"/>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t>变化量</w:t>
            </w:r>
          </w:p>
          <w:p>
            <w:pPr>
              <w:pStyle w:val="24"/>
              <w:spacing w:line="360" w:lineRule="auto"/>
              <w:rPr>
                <w:rFonts w:ascii="Times New Roman" w:hAnsi="Times New Roman" w:cs="Times New Roman"/>
                <w:b/>
                <w:bCs/>
                <w:snapToGrid w:val="0"/>
                <w:color w:val="auto"/>
                <w:spacing w:val="-6"/>
                <w:kern w:val="21"/>
              </w:rPr>
            </w:pPr>
            <w:r>
              <w:rPr>
                <w:rFonts w:ascii="Times New Roman" w:hAnsi="Times New Roman" w:cs="Times New Roman"/>
                <w:b/>
                <w:bCs/>
                <w:snapToGrid w:val="0"/>
                <w:color w:val="auto"/>
                <w:spacing w:val="-6"/>
                <w:kern w:val="21"/>
              </w:rPr>
              <w:fldChar w:fldCharType="begin"/>
            </w:r>
            <w:r>
              <w:rPr>
                <w:rFonts w:ascii="Times New Roman" w:hAnsi="Times New Roman" w:cs="Times New Roman"/>
                <w:b/>
                <w:bCs/>
                <w:snapToGrid w:val="0"/>
                <w:color w:val="auto"/>
                <w:spacing w:val="-6"/>
                <w:kern w:val="21"/>
              </w:rPr>
              <w:instrText xml:space="preserve"> = 7 \* GB3 \* MERGEFORMAT </w:instrText>
            </w:r>
            <w:r>
              <w:rPr>
                <w:rFonts w:ascii="Times New Roman" w:hAnsi="Times New Roman" w:cs="Times New Roman"/>
                <w:b/>
                <w:bCs/>
                <w:snapToGrid w:val="0"/>
                <w:color w:val="auto"/>
                <w:spacing w:val="-6"/>
                <w:kern w:val="21"/>
              </w:rPr>
              <w:fldChar w:fldCharType="separate"/>
            </w:r>
            <w:r>
              <w:rPr>
                <w:rFonts w:ascii="Times New Roman" w:hAnsi="Times New Roman" w:cs="Times New Roman"/>
                <w:b/>
                <w:bCs/>
                <w:color w:val="auto"/>
                <w:kern w:val="2"/>
              </w:rPr>
              <w:t>⑦</w:t>
            </w:r>
            <w:r>
              <w:rPr>
                <w:rFonts w:ascii="Times New Roman" w:hAnsi="Times New Roman" w:cs="Times New Roman"/>
                <w:b/>
                <w:bCs/>
                <w:snapToGrid w:val="0"/>
                <w:color w:val="auto"/>
                <w:spacing w:val="-6"/>
                <w:kern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02" w:type="dxa"/>
            <w:gridSpan w:val="2"/>
            <w:vMerge w:val="restart"/>
            <w:vAlign w:val="center"/>
          </w:tcPr>
          <w:p>
            <w:pPr>
              <w:pStyle w:val="24"/>
              <w:rPr>
                <w:rFonts w:ascii="Times New Roman" w:hAnsi="Times New Roman" w:cs="Times New Roman"/>
                <w:b/>
                <w:bCs/>
                <w:snapToGrid w:val="0"/>
                <w:color w:val="auto"/>
                <w:kern w:val="21"/>
              </w:rPr>
            </w:pPr>
            <w:r>
              <w:rPr>
                <w:rFonts w:ascii="Times New Roman" w:hAnsi="Times New Roman" w:cs="Times New Roman"/>
                <w:b/>
                <w:bCs/>
                <w:snapToGrid w:val="0"/>
                <w:color w:val="auto"/>
                <w:kern w:val="21"/>
              </w:rPr>
              <w:t>废气</w:t>
            </w:r>
          </w:p>
        </w:tc>
        <w:tc>
          <w:tcPr>
            <w:tcW w:w="1603" w:type="dxa"/>
            <w:vAlign w:val="center"/>
          </w:tcPr>
          <w:p>
            <w:pPr>
              <w:pStyle w:val="7"/>
              <w:spacing w:line="240" w:lineRule="auto"/>
              <w:ind w:firstLine="0" w:firstLineChars="0"/>
              <w:jc w:val="center"/>
              <w:rPr>
                <w:rFonts w:ascii="Times New Roman" w:hAnsi="Times New Roman" w:cs="Times New Roman"/>
                <w:snapToGrid w:val="0"/>
                <w:color w:val="auto"/>
                <w:kern w:val="21"/>
              </w:rPr>
            </w:pPr>
            <w:r>
              <w:rPr>
                <w:rFonts w:hint="default" w:ascii="Times New Roman" w:hAnsi="Times New Roman" w:eastAsia="宋体" w:cs="Times New Roman"/>
                <w:color w:val="auto"/>
                <w:sz w:val="21"/>
                <w:szCs w:val="21"/>
                <w:lang w:eastAsia="zh-CN"/>
              </w:rPr>
              <w:t>颗粒物</w:t>
            </w:r>
          </w:p>
        </w:tc>
        <w:tc>
          <w:tcPr>
            <w:tcW w:w="1701" w:type="dxa"/>
            <w:vAlign w:val="center"/>
          </w:tcPr>
          <w:p>
            <w:pPr>
              <w:pStyle w:val="7"/>
              <w:spacing w:line="240" w:lineRule="auto"/>
              <w:ind w:firstLine="0" w:firstLineChars="0"/>
              <w:jc w:val="center"/>
              <w:rPr>
                <w:rFonts w:hint="default" w:eastAsiaTheme="minorEastAsia"/>
                <w:color w:val="auto"/>
                <w:sz w:val="21"/>
                <w:szCs w:val="21"/>
                <w:lang w:val="en-US" w:eastAsia="zh-CN"/>
              </w:rPr>
            </w:pPr>
            <w:r>
              <w:rPr>
                <w:rFonts w:hint="eastAsia"/>
                <w:color w:val="auto"/>
                <w:sz w:val="21"/>
                <w:szCs w:val="21"/>
                <w:lang w:val="en-US" w:eastAsia="zh-CN"/>
              </w:rPr>
              <w:t>2.513</w:t>
            </w:r>
            <w:r>
              <w:rPr>
                <w:rFonts w:hint="eastAsia" w:ascii="Times New Roman" w:hAnsi="Times New Roman" w:eastAsia="宋体" w:cs="Times New Roman"/>
                <w:color w:val="auto"/>
                <w:sz w:val="21"/>
                <w:szCs w:val="21"/>
                <w:lang w:val="en-US" w:eastAsia="zh-CN"/>
              </w:rPr>
              <w:t xml:space="preserve"> t/a</w:t>
            </w:r>
          </w:p>
        </w:tc>
        <w:tc>
          <w:tcPr>
            <w:tcW w:w="1295" w:type="dxa"/>
            <w:vAlign w:val="center"/>
          </w:tcPr>
          <w:p>
            <w:pPr>
              <w:adjustRightInd w:val="0"/>
              <w:snapToGrid w:val="0"/>
              <w:spacing w:line="240" w:lineRule="auto"/>
              <w:ind w:firstLine="0" w:firstLineChars="0"/>
              <w:jc w:val="center"/>
              <w:rPr>
                <w:rFonts w:ascii="Times New Roman" w:hAnsi="Times New Roman" w:eastAsia="宋体"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82" w:type="dxa"/>
            <w:vAlign w:val="center"/>
          </w:tcPr>
          <w:p>
            <w:pPr>
              <w:adjustRightInd w:val="0"/>
              <w:snapToGrid w:val="0"/>
              <w:spacing w:line="240" w:lineRule="auto"/>
              <w:ind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cs="Times New Roman"/>
                <w:snapToGrid w:val="0"/>
                <w:color w:val="auto"/>
                <w:kern w:val="21"/>
                <w:sz w:val="21"/>
                <w:szCs w:val="21"/>
              </w:rPr>
              <w:t>/</w:t>
            </w:r>
          </w:p>
        </w:tc>
        <w:tc>
          <w:tcPr>
            <w:tcW w:w="1559" w:type="dxa"/>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cs="Times New Roman"/>
                <w:color w:val="auto"/>
                <w:sz w:val="21"/>
                <w:szCs w:val="21"/>
                <w:lang w:val="en-US" w:eastAsia="zh-CN"/>
              </w:rPr>
              <w:t>0.192</w:t>
            </w:r>
            <w:r>
              <w:rPr>
                <w:rFonts w:hint="eastAsia" w:ascii="Times New Roman" w:hAnsi="Times New Roman" w:eastAsia="宋体" w:cs="Times New Roman"/>
                <w:color w:val="auto"/>
                <w:sz w:val="21"/>
                <w:szCs w:val="21"/>
                <w:lang w:val="en-US" w:eastAsia="zh-CN"/>
              </w:rPr>
              <w:t>t/a</w:t>
            </w:r>
          </w:p>
        </w:tc>
        <w:tc>
          <w:tcPr>
            <w:tcW w:w="1463" w:type="dxa"/>
            <w:vAlign w:val="center"/>
          </w:tcPr>
          <w:p>
            <w:pPr>
              <w:adjustRightInd w:val="0"/>
              <w:snapToGrid w:val="0"/>
              <w:spacing w:line="240" w:lineRule="auto"/>
              <w:ind w:left="0" w:leftChars="0" w:firstLine="0" w:firstLineChars="0"/>
              <w:jc w:val="center"/>
              <w:rPr>
                <w:rFonts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92" w:type="dxa"/>
            <w:vAlign w:val="center"/>
          </w:tcPr>
          <w:p>
            <w:pPr>
              <w:pStyle w:val="7"/>
              <w:spacing w:line="240" w:lineRule="auto"/>
              <w:ind w:firstLine="0" w:firstLineChars="0"/>
              <w:jc w:val="center"/>
              <w:rPr>
                <w:rFonts w:hint="default" w:ascii="Times New Roman" w:hAnsi="Times New Roman" w:cs="Times New Roman"/>
                <w:snapToGrid w:val="0"/>
                <w:color w:val="auto"/>
                <w:kern w:val="21"/>
                <w:sz w:val="21"/>
                <w:szCs w:val="21"/>
                <w:lang w:val="en-US"/>
              </w:rPr>
            </w:pPr>
            <w:r>
              <w:rPr>
                <w:rFonts w:hint="eastAsia" w:cs="Times New Roman"/>
                <w:color w:val="auto"/>
                <w:sz w:val="21"/>
                <w:szCs w:val="21"/>
                <w:lang w:val="en-US" w:eastAsia="zh-CN"/>
              </w:rPr>
              <w:t>2.705</w:t>
            </w:r>
            <w:r>
              <w:rPr>
                <w:rFonts w:hint="eastAsia" w:ascii="Times New Roman" w:hAnsi="Times New Roman" w:eastAsia="宋体" w:cs="Times New Roman"/>
                <w:color w:val="auto"/>
                <w:sz w:val="21"/>
                <w:szCs w:val="21"/>
                <w:lang w:val="en-US" w:eastAsia="zh-CN"/>
              </w:rPr>
              <w:t>t/a</w:t>
            </w:r>
          </w:p>
        </w:tc>
        <w:tc>
          <w:tcPr>
            <w:tcW w:w="1391" w:type="dxa"/>
            <w:vAlign w:val="center"/>
          </w:tcPr>
          <w:p>
            <w:pPr>
              <w:keepNext w:val="0"/>
              <w:keepLines w:val="0"/>
              <w:widowControl/>
              <w:suppressLineNumbers w:val="0"/>
              <w:ind w:left="0" w:leftChars="0" w:firstLine="0" w:firstLineChars="0"/>
              <w:jc w:val="center"/>
              <w:textAlignment w:val="center"/>
              <w:rPr>
                <w:rFonts w:ascii="Times New Roman" w:hAnsi="Times New Roman" w:cs="Times New Roman"/>
                <w:snapToGrid w:val="0"/>
                <w:color w:val="auto"/>
                <w:kern w:val="21"/>
                <w:sz w:val="21"/>
                <w:szCs w:val="21"/>
              </w:rPr>
            </w:pP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sz w:val="21"/>
                <w:szCs w:val="21"/>
                <w:lang w:val="en-US" w:eastAsia="zh-CN"/>
              </w:rPr>
              <w:t>0.192</w:t>
            </w:r>
            <w:r>
              <w:rPr>
                <w:rFonts w:hint="eastAsia" w:ascii="Times New Roman" w:hAnsi="Times New Roman" w:eastAsia="宋体" w:cs="Times New Roman"/>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02" w:type="dxa"/>
            <w:gridSpan w:val="2"/>
            <w:vMerge w:val="continue"/>
            <w:vAlign w:val="center"/>
          </w:tcPr>
          <w:p>
            <w:pPr>
              <w:pStyle w:val="24"/>
              <w:rPr>
                <w:rFonts w:ascii="Times New Roman" w:hAnsi="Times New Roman" w:cs="Times New Roman"/>
                <w:b/>
                <w:bCs/>
                <w:snapToGrid w:val="0"/>
                <w:color w:val="auto"/>
                <w:kern w:val="21"/>
              </w:rPr>
            </w:pPr>
          </w:p>
        </w:tc>
        <w:tc>
          <w:tcPr>
            <w:tcW w:w="1603" w:type="dxa"/>
            <w:vAlign w:val="center"/>
          </w:tcPr>
          <w:p>
            <w:pPr>
              <w:pStyle w:val="7"/>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非甲烷总烃</w:t>
            </w:r>
          </w:p>
        </w:tc>
        <w:tc>
          <w:tcPr>
            <w:tcW w:w="1701" w:type="dxa"/>
            <w:vAlign w:val="center"/>
          </w:tcPr>
          <w:p>
            <w:pPr>
              <w:pStyle w:val="7"/>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0.72</w:t>
            </w:r>
            <w:r>
              <w:rPr>
                <w:rFonts w:hint="eastAsia" w:ascii="Times New Roman" w:hAnsi="Times New Roman" w:eastAsia="宋体" w:cs="Times New Roman"/>
                <w:color w:val="auto"/>
                <w:sz w:val="21"/>
                <w:szCs w:val="21"/>
                <w:lang w:val="en-US" w:eastAsia="zh-CN"/>
              </w:rPr>
              <w:t>t/a</w:t>
            </w:r>
          </w:p>
        </w:tc>
        <w:tc>
          <w:tcPr>
            <w:tcW w:w="1295" w:type="dxa"/>
            <w:vAlign w:val="center"/>
          </w:tcPr>
          <w:p>
            <w:pPr>
              <w:adjustRightInd w:val="0"/>
              <w:snapToGrid w:val="0"/>
              <w:spacing w:line="240" w:lineRule="auto"/>
              <w:ind w:firstLine="0" w:firstLineChars="0"/>
              <w:jc w:val="center"/>
              <w:rPr>
                <w:rFonts w:hint="eastAsia"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8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cs="Times New Roman"/>
                <w:snapToGrid w:val="0"/>
                <w:color w:val="auto"/>
                <w:kern w:val="21"/>
                <w:sz w:val="21"/>
                <w:szCs w:val="21"/>
              </w:rPr>
              <w:t>/</w:t>
            </w:r>
          </w:p>
        </w:tc>
        <w:tc>
          <w:tcPr>
            <w:tcW w:w="1559"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21"/>
                <w:sz w:val="21"/>
                <w:szCs w:val="21"/>
              </w:rPr>
              <w:t>/</w:t>
            </w:r>
          </w:p>
        </w:tc>
        <w:tc>
          <w:tcPr>
            <w:tcW w:w="1463" w:type="dxa"/>
            <w:vAlign w:val="center"/>
          </w:tcPr>
          <w:p>
            <w:pPr>
              <w:adjustRightInd w:val="0"/>
              <w:snapToGrid w:val="0"/>
              <w:spacing w:line="240" w:lineRule="auto"/>
              <w:ind w:left="0" w:leftChars="0" w:firstLine="0" w:firstLineChars="0"/>
              <w:jc w:val="center"/>
              <w:rPr>
                <w:rFonts w:hint="eastAsia"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92" w:type="dxa"/>
            <w:vAlign w:val="center"/>
          </w:tcPr>
          <w:p>
            <w:pPr>
              <w:pStyle w:val="7"/>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21"/>
                <w:sz w:val="21"/>
                <w:szCs w:val="21"/>
              </w:rPr>
              <w:t>/</w:t>
            </w:r>
          </w:p>
        </w:tc>
        <w:tc>
          <w:tcPr>
            <w:tcW w:w="1391"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02" w:type="dxa"/>
            <w:gridSpan w:val="2"/>
            <w:vMerge w:val="continue"/>
            <w:vAlign w:val="center"/>
          </w:tcPr>
          <w:p>
            <w:pPr>
              <w:pStyle w:val="24"/>
              <w:rPr>
                <w:rFonts w:ascii="Times New Roman" w:hAnsi="Times New Roman" w:cs="Times New Roman"/>
                <w:b/>
                <w:bCs/>
                <w:snapToGrid w:val="0"/>
                <w:color w:val="auto"/>
                <w:kern w:val="21"/>
              </w:rPr>
            </w:pPr>
          </w:p>
        </w:tc>
        <w:tc>
          <w:tcPr>
            <w:tcW w:w="1603" w:type="dxa"/>
            <w:vAlign w:val="center"/>
          </w:tcPr>
          <w:p>
            <w:pPr>
              <w:pStyle w:val="7"/>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硫化氢</w:t>
            </w:r>
          </w:p>
        </w:tc>
        <w:tc>
          <w:tcPr>
            <w:tcW w:w="1701" w:type="dxa"/>
            <w:vAlign w:val="center"/>
          </w:tcPr>
          <w:p>
            <w:pPr>
              <w:pStyle w:val="7"/>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0.792</w:t>
            </w:r>
            <w:r>
              <w:rPr>
                <w:rFonts w:hint="eastAsia" w:ascii="Times New Roman" w:hAnsi="Times New Roman" w:eastAsia="宋体" w:cs="Times New Roman"/>
                <w:color w:val="auto"/>
                <w:sz w:val="21"/>
                <w:szCs w:val="21"/>
                <w:lang w:val="en-US" w:eastAsia="zh-CN"/>
              </w:rPr>
              <w:t>t/a</w:t>
            </w:r>
          </w:p>
        </w:tc>
        <w:tc>
          <w:tcPr>
            <w:tcW w:w="1295" w:type="dxa"/>
            <w:vAlign w:val="center"/>
          </w:tcPr>
          <w:p>
            <w:pPr>
              <w:adjustRightInd w:val="0"/>
              <w:snapToGrid w:val="0"/>
              <w:spacing w:line="240" w:lineRule="auto"/>
              <w:ind w:firstLine="0" w:firstLineChars="0"/>
              <w:jc w:val="center"/>
              <w:rPr>
                <w:rFonts w:hint="eastAsia"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8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cs="Times New Roman"/>
                <w:snapToGrid w:val="0"/>
                <w:color w:val="auto"/>
                <w:kern w:val="21"/>
                <w:sz w:val="21"/>
                <w:szCs w:val="21"/>
              </w:rPr>
              <w:t>/</w:t>
            </w:r>
          </w:p>
        </w:tc>
        <w:tc>
          <w:tcPr>
            <w:tcW w:w="1559"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21"/>
                <w:sz w:val="21"/>
                <w:szCs w:val="21"/>
              </w:rPr>
              <w:t>/</w:t>
            </w:r>
          </w:p>
        </w:tc>
        <w:tc>
          <w:tcPr>
            <w:tcW w:w="1463" w:type="dxa"/>
            <w:vAlign w:val="center"/>
          </w:tcPr>
          <w:p>
            <w:pPr>
              <w:adjustRightInd w:val="0"/>
              <w:snapToGrid w:val="0"/>
              <w:spacing w:line="240" w:lineRule="auto"/>
              <w:ind w:left="0" w:leftChars="0" w:firstLine="0" w:firstLineChars="0"/>
              <w:jc w:val="center"/>
              <w:rPr>
                <w:rFonts w:hint="eastAsia"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92" w:type="dxa"/>
            <w:vAlign w:val="center"/>
          </w:tcPr>
          <w:p>
            <w:pPr>
              <w:pStyle w:val="7"/>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21"/>
                <w:sz w:val="21"/>
                <w:szCs w:val="21"/>
              </w:rPr>
              <w:t>/</w:t>
            </w:r>
          </w:p>
        </w:tc>
        <w:tc>
          <w:tcPr>
            <w:tcW w:w="1391"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02" w:type="dxa"/>
            <w:gridSpan w:val="2"/>
            <w:vMerge w:val="continue"/>
            <w:vAlign w:val="center"/>
          </w:tcPr>
          <w:p>
            <w:pPr>
              <w:pStyle w:val="24"/>
              <w:rPr>
                <w:rFonts w:ascii="Times New Roman" w:hAnsi="Times New Roman" w:cs="Times New Roman"/>
                <w:b/>
                <w:bCs/>
                <w:snapToGrid w:val="0"/>
                <w:color w:val="auto"/>
                <w:kern w:val="21"/>
              </w:rPr>
            </w:pPr>
          </w:p>
        </w:tc>
        <w:tc>
          <w:tcPr>
            <w:tcW w:w="1603" w:type="dxa"/>
            <w:vAlign w:val="center"/>
          </w:tcPr>
          <w:p>
            <w:pPr>
              <w:pStyle w:val="7"/>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二氧化硫</w:t>
            </w:r>
          </w:p>
        </w:tc>
        <w:tc>
          <w:tcPr>
            <w:tcW w:w="1701" w:type="dxa"/>
            <w:vAlign w:val="center"/>
          </w:tcPr>
          <w:p>
            <w:pPr>
              <w:pStyle w:val="7"/>
              <w:spacing w:line="240" w:lineRule="auto"/>
              <w:ind w:firstLine="0" w:firstLineChars="0"/>
              <w:jc w:val="center"/>
              <w:rPr>
                <w:rFonts w:hint="eastAsia"/>
                <w:color w:val="auto"/>
                <w:sz w:val="21"/>
                <w:szCs w:val="21"/>
                <w:lang w:val="en-US" w:eastAsia="zh-CN"/>
              </w:rPr>
            </w:pPr>
            <w:r>
              <w:rPr>
                <w:rFonts w:hint="eastAsia"/>
                <w:color w:val="auto"/>
                <w:sz w:val="21"/>
                <w:szCs w:val="21"/>
                <w:lang w:val="en-US" w:eastAsia="zh-CN"/>
              </w:rPr>
              <w:t>1.555</w:t>
            </w:r>
            <w:r>
              <w:rPr>
                <w:rFonts w:hint="eastAsia" w:ascii="Times New Roman" w:hAnsi="Times New Roman" w:eastAsia="宋体" w:cs="Times New Roman"/>
                <w:color w:val="auto"/>
                <w:sz w:val="21"/>
                <w:szCs w:val="21"/>
                <w:lang w:val="en-US" w:eastAsia="zh-CN"/>
              </w:rPr>
              <w:t>t/a</w:t>
            </w:r>
          </w:p>
        </w:tc>
        <w:tc>
          <w:tcPr>
            <w:tcW w:w="1295" w:type="dxa"/>
            <w:vAlign w:val="center"/>
          </w:tcPr>
          <w:p>
            <w:pPr>
              <w:adjustRightInd w:val="0"/>
              <w:snapToGrid w:val="0"/>
              <w:spacing w:line="240" w:lineRule="auto"/>
              <w:ind w:firstLine="0" w:firstLineChars="0"/>
              <w:jc w:val="center"/>
              <w:rPr>
                <w:rFonts w:hint="eastAsia"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8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cs="Times New Roman"/>
                <w:snapToGrid w:val="0"/>
                <w:color w:val="auto"/>
                <w:kern w:val="21"/>
                <w:sz w:val="21"/>
                <w:szCs w:val="21"/>
              </w:rPr>
              <w:t>/</w:t>
            </w:r>
          </w:p>
        </w:tc>
        <w:tc>
          <w:tcPr>
            <w:tcW w:w="1559"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21"/>
                <w:sz w:val="21"/>
                <w:szCs w:val="21"/>
              </w:rPr>
              <w:t>/</w:t>
            </w:r>
          </w:p>
        </w:tc>
        <w:tc>
          <w:tcPr>
            <w:tcW w:w="1463" w:type="dxa"/>
            <w:vAlign w:val="center"/>
          </w:tcPr>
          <w:p>
            <w:pPr>
              <w:adjustRightInd w:val="0"/>
              <w:snapToGrid w:val="0"/>
              <w:spacing w:line="240" w:lineRule="auto"/>
              <w:ind w:left="0" w:leftChars="0" w:firstLine="0" w:firstLineChars="0"/>
              <w:jc w:val="center"/>
              <w:rPr>
                <w:rFonts w:hint="eastAsia"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92" w:type="dxa"/>
            <w:vAlign w:val="center"/>
          </w:tcPr>
          <w:p>
            <w:pPr>
              <w:pStyle w:val="7"/>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21"/>
                <w:sz w:val="21"/>
                <w:szCs w:val="21"/>
              </w:rPr>
              <w:t>/</w:t>
            </w:r>
          </w:p>
        </w:tc>
        <w:tc>
          <w:tcPr>
            <w:tcW w:w="1391"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02" w:type="dxa"/>
            <w:gridSpan w:val="2"/>
            <w:vMerge w:val="continue"/>
            <w:vAlign w:val="center"/>
          </w:tcPr>
          <w:p>
            <w:pPr>
              <w:pStyle w:val="24"/>
              <w:rPr>
                <w:rFonts w:ascii="Times New Roman" w:hAnsi="Times New Roman" w:cs="Times New Roman"/>
                <w:b/>
                <w:bCs/>
                <w:snapToGrid w:val="0"/>
                <w:color w:val="auto"/>
                <w:kern w:val="21"/>
              </w:rPr>
            </w:pPr>
          </w:p>
        </w:tc>
        <w:tc>
          <w:tcPr>
            <w:tcW w:w="1603" w:type="dxa"/>
            <w:vAlign w:val="center"/>
          </w:tcPr>
          <w:p>
            <w:pPr>
              <w:pStyle w:val="7"/>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氮氧化物</w:t>
            </w:r>
          </w:p>
        </w:tc>
        <w:tc>
          <w:tcPr>
            <w:tcW w:w="1701" w:type="dxa"/>
            <w:vAlign w:val="center"/>
          </w:tcPr>
          <w:p>
            <w:pPr>
              <w:pStyle w:val="7"/>
              <w:spacing w:line="240" w:lineRule="auto"/>
              <w:ind w:firstLine="0" w:firstLineChars="0"/>
              <w:jc w:val="center"/>
              <w:rPr>
                <w:rFonts w:hint="eastAsia"/>
                <w:color w:val="auto"/>
                <w:sz w:val="21"/>
                <w:szCs w:val="21"/>
                <w:lang w:val="en-US" w:eastAsia="zh-CN"/>
              </w:rPr>
            </w:pPr>
            <w:r>
              <w:rPr>
                <w:rFonts w:hint="eastAsia"/>
                <w:color w:val="auto"/>
                <w:sz w:val="21"/>
                <w:szCs w:val="21"/>
                <w:lang w:val="en-US" w:eastAsia="zh-CN"/>
              </w:rPr>
              <w:t>1.656</w:t>
            </w:r>
            <w:r>
              <w:rPr>
                <w:rFonts w:hint="eastAsia" w:ascii="Times New Roman" w:hAnsi="Times New Roman" w:eastAsia="宋体" w:cs="Times New Roman"/>
                <w:color w:val="auto"/>
                <w:sz w:val="21"/>
                <w:szCs w:val="21"/>
                <w:lang w:val="en-US" w:eastAsia="zh-CN"/>
              </w:rPr>
              <w:t>t/a</w:t>
            </w:r>
          </w:p>
        </w:tc>
        <w:tc>
          <w:tcPr>
            <w:tcW w:w="1295" w:type="dxa"/>
            <w:vAlign w:val="center"/>
          </w:tcPr>
          <w:p>
            <w:pPr>
              <w:adjustRightInd w:val="0"/>
              <w:snapToGrid w:val="0"/>
              <w:spacing w:line="240" w:lineRule="auto"/>
              <w:ind w:firstLine="0" w:firstLineChars="0"/>
              <w:jc w:val="center"/>
              <w:rPr>
                <w:rFonts w:hint="eastAsia"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8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cs="Times New Roman"/>
                <w:snapToGrid w:val="0"/>
                <w:color w:val="auto"/>
                <w:kern w:val="21"/>
                <w:sz w:val="21"/>
                <w:szCs w:val="21"/>
              </w:rPr>
              <w:t>/</w:t>
            </w:r>
          </w:p>
        </w:tc>
        <w:tc>
          <w:tcPr>
            <w:tcW w:w="1559"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21"/>
                <w:sz w:val="21"/>
                <w:szCs w:val="21"/>
              </w:rPr>
              <w:t>/</w:t>
            </w:r>
          </w:p>
        </w:tc>
        <w:tc>
          <w:tcPr>
            <w:tcW w:w="1463" w:type="dxa"/>
            <w:vAlign w:val="center"/>
          </w:tcPr>
          <w:p>
            <w:pPr>
              <w:adjustRightInd w:val="0"/>
              <w:snapToGrid w:val="0"/>
              <w:spacing w:line="240" w:lineRule="auto"/>
              <w:ind w:left="0" w:leftChars="0" w:firstLine="0" w:firstLineChars="0"/>
              <w:jc w:val="center"/>
              <w:rPr>
                <w:rFonts w:hint="eastAsia"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92" w:type="dxa"/>
            <w:vAlign w:val="center"/>
          </w:tcPr>
          <w:p>
            <w:pPr>
              <w:pStyle w:val="7"/>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21"/>
                <w:sz w:val="21"/>
                <w:szCs w:val="21"/>
              </w:rPr>
              <w:t>/</w:t>
            </w:r>
          </w:p>
        </w:tc>
        <w:tc>
          <w:tcPr>
            <w:tcW w:w="1391"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0" w:type="dxa"/>
            <w:vMerge w:val="restart"/>
            <w:tcBorders>
              <w:right w:val="single" w:color="000000" w:sz="2" w:space="0"/>
            </w:tcBorders>
            <w:vAlign w:val="center"/>
          </w:tcPr>
          <w:p>
            <w:pPr>
              <w:pStyle w:val="24"/>
              <w:rPr>
                <w:rFonts w:hint="default" w:ascii="Times New Roman" w:hAnsi="Times New Roman" w:eastAsia="宋体" w:cs="Times New Roman"/>
                <w:b/>
                <w:bCs/>
                <w:snapToGrid w:val="0"/>
                <w:color w:val="auto"/>
                <w:kern w:val="21"/>
                <w:lang w:val="en-US" w:eastAsia="zh-CN"/>
              </w:rPr>
            </w:pPr>
            <w:r>
              <w:rPr>
                <w:rFonts w:hint="eastAsia" w:cs="Times New Roman"/>
                <w:b/>
                <w:bCs/>
                <w:snapToGrid w:val="0"/>
                <w:color w:val="auto"/>
                <w:kern w:val="21"/>
                <w:lang w:val="en-US" w:eastAsia="zh-CN"/>
              </w:rPr>
              <w:t>废水</w:t>
            </w:r>
          </w:p>
        </w:tc>
        <w:tc>
          <w:tcPr>
            <w:tcW w:w="642" w:type="dxa"/>
            <w:vMerge w:val="restart"/>
            <w:tcBorders>
              <w:left w:val="single" w:color="000000" w:sz="2" w:space="0"/>
            </w:tcBorders>
            <w:vAlign w:val="center"/>
          </w:tcPr>
          <w:p>
            <w:pPr>
              <w:pStyle w:val="24"/>
              <w:rPr>
                <w:rFonts w:hint="default" w:cs="Times New Roman"/>
                <w:b/>
                <w:bCs/>
                <w:snapToGrid w:val="0"/>
                <w:color w:val="auto"/>
                <w:kern w:val="21"/>
                <w:lang w:val="en-US" w:eastAsia="zh-CN"/>
              </w:rPr>
            </w:pPr>
            <w:r>
              <w:rPr>
                <w:rFonts w:hint="eastAsia" w:cs="Times New Roman"/>
                <w:b/>
                <w:bCs/>
                <w:snapToGrid w:val="0"/>
                <w:color w:val="auto"/>
                <w:kern w:val="21"/>
                <w:lang w:val="en-US" w:eastAsia="zh-CN"/>
              </w:rPr>
              <w:t>生活污水</w:t>
            </w:r>
          </w:p>
        </w:tc>
        <w:tc>
          <w:tcPr>
            <w:tcW w:w="1603"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CODcr</w:t>
            </w:r>
          </w:p>
        </w:tc>
        <w:tc>
          <w:tcPr>
            <w:tcW w:w="1701" w:type="dxa"/>
            <w:vAlign w:val="center"/>
          </w:tcPr>
          <w:p>
            <w:pPr>
              <w:pStyle w:val="7"/>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0.504</w:t>
            </w:r>
            <w:r>
              <w:rPr>
                <w:rFonts w:hint="eastAsia" w:ascii="Times New Roman" w:hAnsi="Times New Roman" w:eastAsia="宋体" w:cs="Times New Roman"/>
                <w:color w:val="auto"/>
                <w:sz w:val="21"/>
                <w:szCs w:val="21"/>
                <w:lang w:val="en-US" w:eastAsia="zh-CN"/>
              </w:rPr>
              <w:t>t/a</w:t>
            </w:r>
          </w:p>
        </w:tc>
        <w:tc>
          <w:tcPr>
            <w:tcW w:w="1295" w:type="dxa"/>
            <w:vAlign w:val="center"/>
          </w:tcPr>
          <w:p>
            <w:pPr>
              <w:adjustRightInd w:val="0"/>
              <w:snapToGrid w:val="0"/>
              <w:spacing w:line="240" w:lineRule="auto"/>
              <w:ind w:firstLine="0" w:firstLineChars="0"/>
              <w:jc w:val="center"/>
              <w:rPr>
                <w:rFonts w:hint="eastAsia"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8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cs="Times New Roman"/>
                <w:snapToGrid w:val="0"/>
                <w:color w:val="auto"/>
                <w:kern w:val="21"/>
                <w:sz w:val="21"/>
                <w:szCs w:val="21"/>
              </w:rPr>
              <w:t>/</w:t>
            </w:r>
          </w:p>
        </w:tc>
        <w:tc>
          <w:tcPr>
            <w:tcW w:w="1559"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snapToGrid w:val="0"/>
                <w:color w:val="auto"/>
                <w:kern w:val="21"/>
                <w:sz w:val="21"/>
                <w:szCs w:val="21"/>
              </w:rPr>
              <w:t>/</w:t>
            </w:r>
          </w:p>
        </w:tc>
        <w:tc>
          <w:tcPr>
            <w:tcW w:w="1463" w:type="dxa"/>
            <w:vAlign w:val="center"/>
          </w:tcPr>
          <w:p>
            <w:pPr>
              <w:adjustRightInd w:val="0"/>
              <w:snapToGrid w:val="0"/>
              <w:spacing w:line="240" w:lineRule="auto"/>
              <w:ind w:left="0" w:lef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cs="Times New Roman"/>
                <w:snapToGrid w:val="0"/>
                <w:color w:val="auto"/>
                <w:kern w:val="21"/>
                <w:sz w:val="21"/>
                <w:szCs w:val="21"/>
              </w:rPr>
              <w:t>/</w:t>
            </w:r>
          </w:p>
        </w:tc>
        <w:tc>
          <w:tcPr>
            <w:tcW w:w="1692" w:type="dxa"/>
            <w:vAlign w:val="center"/>
          </w:tcPr>
          <w:p>
            <w:pPr>
              <w:pStyle w:val="7"/>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snapToGrid w:val="0"/>
                <w:color w:val="auto"/>
                <w:kern w:val="21"/>
                <w:sz w:val="21"/>
                <w:szCs w:val="21"/>
              </w:rPr>
              <w:t>/</w:t>
            </w:r>
          </w:p>
        </w:tc>
        <w:tc>
          <w:tcPr>
            <w:tcW w:w="1391"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0" w:type="dxa"/>
            <w:vMerge w:val="continue"/>
            <w:tcBorders>
              <w:right w:val="single" w:color="000000" w:sz="2" w:space="0"/>
            </w:tcBorders>
            <w:vAlign w:val="center"/>
          </w:tcPr>
          <w:p>
            <w:pPr>
              <w:pStyle w:val="24"/>
              <w:rPr>
                <w:rFonts w:ascii="Times New Roman" w:hAnsi="Times New Roman" w:cs="Times New Roman"/>
                <w:b/>
                <w:bCs/>
                <w:snapToGrid w:val="0"/>
                <w:color w:val="auto"/>
                <w:kern w:val="21"/>
              </w:rPr>
            </w:pPr>
          </w:p>
        </w:tc>
        <w:tc>
          <w:tcPr>
            <w:tcW w:w="642" w:type="dxa"/>
            <w:vMerge w:val="continue"/>
            <w:tcBorders>
              <w:left w:val="single" w:color="000000" w:sz="2" w:space="0"/>
            </w:tcBorders>
            <w:vAlign w:val="center"/>
          </w:tcPr>
          <w:p>
            <w:pPr>
              <w:pStyle w:val="24"/>
              <w:rPr>
                <w:rFonts w:ascii="Times New Roman" w:hAnsi="Times New Roman" w:cs="Times New Roman"/>
                <w:b/>
                <w:bCs/>
                <w:snapToGrid w:val="0"/>
                <w:color w:val="auto"/>
                <w:kern w:val="21"/>
              </w:rPr>
            </w:pPr>
          </w:p>
        </w:tc>
        <w:tc>
          <w:tcPr>
            <w:tcW w:w="1603"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氨氮</w:t>
            </w:r>
          </w:p>
        </w:tc>
        <w:tc>
          <w:tcPr>
            <w:tcW w:w="1701" w:type="dxa"/>
            <w:vAlign w:val="center"/>
          </w:tcPr>
          <w:p>
            <w:pPr>
              <w:pStyle w:val="7"/>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0.0504</w:t>
            </w:r>
            <w:r>
              <w:rPr>
                <w:rFonts w:hint="eastAsia" w:ascii="Times New Roman" w:hAnsi="Times New Roman" w:eastAsia="宋体" w:cs="Times New Roman"/>
                <w:color w:val="auto"/>
                <w:sz w:val="21"/>
                <w:szCs w:val="21"/>
                <w:lang w:val="en-US" w:eastAsia="zh-CN"/>
              </w:rPr>
              <w:t>t/a</w:t>
            </w:r>
          </w:p>
        </w:tc>
        <w:tc>
          <w:tcPr>
            <w:tcW w:w="1295" w:type="dxa"/>
            <w:vAlign w:val="center"/>
          </w:tcPr>
          <w:p>
            <w:pPr>
              <w:adjustRightInd w:val="0"/>
              <w:snapToGrid w:val="0"/>
              <w:spacing w:line="240" w:lineRule="auto"/>
              <w:ind w:firstLine="0" w:firstLineChars="0"/>
              <w:jc w:val="center"/>
              <w:rPr>
                <w:rFonts w:hint="eastAsia"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8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cs="Times New Roman"/>
                <w:snapToGrid w:val="0"/>
                <w:color w:val="auto"/>
                <w:kern w:val="21"/>
                <w:sz w:val="21"/>
                <w:szCs w:val="21"/>
              </w:rPr>
              <w:t>/</w:t>
            </w:r>
          </w:p>
        </w:tc>
        <w:tc>
          <w:tcPr>
            <w:tcW w:w="1559"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snapToGrid w:val="0"/>
                <w:color w:val="auto"/>
                <w:kern w:val="21"/>
                <w:sz w:val="21"/>
                <w:szCs w:val="21"/>
              </w:rPr>
              <w:t>/</w:t>
            </w:r>
          </w:p>
        </w:tc>
        <w:tc>
          <w:tcPr>
            <w:tcW w:w="1463" w:type="dxa"/>
            <w:vAlign w:val="center"/>
          </w:tcPr>
          <w:p>
            <w:pPr>
              <w:adjustRightInd w:val="0"/>
              <w:snapToGrid w:val="0"/>
              <w:spacing w:line="240" w:lineRule="auto"/>
              <w:ind w:left="0" w:lef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cs="Times New Roman"/>
                <w:snapToGrid w:val="0"/>
                <w:color w:val="auto"/>
                <w:kern w:val="21"/>
                <w:sz w:val="21"/>
                <w:szCs w:val="21"/>
              </w:rPr>
              <w:t>/</w:t>
            </w:r>
          </w:p>
        </w:tc>
        <w:tc>
          <w:tcPr>
            <w:tcW w:w="1692" w:type="dxa"/>
            <w:vAlign w:val="center"/>
          </w:tcPr>
          <w:p>
            <w:pPr>
              <w:pStyle w:val="7"/>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snapToGrid w:val="0"/>
                <w:color w:val="auto"/>
                <w:kern w:val="21"/>
                <w:sz w:val="21"/>
                <w:szCs w:val="21"/>
              </w:rPr>
              <w:t>/</w:t>
            </w:r>
          </w:p>
        </w:tc>
        <w:tc>
          <w:tcPr>
            <w:tcW w:w="1391" w:type="dxa"/>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02" w:type="dxa"/>
            <w:gridSpan w:val="2"/>
            <w:vMerge w:val="restart"/>
            <w:vAlign w:val="center"/>
          </w:tcPr>
          <w:p>
            <w:pPr>
              <w:pStyle w:val="24"/>
              <w:rPr>
                <w:rFonts w:ascii="Times New Roman" w:hAnsi="Times New Roman" w:cs="Times New Roman"/>
                <w:b/>
                <w:bCs/>
                <w:snapToGrid w:val="0"/>
                <w:color w:val="auto"/>
                <w:kern w:val="21"/>
              </w:rPr>
            </w:pPr>
          </w:p>
          <w:p>
            <w:pPr>
              <w:pStyle w:val="24"/>
              <w:rPr>
                <w:rFonts w:ascii="Times New Roman" w:hAnsi="Times New Roman" w:cs="Times New Roman"/>
                <w:b/>
                <w:bCs/>
                <w:snapToGrid w:val="0"/>
                <w:color w:val="auto"/>
                <w:kern w:val="21"/>
              </w:rPr>
            </w:pPr>
            <w:r>
              <w:rPr>
                <w:rFonts w:ascii="Times New Roman" w:hAnsi="Times New Roman" w:cs="Times New Roman"/>
                <w:b/>
                <w:bCs/>
                <w:snapToGrid w:val="0"/>
                <w:color w:val="auto"/>
                <w:kern w:val="21"/>
              </w:rPr>
              <w:t>固体废物</w:t>
            </w:r>
          </w:p>
        </w:tc>
        <w:tc>
          <w:tcPr>
            <w:tcW w:w="1603" w:type="dxa"/>
            <w:vAlign w:val="center"/>
          </w:tcPr>
          <w:p>
            <w:pPr>
              <w:pStyle w:val="7"/>
              <w:spacing w:line="240" w:lineRule="auto"/>
              <w:ind w:firstLine="0" w:firstLineChars="0"/>
              <w:jc w:val="center"/>
              <w:rPr>
                <w:rFonts w:hint="eastAsia" w:eastAsia="宋体"/>
                <w:color w:val="auto"/>
                <w:sz w:val="21"/>
                <w:szCs w:val="21"/>
                <w:lang w:eastAsia="zh-CN"/>
              </w:rPr>
            </w:pPr>
            <w:r>
              <w:rPr>
                <w:rFonts w:hint="eastAsia"/>
                <w:color w:val="auto"/>
                <w:sz w:val="21"/>
                <w:szCs w:val="21"/>
                <w:lang w:eastAsia="zh-CN"/>
              </w:rPr>
              <w:t>水喷淋塔循环水箱沉渣</w:t>
            </w:r>
          </w:p>
        </w:tc>
        <w:tc>
          <w:tcPr>
            <w:tcW w:w="1701" w:type="dxa"/>
            <w:vAlign w:val="center"/>
          </w:tcPr>
          <w:p>
            <w:pPr>
              <w:adjustRightInd w:val="0"/>
              <w:snapToGrid w:val="0"/>
              <w:spacing w:line="240" w:lineRule="auto"/>
              <w:ind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295" w:type="dxa"/>
            <w:vAlign w:val="center"/>
          </w:tcPr>
          <w:p>
            <w:pPr>
              <w:adjustRightInd w:val="0"/>
              <w:snapToGrid w:val="0"/>
              <w:spacing w:line="240" w:lineRule="auto"/>
              <w:ind w:firstLine="0" w:firstLineChars="0"/>
              <w:jc w:val="center"/>
              <w:rPr>
                <w:rFonts w:ascii="Times New Roman" w:hAnsi="Times New Roman" w:cs="Times New Roman"/>
                <w:snapToGrid w:val="0"/>
                <w:color w:val="auto"/>
                <w:kern w:val="21"/>
                <w:sz w:val="21"/>
                <w:szCs w:val="21"/>
              </w:rPr>
            </w:pPr>
            <w:r>
              <w:rPr>
                <w:rFonts w:ascii="Times New Roman" w:hAnsi="Times New Roman" w:cs="Times New Roman"/>
                <w:snapToGrid w:val="0"/>
                <w:color w:val="auto"/>
                <w:kern w:val="21"/>
                <w:sz w:val="21"/>
                <w:szCs w:val="21"/>
              </w:rPr>
              <w:t>/</w:t>
            </w:r>
          </w:p>
        </w:tc>
        <w:tc>
          <w:tcPr>
            <w:tcW w:w="1682" w:type="dxa"/>
            <w:vAlign w:val="center"/>
          </w:tcPr>
          <w:p>
            <w:pPr>
              <w:adjustRightInd w:val="0"/>
              <w:snapToGrid w:val="0"/>
              <w:spacing w:line="240" w:lineRule="auto"/>
              <w:ind w:firstLine="0" w:firstLineChars="0"/>
              <w:jc w:val="center"/>
              <w:rPr>
                <w:rFonts w:hint="default" w:ascii="Times New Roman" w:hAnsi="Times New Roman" w:cs="Times New Roman" w:eastAsiaTheme="minorEastAsia"/>
                <w:snapToGrid w:val="0"/>
                <w:color w:val="auto"/>
                <w:kern w:val="21"/>
                <w:sz w:val="21"/>
                <w:szCs w:val="21"/>
                <w:lang w:val="en-US" w:eastAsia="zh-CN"/>
              </w:rPr>
            </w:pPr>
            <w:r>
              <w:rPr>
                <w:rFonts w:hint="eastAsia" w:ascii="Times New Roman" w:hAnsi="Times New Roman" w:cs="Times New Roman"/>
                <w:snapToGrid w:val="0"/>
                <w:color w:val="auto"/>
                <w:kern w:val="21"/>
                <w:sz w:val="21"/>
                <w:szCs w:val="21"/>
              </w:rPr>
              <w:t>/</w:t>
            </w:r>
          </w:p>
        </w:tc>
        <w:tc>
          <w:tcPr>
            <w:tcW w:w="1559" w:type="dxa"/>
            <w:vAlign w:val="center"/>
          </w:tcPr>
          <w:p>
            <w:pPr>
              <w:pStyle w:val="7"/>
              <w:spacing w:line="240" w:lineRule="auto"/>
              <w:ind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color w:val="auto"/>
                <w:sz w:val="21"/>
                <w:szCs w:val="21"/>
                <w:highlight w:val="none"/>
                <w:lang w:val="en-US" w:eastAsia="zh-CN"/>
              </w:rPr>
              <w:t>19.05</w:t>
            </w:r>
            <w:r>
              <w:rPr>
                <w:rFonts w:hint="eastAsia" w:ascii="Times New Roman" w:hAnsi="Times New Roman" w:eastAsia="宋体" w:cs="Times New Roman"/>
                <w:snapToGrid w:val="0"/>
                <w:color w:val="auto"/>
                <w:kern w:val="21"/>
                <w:sz w:val="21"/>
                <w:szCs w:val="21"/>
                <w:lang w:val="en-US" w:eastAsia="zh-CN"/>
              </w:rPr>
              <w:t xml:space="preserve"> </w:t>
            </w:r>
            <w:r>
              <w:rPr>
                <w:rFonts w:hint="eastAsia" w:ascii="Times New Roman" w:hAnsi="Times New Roman" w:eastAsia="宋体" w:cs="Times New Roman"/>
                <w:color w:val="auto"/>
                <w:sz w:val="21"/>
                <w:szCs w:val="21"/>
                <w:lang w:val="en-US" w:eastAsia="zh-CN"/>
              </w:rPr>
              <w:t>t/a</w:t>
            </w:r>
          </w:p>
        </w:tc>
        <w:tc>
          <w:tcPr>
            <w:tcW w:w="1463" w:type="dxa"/>
            <w:vAlign w:val="center"/>
          </w:tcPr>
          <w:p>
            <w:pPr>
              <w:adjustRightInd w:val="0"/>
              <w:snapToGrid w:val="0"/>
              <w:spacing w:line="240" w:lineRule="auto"/>
              <w:ind w:firstLine="0" w:firstLineChars="0"/>
              <w:jc w:val="center"/>
              <w:rPr>
                <w:rFonts w:ascii="Times New Roman" w:hAnsi="Times New Roman" w:cs="Times New Roman"/>
                <w:snapToGrid w:val="0"/>
                <w:color w:val="auto"/>
                <w:kern w:val="21"/>
                <w:sz w:val="21"/>
                <w:szCs w:val="21"/>
              </w:rPr>
            </w:pPr>
            <w:r>
              <w:rPr>
                <w:rFonts w:ascii="Times New Roman" w:hAnsi="Times New Roman" w:cs="Times New Roman"/>
                <w:snapToGrid w:val="0"/>
                <w:color w:val="auto"/>
                <w:kern w:val="21"/>
                <w:sz w:val="21"/>
                <w:szCs w:val="21"/>
              </w:rPr>
              <w:t>/</w:t>
            </w:r>
          </w:p>
        </w:tc>
        <w:tc>
          <w:tcPr>
            <w:tcW w:w="1692" w:type="dxa"/>
            <w:vAlign w:val="center"/>
          </w:tcPr>
          <w:p>
            <w:pPr>
              <w:adjustRightInd w:val="0"/>
              <w:snapToGrid w:val="0"/>
              <w:spacing w:line="240" w:lineRule="auto"/>
              <w:ind w:firstLine="0" w:firstLineChars="0"/>
              <w:jc w:val="center"/>
              <w:rPr>
                <w:rFonts w:ascii="Times New Roman" w:hAnsi="Times New Roman" w:cs="Times New Roman"/>
                <w:snapToGrid w:val="0"/>
                <w:color w:val="auto"/>
                <w:kern w:val="21"/>
                <w:sz w:val="21"/>
                <w:szCs w:val="21"/>
              </w:rPr>
            </w:pPr>
            <w:r>
              <w:rPr>
                <w:rFonts w:hint="eastAsia" w:cs="Times New Roman"/>
                <w:color w:val="auto"/>
                <w:sz w:val="21"/>
                <w:szCs w:val="21"/>
                <w:highlight w:val="none"/>
                <w:lang w:val="en-US" w:eastAsia="zh-CN"/>
              </w:rPr>
              <w:t>19.05</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lang w:val="en-US" w:eastAsia="zh-CN"/>
              </w:rPr>
              <w:t>t/a</w:t>
            </w:r>
          </w:p>
        </w:tc>
        <w:tc>
          <w:tcPr>
            <w:tcW w:w="1391" w:type="dxa"/>
            <w:vAlign w:val="center"/>
          </w:tcPr>
          <w:p>
            <w:pPr>
              <w:adjustRightInd w:val="0"/>
              <w:snapToGrid w:val="0"/>
              <w:spacing w:line="240" w:lineRule="auto"/>
              <w:ind w:firstLine="0" w:firstLineChars="0"/>
              <w:jc w:val="center"/>
              <w:rPr>
                <w:rFonts w:hint="eastAsia" w:ascii="Times New Roman" w:hAnsi="Times New Roman" w:cs="Times New Roman" w:eastAsiaTheme="minorEastAsia"/>
                <w:snapToGrid w:val="0"/>
                <w:color w:val="auto"/>
                <w:kern w:val="21"/>
                <w:sz w:val="21"/>
                <w:szCs w:val="21"/>
                <w:lang w:val="en-US" w:eastAsia="zh-CN"/>
              </w:rPr>
            </w:pPr>
            <w:r>
              <w:rPr>
                <w:rFonts w:hint="eastAsia" w:ascii="Times New Roman" w:hAnsi="Times New Roman" w:cs="Times New Roman"/>
                <w:snapToGrid w:val="0"/>
                <w:color w:val="auto"/>
                <w:kern w:val="21"/>
                <w:sz w:val="21"/>
                <w:szCs w:val="21"/>
                <w:lang w:val="en-US" w:eastAsia="zh-CN"/>
              </w:rPr>
              <w:t>+</w:t>
            </w:r>
            <w:r>
              <w:rPr>
                <w:rFonts w:hint="eastAsia" w:cs="Times New Roman"/>
                <w:color w:val="auto"/>
                <w:sz w:val="21"/>
                <w:szCs w:val="21"/>
                <w:highlight w:val="none"/>
                <w:lang w:val="en-US" w:eastAsia="zh-CN"/>
              </w:rPr>
              <w:t>19.05</w:t>
            </w:r>
            <w:r>
              <w:rPr>
                <w:rFonts w:hint="eastAsia" w:ascii="Times New Roman" w:hAnsi="Times New Roman" w:eastAsia="宋体" w:cs="Times New Roman"/>
                <w:snapToGrid w:val="0"/>
                <w:color w:val="auto"/>
                <w:kern w:val="21"/>
                <w:sz w:val="21"/>
                <w:szCs w:val="21"/>
                <w:lang w:val="en-US" w:eastAsia="zh-CN"/>
              </w:rPr>
              <w:t xml:space="preserve"> </w:t>
            </w:r>
            <w:r>
              <w:rPr>
                <w:rFonts w:hint="eastAsia" w:ascii="Times New Roman" w:hAnsi="Times New Roman" w:eastAsia="宋体" w:cs="Times New Roman"/>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1402" w:type="dxa"/>
            <w:gridSpan w:val="2"/>
            <w:vMerge w:val="continue"/>
            <w:vAlign w:val="center"/>
          </w:tcPr>
          <w:p>
            <w:pPr>
              <w:pStyle w:val="24"/>
              <w:rPr>
                <w:rFonts w:ascii="Times New Roman" w:hAnsi="Times New Roman" w:cs="Times New Roman"/>
                <w:b/>
                <w:bCs/>
                <w:snapToGrid w:val="0"/>
                <w:color w:val="auto"/>
                <w:kern w:val="21"/>
              </w:rPr>
            </w:pPr>
          </w:p>
        </w:tc>
        <w:tc>
          <w:tcPr>
            <w:tcW w:w="1603" w:type="dxa"/>
            <w:vAlign w:val="center"/>
          </w:tcPr>
          <w:p>
            <w:pPr>
              <w:pStyle w:val="7"/>
              <w:spacing w:line="240" w:lineRule="auto"/>
              <w:ind w:firstLine="0" w:firstLineChars="0"/>
              <w:jc w:val="center"/>
              <w:rPr>
                <w:color w:val="auto"/>
                <w:sz w:val="21"/>
                <w:szCs w:val="21"/>
              </w:rPr>
            </w:pPr>
            <w:r>
              <w:rPr>
                <w:rFonts w:hint="eastAsia" w:ascii="Times New Roman" w:hAnsi="Times New Roman" w:eastAsia="宋体" w:cs="Times New Roman"/>
                <w:color w:val="auto"/>
                <w:sz w:val="21"/>
                <w:szCs w:val="21"/>
                <w:highlight w:val="none"/>
                <w:lang w:eastAsia="zh-CN"/>
              </w:rPr>
              <w:t>废钢丝、废纤维</w:t>
            </w:r>
          </w:p>
        </w:tc>
        <w:tc>
          <w:tcPr>
            <w:tcW w:w="1701"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295" w:type="dxa"/>
            <w:vAlign w:val="center"/>
          </w:tcPr>
          <w:p>
            <w:pPr>
              <w:adjustRightInd w:val="0"/>
              <w:snapToGrid w:val="0"/>
              <w:spacing w:line="240" w:lineRule="auto"/>
              <w:ind w:firstLine="0" w:firstLineChars="0"/>
              <w:jc w:val="center"/>
              <w:rPr>
                <w:rFonts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82" w:type="dxa"/>
            <w:vAlign w:val="center"/>
          </w:tcPr>
          <w:p>
            <w:pPr>
              <w:adjustRightInd w:val="0"/>
              <w:snapToGrid w:val="0"/>
              <w:spacing w:line="240" w:lineRule="auto"/>
              <w:ind w:firstLine="0" w:firstLineChars="0"/>
              <w:jc w:val="center"/>
              <w:rPr>
                <w:rFonts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559" w:type="dxa"/>
            <w:vAlign w:val="center"/>
          </w:tcPr>
          <w:p>
            <w:pPr>
              <w:pStyle w:val="7"/>
              <w:spacing w:line="240" w:lineRule="auto"/>
              <w:ind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6999.564</w:t>
            </w:r>
            <w:r>
              <w:rPr>
                <w:rFonts w:hint="eastAsia" w:ascii="Times New Roman" w:hAnsi="Times New Roman" w:eastAsia="宋体" w:cs="Times New Roman"/>
                <w:color w:val="auto"/>
                <w:sz w:val="21"/>
                <w:szCs w:val="21"/>
                <w:lang w:val="en-US" w:eastAsia="zh-CN"/>
              </w:rPr>
              <w:t>t/a</w:t>
            </w:r>
          </w:p>
        </w:tc>
        <w:tc>
          <w:tcPr>
            <w:tcW w:w="1463" w:type="dxa"/>
            <w:vAlign w:val="center"/>
          </w:tcPr>
          <w:p>
            <w:pPr>
              <w:adjustRightInd w:val="0"/>
              <w:snapToGrid w:val="0"/>
              <w:spacing w:line="240" w:lineRule="auto"/>
              <w:ind w:firstLine="0" w:firstLineChars="0"/>
              <w:jc w:val="center"/>
              <w:rPr>
                <w:rFonts w:ascii="Times New Roman" w:hAnsi="Times New Roman" w:cs="Times New Roman"/>
                <w:snapToGrid w:val="0"/>
                <w:color w:val="auto"/>
                <w:kern w:val="21"/>
                <w:sz w:val="21"/>
                <w:szCs w:val="21"/>
              </w:rPr>
            </w:pPr>
            <w:r>
              <w:rPr>
                <w:rFonts w:ascii="Times New Roman" w:hAnsi="Times New Roman" w:cs="Times New Roman"/>
                <w:snapToGrid w:val="0"/>
                <w:color w:val="auto"/>
                <w:kern w:val="21"/>
                <w:sz w:val="21"/>
                <w:szCs w:val="21"/>
              </w:rPr>
              <w:t>/</w:t>
            </w:r>
          </w:p>
        </w:tc>
        <w:tc>
          <w:tcPr>
            <w:tcW w:w="1692" w:type="dxa"/>
            <w:vAlign w:val="center"/>
          </w:tcPr>
          <w:p>
            <w:pPr>
              <w:adjustRightInd w:val="0"/>
              <w:snapToGrid w:val="0"/>
              <w:spacing w:line="240" w:lineRule="auto"/>
              <w:ind w:firstLine="0" w:firstLineChars="0"/>
              <w:jc w:val="center"/>
              <w:rPr>
                <w:rFonts w:hint="default" w:ascii="Times New Roman" w:hAnsi="Times New Roman" w:eastAsia="宋体" w:cs="Times New Roman"/>
                <w:snapToGrid w:val="0"/>
                <w:color w:val="auto"/>
                <w:kern w:val="21"/>
                <w:sz w:val="21"/>
                <w:szCs w:val="21"/>
                <w:lang w:val="en-US"/>
              </w:rPr>
            </w:pPr>
            <w:r>
              <w:rPr>
                <w:rFonts w:hint="eastAsia" w:cs="Times New Roman"/>
                <w:snapToGrid w:val="0"/>
                <w:color w:val="auto"/>
                <w:kern w:val="21"/>
                <w:sz w:val="21"/>
                <w:szCs w:val="21"/>
                <w:lang w:val="en-US" w:eastAsia="zh-CN"/>
              </w:rPr>
              <w:t>6999.564</w:t>
            </w:r>
            <w:r>
              <w:rPr>
                <w:rFonts w:hint="eastAsia" w:ascii="Times New Roman" w:hAnsi="Times New Roman" w:eastAsia="宋体" w:cs="Times New Roman"/>
                <w:color w:val="auto"/>
                <w:sz w:val="21"/>
                <w:szCs w:val="21"/>
                <w:lang w:val="en-US" w:eastAsia="zh-CN"/>
              </w:rPr>
              <w:t>t/a</w:t>
            </w:r>
          </w:p>
        </w:tc>
        <w:tc>
          <w:tcPr>
            <w:tcW w:w="1391" w:type="dxa"/>
            <w:vAlign w:val="center"/>
          </w:tcPr>
          <w:p>
            <w:pPr>
              <w:adjustRightInd w:val="0"/>
              <w:snapToGrid w:val="0"/>
              <w:spacing w:line="240" w:lineRule="auto"/>
              <w:ind w:firstLine="0" w:firstLineChars="0"/>
              <w:jc w:val="center"/>
              <w:rPr>
                <w:rFonts w:hint="eastAsia" w:ascii="Times New Roman" w:hAnsi="Times New Roman" w:cs="Times New Roman" w:eastAsiaTheme="minorEastAsia"/>
                <w:snapToGrid w:val="0"/>
                <w:color w:val="auto"/>
                <w:kern w:val="21"/>
                <w:sz w:val="21"/>
                <w:szCs w:val="21"/>
                <w:lang w:val="en-US" w:eastAsia="zh-CN"/>
              </w:rPr>
            </w:pPr>
            <w:r>
              <w:rPr>
                <w:rFonts w:hint="eastAsia" w:ascii="Times New Roman" w:hAnsi="Times New Roman" w:cs="Times New Roman"/>
                <w:snapToGrid w:val="0"/>
                <w:color w:val="auto"/>
                <w:kern w:val="21"/>
                <w:sz w:val="21"/>
                <w:szCs w:val="21"/>
                <w:lang w:val="en-US" w:eastAsia="zh-CN"/>
              </w:rPr>
              <w:t>+</w:t>
            </w:r>
            <w:r>
              <w:rPr>
                <w:rFonts w:hint="eastAsia" w:cs="Times New Roman"/>
                <w:snapToGrid w:val="0"/>
                <w:color w:val="auto"/>
                <w:kern w:val="21"/>
                <w:sz w:val="21"/>
                <w:szCs w:val="21"/>
                <w:lang w:val="en-US" w:eastAsia="zh-CN"/>
              </w:rPr>
              <w:t>6999.564</w:t>
            </w:r>
            <w:r>
              <w:rPr>
                <w:rFonts w:hint="eastAsia" w:ascii="Times New Roman" w:hAnsi="Times New Roman" w:eastAsia="宋体" w:cs="Times New Roman"/>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1402" w:type="dxa"/>
            <w:gridSpan w:val="2"/>
            <w:vAlign w:val="center"/>
          </w:tcPr>
          <w:p>
            <w:pPr>
              <w:pStyle w:val="24"/>
              <w:rPr>
                <w:rFonts w:hint="eastAsia" w:ascii="Times New Roman" w:hAnsi="Times New Roman" w:eastAsia="宋体" w:cs="Times New Roman"/>
                <w:b/>
                <w:bCs/>
                <w:snapToGrid w:val="0"/>
                <w:color w:val="auto"/>
                <w:kern w:val="21"/>
                <w:lang w:val="en-US" w:eastAsia="zh-CN"/>
              </w:rPr>
            </w:pPr>
            <w:r>
              <w:rPr>
                <w:rFonts w:hint="eastAsia" w:cs="Times New Roman"/>
                <w:b/>
                <w:bCs/>
                <w:snapToGrid w:val="0"/>
                <w:color w:val="auto"/>
                <w:kern w:val="21"/>
                <w:lang w:val="en-US" w:eastAsia="zh-CN"/>
              </w:rPr>
              <w:t>危险废物</w:t>
            </w:r>
          </w:p>
        </w:tc>
        <w:tc>
          <w:tcPr>
            <w:tcW w:w="1603" w:type="dxa"/>
            <w:vAlign w:val="center"/>
          </w:tcPr>
          <w:p>
            <w:pPr>
              <w:pStyle w:val="7"/>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废润滑油</w:t>
            </w:r>
          </w:p>
        </w:tc>
        <w:tc>
          <w:tcPr>
            <w:tcW w:w="1701"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snapToGrid w:val="0"/>
                <w:color w:val="auto"/>
                <w:kern w:val="21"/>
                <w:sz w:val="21"/>
                <w:szCs w:val="21"/>
              </w:rPr>
              <w:t>/</w:t>
            </w:r>
          </w:p>
        </w:tc>
        <w:tc>
          <w:tcPr>
            <w:tcW w:w="1295" w:type="dxa"/>
            <w:vAlign w:val="center"/>
          </w:tcPr>
          <w:p>
            <w:pPr>
              <w:adjustRightInd w:val="0"/>
              <w:snapToGrid w:val="0"/>
              <w:spacing w:line="240" w:lineRule="auto"/>
              <w:ind w:firstLine="0" w:firstLineChars="0"/>
              <w:jc w:val="center"/>
              <w:rPr>
                <w:rFonts w:hint="eastAsia"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682" w:type="dxa"/>
            <w:vAlign w:val="center"/>
          </w:tcPr>
          <w:p>
            <w:pPr>
              <w:adjustRightInd w:val="0"/>
              <w:snapToGrid w:val="0"/>
              <w:spacing w:line="240" w:lineRule="auto"/>
              <w:ind w:firstLine="0" w:firstLineChars="0"/>
              <w:jc w:val="center"/>
              <w:rPr>
                <w:rFonts w:hint="eastAsia" w:ascii="Times New Roman" w:hAnsi="Times New Roman" w:cs="Times New Roman"/>
                <w:snapToGrid w:val="0"/>
                <w:color w:val="auto"/>
                <w:kern w:val="21"/>
                <w:sz w:val="21"/>
                <w:szCs w:val="21"/>
              </w:rPr>
            </w:pPr>
            <w:r>
              <w:rPr>
                <w:rFonts w:hint="eastAsia" w:ascii="Times New Roman" w:hAnsi="Times New Roman" w:cs="Times New Roman"/>
                <w:snapToGrid w:val="0"/>
                <w:color w:val="auto"/>
                <w:kern w:val="21"/>
                <w:sz w:val="21"/>
                <w:szCs w:val="21"/>
              </w:rPr>
              <w:t>/</w:t>
            </w:r>
          </w:p>
        </w:tc>
        <w:tc>
          <w:tcPr>
            <w:tcW w:w="1559" w:type="dxa"/>
            <w:vAlign w:val="center"/>
          </w:tcPr>
          <w:p>
            <w:pPr>
              <w:pStyle w:val="7"/>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color w:val="auto"/>
                <w:sz w:val="21"/>
                <w:szCs w:val="21"/>
                <w:highlight w:val="none"/>
                <w:lang w:val="en-US" w:eastAsia="zh-CN"/>
              </w:rPr>
              <w:t>0.05</w:t>
            </w:r>
            <w:r>
              <w:rPr>
                <w:rFonts w:hint="eastAsia" w:ascii="Times New Roman" w:hAnsi="Times New Roman" w:eastAsia="宋体" w:cs="Times New Roman"/>
                <w:color w:val="auto"/>
                <w:sz w:val="21"/>
                <w:szCs w:val="21"/>
                <w:lang w:val="en-US" w:eastAsia="zh-CN"/>
              </w:rPr>
              <w:t>t/a</w:t>
            </w:r>
          </w:p>
        </w:tc>
        <w:tc>
          <w:tcPr>
            <w:tcW w:w="1463" w:type="dxa"/>
            <w:vAlign w:val="center"/>
          </w:tcPr>
          <w:p>
            <w:pPr>
              <w:adjustRightInd w:val="0"/>
              <w:snapToGrid w:val="0"/>
              <w:spacing w:line="240" w:lineRule="auto"/>
              <w:ind w:firstLine="0" w:firstLineChars="0"/>
              <w:jc w:val="center"/>
              <w:rPr>
                <w:rFonts w:ascii="Times New Roman" w:hAnsi="Times New Roman" w:cs="Times New Roman"/>
                <w:snapToGrid w:val="0"/>
                <w:color w:val="auto"/>
                <w:kern w:val="21"/>
                <w:sz w:val="21"/>
                <w:szCs w:val="21"/>
              </w:rPr>
            </w:pPr>
          </w:p>
        </w:tc>
        <w:tc>
          <w:tcPr>
            <w:tcW w:w="1692" w:type="dxa"/>
            <w:vAlign w:val="center"/>
          </w:tcPr>
          <w:p>
            <w:pPr>
              <w:adjustRightInd w:val="0"/>
              <w:snapToGrid w:val="0"/>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color w:val="auto"/>
                <w:sz w:val="21"/>
                <w:szCs w:val="21"/>
                <w:highlight w:val="none"/>
                <w:lang w:val="en-US" w:eastAsia="zh-CN"/>
              </w:rPr>
              <w:t>0.05</w:t>
            </w:r>
            <w:r>
              <w:rPr>
                <w:rFonts w:hint="eastAsia" w:ascii="Times New Roman" w:hAnsi="Times New Roman" w:eastAsia="宋体" w:cs="Times New Roman"/>
                <w:color w:val="auto"/>
                <w:sz w:val="21"/>
                <w:szCs w:val="21"/>
                <w:lang w:val="en-US" w:eastAsia="zh-CN"/>
              </w:rPr>
              <w:t>t/a</w:t>
            </w:r>
          </w:p>
        </w:tc>
        <w:tc>
          <w:tcPr>
            <w:tcW w:w="1391" w:type="dxa"/>
            <w:vAlign w:val="center"/>
          </w:tcPr>
          <w:p>
            <w:pPr>
              <w:adjustRightInd w:val="0"/>
              <w:snapToGrid w:val="0"/>
              <w:spacing w:line="240" w:lineRule="auto"/>
              <w:ind w:firstLine="0" w:firstLineChars="0"/>
              <w:jc w:val="center"/>
              <w:rPr>
                <w:rFonts w:hint="default" w:ascii="Times New Roman" w:hAnsi="Times New Roman" w:cs="Times New Roman"/>
                <w:b/>
                <w:bCs/>
                <w:snapToGrid w:val="0"/>
                <w:color w:val="auto"/>
                <w:kern w:val="21"/>
                <w:sz w:val="21"/>
                <w:szCs w:val="21"/>
                <w:lang w:val="en-US" w:eastAsia="zh-CN"/>
              </w:rPr>
            </w:pPr>
            <w:r>
              <w:rPr>
                <w:rFonts w:hint="eastAsia" w:cs="Times New Roman"/>
                <w:snapToGrid w:val="0"/>
                <w:color w:val="auto"/>
                <w:kern w:val="21"/>
                <w:sz w:val="21"/>
                <w:szCs w:val="21"/>
                <w:lang w:val="en-US" w:eastAsia="zh-CN"/>
              </w:rPr>
              <w:t>+</w:t>
            </w:r>
            <w:r>
              <w:rPr>
                <w:rFonts w:hint="eastAsia" w:cs="Times New Roman"/>
                <w:color w:val="auto"/>
                <w:sz w:val="21"/>
                <w:szCs w:val="21"/>
                <w:highlight w:val="none"/>
                <w:lang w:val="en-US" w:eastAsia="zh-CN"/>
              </w:rPr>
              <w:t>0.05</w:t>
            </w:r>
            <w:r>
              <w:rPr>
                <w:rFonts w:hint="eastAsia" w:ascii="Times New Roman" w:hAnsi="Times New Roman" w:eastAsia="宋体" w:cs="Times New Roman"/>
                <w:color w:val="auto"/>
                <w:sz w:val="21"/>
                <w:szCs w:val="21"/>
                <w:lang w:val="en-US" w:eastAsia="zh-CN"/>
              </w:rPr>
              <w:t>t/a</w:t>
            </w:r>
          </w:p>
        </w:tc>
      </w:tr>
    </w:tbl>
    <w:p>
      <w:pPr>
        <w:pStyle w:val="24"/>
        <w:spacing w:before="249" w:beforeLines="80" w:after="24"/>
        <w:jc w:val="left"/>
        <w:rPr>
          <w:rFonts w:ascii="Times New Roman" w:hAnsi="Times New Roman" w:cs="Times New Roman"/>
          <w:snapToGrid w:val="0"/>
          <w:color w:val="auto"/>
          <w:spacing w:val="-6"/>
          <w:kern w:val="21"/>
        </w:rPr>
      </w:pPr>
      <w:r>
        <w:rPr>
          <w:rFonts w:ascii="Times New Roman" w:hAnsi="Times New Roman" w:cs="Times New Roman"/>
          <w:snapToGrid w:val="0"/>
          <w:color w:val="auto"/>
          <w:kern w:val="21"/>
        </w:rPr>
        <w:t>注：</w:t>
      </w:r>
      <w:r>
        <w:rPr>
          <w:rFonts w:ascii="Times New Roman" w:hAnsi="Times New Roman" w:cs="Times New Roman"/>
          <w:snapToGrid w:val="0"/>
          <w:color w:val="auto"/>
          <w:spacing w:val="-16"/>
          <w:kern w:val="21"/>
        </w:rPr>
        <w:fldChar w:fldCharType="begin"/>
      </w:r>
      <w:r>
        <w:rPr>
          <w:rFonts w:ascii="Times New Roman" w:hAnsi="Times New Roman" w:cs="Times New Roman"/>
          <w:snapToGrid w:val="0"/>
          <w:color w:val="auto"/>
          <w:spacing w:val="-16"/>
          <w:kern w:val="21"/>
        </w:rPr>
        <w:instrText xml:space="preserve"> = 6 \* GB3 \* MERGEFORMAT </w:instrText>
      </w:r>
      <w:r>
        <w:rPr>
          <w:rFonts w:ascii="Times New Roman" w:hAnsi="Times New Roman" w:cs="Times New Roman"/>
          <w:snapToGrid w:val="0"/>
          <w:color w:val="auto"/>
          <w:spacing w:val="-16"/>
          <w:kern w:val="21"/>
        </w:rPr>
        <w:fldChar w:fldCharType="separate"/>
      </w:r>
      <w:r>
        <w:rPr>
          <w:rFonts w:ascii="Times New Roman" w:hAnsi="Times New Roman" w:cs="Times New Roman"/>
          <w:color w:val="auto"/>
        </w:rPr>
        <w:t>⑥</w:t>
      </w:r>
      <w:r>
        <w:rPr>
          <w:rFonts w:ascii="Times New Roman" w:hAnsi="Times New Roman" w:cs="Times New Roman"/>
          <w:snapToGrid w:val="0"/>
          <w:color w:val="auto"/>
          <w:spacing w:val="-16"/>
          <w:kern w:val="21"/>
        </w:rPr>
        <w:fldChar w:fldCharType="end"/>
      </w:r>
      <w:r>
        <w:rPr>
          <w:rFonts w:ascii="Times New Roman" w:hAnsi="Times New Roman" w:cs="Times New Roman"/>
          <w:snapToGrid w:val="0"/>
          <w:color w:val="auto"/>
          <w:spacing w:val="-16"/>
          <w:kern w:val="21"/>
        </w:rPr>
        <w:t>=</w:t>
      </w:r>
      <w:r>
        <w:rPr>
          <w:rFonts w:ascii="Times New Roman" w:hAnsi="Times New Roman" w:cs="Times New Roman"/>
          <w:snapToGrid w:val="0"/>
          <w:color w:val="auto"/>
          <w:spacing w:val="-6"/>
          <w:kern w:val="21"/>
        </w:rPr>
        <w:fldChar w:fldCharType="begin"/>
      </w:r>
      <w:r>
        <w:rPr>
          <w:rFonts w:ascii="Times New Roman" w:hAnsi="Times New Roman" w:cs="Times New Roman"/>
          <w:snapToGrid w:val="0"/>
          <w:color w:val="auto"/>
          <w:spacing w:val="-6"/>
          <w:kern w:val="21"/>
        </w:rPr>
        <w:instrText xml:space="preserve"> = 1 \* GB3 \* MERGEFORMAT </w:instrText>
      </w:r>
      <w:r>
        <w:rPr>
          <w:rFonts w:ascii="Times New Roman" w:hAnsi="Times New Roman" w:cs="Times New Roman"/>
          <w:snapToGrid w:val="0"/>
          <w:color w:val="auto"/>
          <w:spacing w:val="-6"/>
          <w:kern w:val="21"/>
        </w:rPr>
        <w:fldChar w:fldCharType="separate"/>
      </w:r>
      <w:r>
        <w:rPr>
          <w:rFonts w:ascii="Times New Roman" w:hAnsi="Times New Roman" w:cs="Times New Roman"/>
          <w:color w:val="auto"/>
        </w:rPr>
        <w:t>①</w:t>
      </w:r>
      <w:r>
        <w:rPr>
          <w:rFonts w:ascii="Times New Roman" w:hAnsi="Times New Roman" w:cs="Times New Roman"/>
          <w:snapToGrid w:val="0"/>
          <w:color w:val="auto"/>
          <w:spacing w:val="-6"/>
          <w:kern w:val="21"/>
        </w:rPr>
        <w:fldChar w:fldCharType="end"/>
      </w:r>
      <w:r>
        <w:rPr>
          <w:rFonts w:ascii="Times New Roman" w:hAnsi="Times New Roman" w:cs="Times New Roman"/>
          <w:snapToGrid w:val="0"/>
          <w:color w:val="auto"/>
          <w:spacing w:val="-6"/>
          <w:kern w:val="21"/>
        </w:rPr>
        <w:t>+</w:t>
      </w:r>
      <w:r>
        <w:rPr>
          <w:rFonts w:ascii="Times New Roman" w:hAnsi="Times New Roman" w:cs="Times New Roman"/>
          <w:snapToGrid w:val="0"/>
          <w:color w:val="auto"/>
          <w:spacing w:val="-6"/>
          <w:kern w:val="21"/>
        </w:rPr>
        <w:fldChar w:fldCharType="begin"/>
      </w:r>
      <w:r>
        <w:rPr>
          <w:rFonts w:ascii="Times New Roman" w:hAnsi="Times New Roman" w:cs="Times New Roman"/>
          <w:snapToGrid w:val="0"/>
          <w:color w:val="auto"/>
          <w:spacing w:val="-6"/>
          <w:kern w:val="21"/>
        </w:rPr>
        <w:instrText xml:space="preserve"> = 3 \* GB3 \* MERGEFORMAT </w:instrText>
      </w:r>
      <w:r>
        <w:rPr>
          <w:rFonts w:ascii="Times New Roman" w:hAnsi="Times New Roman" w:cs="Times New Roman"/>
          <w:snapToGrid w:val="0"/>
          <w:color w:val="auto"/>
          <w:spacing w:val="-6"/>
          <w:kern w:val="21"/>
        </w:rPr>
        <w:fldChar w:fldCharType="separate"/>
      </w:r>
      <w:r>
        <w:rPr>
          <w:rFonts w:ascii="Times New Roman" w:hAnsi="Times New Roman" w:cs="Times New Roman"/>
          <w:color w:val="auto"/>
        </w:rPr>
        <w:t>③</w:t>
      </w:r>
      <w:r>
        <w:rPr>
          <w:rFonts w:ascii="Times New Roman" w:hAnsi="Times New Roman" w:cs="Times New Roman"/>
          <w:snapToGrid w:val="0"/>
          <w:color w:val="auto"/>
          <w:spacing w:val="-6"/>
          <w:kern w:val="21"/>
        </w:rPr>
        <w:fldChar w:fldCharType="end"/>
      </w:r>
      <w:r>
        <w:rPr>
          <w:rFonts w:ascii="Times New Roman" w:hAnsi="Times New Roman" w:cs="Times New Roman"/>
          <w:snapToGrid w:val="0"/>
          <w:color w:val="auto"/>
          <w:spacing w:val="-6"/>
          <w:kern w:val="21"/>
        </w:rPr>
        <w:t>+</w:t>
      </w:r>
      <w:r>
        <w:rPr>
          <w:rFonts w:ascii="Times New Roman" w:hAnsi="Times New Roman" w:cs="Times New Roman"/>
          <w:snapToGrid w:val="0"/>
          <w:color w:val="auto"/>
          <w:spacing w:val="-6"/>
          <w:kern w:val="21"/>
        </w:rPr>
        <w:fldChar w:fldCharType="begin"/>
      </w:r>
      <w:r>
        <w:rPr>
          <w:rFonts w:ascii="Times New Roman" w:hAnsi="Times New Roman" w:cs="Times New Roman"/>
          <w:snapToGrid w:val="0"/>
          <w:color w:val="auto"/>
          <w:spacing w:val="-6"/>
          <w:kern w:val="21"/>
        </w:rPr>
        <w:instrText xml:space="preserve"> = 4 \* GB3 \* MERGEFORMAT </w:instrText>
      </w:r>
      <w:r>
        <w:rPr>
          <w:rFonts w:ascii="Times New Roman" w:hAnsi="Times New Roman" w:cs="Times New Roman"/>
          <w:snapToGrid w:val="0"/>
          <w:color w:val="auto"/>
          <w:spacing w:val="-6"/>
          <w:kern w:val="21"/>
        </w:rPr>
        <w:fldChar w:fldCharType="separate"/>
      </w:r>
      <w:r>
        <w:rPr>
          <w:rFonts w:ascii="Times New Roman" w:hAnsi="Times New Roman" w:cs="Times New Roman"/>
          <w:color w:val="auto"/>
        </w:rPr>
        <w:t>④</w:t>
      </w:r>
      <w:r>
        <w:rPr>
          <w:rFonts w:ascii="Times New Roman" w:hAnsi="Times New Roman" w:cs="Times New Roman"/>
          <w:snapToGrid w:val="0"/>
          <w:color w:val="auto"/>
          <w:spacing w:val="-6"/>
          <w:kern w:val="21"/>
        </w:rPr>
        <w:fldChar w:fldCharType="end"/>
      </w:r>
      <w:r>
        <w:rPr>
          <w:rFonts w:ascii="Times New Roman" w:hAnsi="Times New Roman" w:cs="Times New Roman"/>
          <w:snapToGrid w:val="0"/>
          <w:color w:val="auto"/>
          <w:spacing w:val="-6"/>
          <w:kern w:val="21"/>
        </w:rPr>
        <w:t>-</w:t>
      </w:r>
      <w:r>
        <w:rPr>
          <w:rFonts w:ascii="Times New Roman" w:hAnsi="Times New Roman" w:cs="Times New Roman"/>
          <w:snapToGrid w:val="0"/>
          <w:color w:val="auto"/>
          <w:spacing w:val="-16"/>
          <w:kern w:val="21"/>
        </w:rPr>
        <w:fldChar w:fldCharType="begin"/>
      </w:r>
      <w:r>
        <w:rPr>
          <w:rFonts w:ascii="Times New Roman" w:hAnsi="Times New Roman" w:cs="Times New Roman"/>
          <w:snapToGrid w:val="0"/>
          <w:color w:val="auto"/>
          <w:spacing w:val="-16"/>
          <w:kern w:val="21"/>
        </w:rPr>
        <w:instrText xml:space="preserve"> = 5 \* GB3 \* MERGEFORMAT </w:instrText>
      </w:r>
      <w:r>
        <w:rPr>
          <w:rFonts w:ascii="Times New Roman" w:hAnsi="Times New Roman" w:cs="Times New Roman"/>
          <w:snapToGrid w:val="0"/>
          <w:color w:val="auto"/>
          <w:spacing w:val="-16"/>
          <w:kern w:val="21"/>
        </w:rPr>
        <w:fldChar w:fldCharType="separate"/>
      </w:r>
      <w:r>
        <w:rPr>
          <w:rFonts w:ascii="Times New Roman" w:hAnsi="Times New Roman" w:cs="Times New Roman"/>
          <w:color w:val="auto"/>
        </w:rPr>
        <w:t>⑤</w:t>
      </w:r>
      <w:r>
        <w:rPr>
          <w:rFonts w:ascii="Times New Roman" w:hAnsi="Times New Roman" w:cs="Times New Roman"/>
          <w:snapToGrid w:val="0"/>
          <w:color w:val="auto"/>
          <w:spacing w:val="-16"/>
          <w:kern w:val="21"/>
        </w:rPr>
        <w:fldChar w:fldCharType="end"/>
      </w:r>
      <w:r>
        <w:rPr>
          <w:rFonts w:ascii="Times New Roman" w:hAnsi="Times New Roman" w:cs="Times New Roman"/>
          <w:snapToGrid w:val="0"/>
          <w:color w:val="auto"/>
          <w:spacing w:val="-16"/>
          <w:kern w:val="21"/>
        </w:rPr>
        <w:t>；</w:t>
      </w:r>
      <w:r>
        <w:rPr>
          <w:rFonts w:ascii="Times New Roman" w:hAnsi="Times New Roman" w:cs="Times New Roman"/>
          <w:snapToGrid w:val="0"/>
          <w:color w:val="auto"/>
          <w:spacing w:val="-6"/>
          <w:kern w:val="21"/>
        </w:rPr>
        <w:fldChar w:fldCharType="begin"/>
      </w:r>
      <w:r>
        <w:rPr>
          <w:rFonts w:ascii="Times New Roman" w:hAnsi="Times New Roman" w:cs="Times New Roman"/>
          <w:snapToGrid w:val="0"/>
          <w:color w:val="auto"/>
          <w:spacing w:val="-6"/>
          <w:kern w:val="21"/>
        </w:rPr>
        <w:instrText xml:space="preserve"> = 7 \* GB3 \* MERGEFORMAT </w:instrText>
      </w:r>
      <w:r>
        <w:rPr>
          <w:rFonts w:ascii="Times New Roman" w:hAnsi="Times New Roman" w:cs="Times New Roman"/>
          <w:snapToGrid w:val="0"/>
          <w:color w:val="auto"/>
          <w:spacing w:val="-6"/>
          <w:kern w:val="21"/>
        </w:rPr>
        <w:fldChar w:fldCharType="separate"/>
      </w:r>
      <w:r>
        <w:rPr>
          <w:rFonts w:ascii="Times New Roman" w:hAnsi="Times New Roman" w:cs="Times New Roman"/>
          <w:color w:val="auto"/>
        </w:rPr>
        <w:t>⑦</w:t>
      </w:r>
      <w:r>
        <w:rPr>
          <w:rFonts w:ascii="Times New Roman" w:hAnsi="Times New Roman" w:cs="Times New Roman"/>
          <w:snapToGrid w:val="0"/>
          <w:color w:val="auto"/>
          <w:spacing w:val="-6"/>
          <w:kern w:val="21"/>
        </w:rPr>
        <w:fldChar w:fldCharType="end"/>
      </w:r>
      <w:r>
        <w:rPr>
          <w:rFonts w:ascii="Times New Roman" w:hAnsi="Times New Roman" w:cs="Times New Roman"/>
          <w:snapToGrid w:val="0"/>
          <w:color w:val="auto"/>
          <w:spacing w:val="-6"/>
          <w:kern w:val="21"/>
        </w:rPr>
        <w:t>=</w:t>
      </w:r>
      <w:r>
        <w:rPr>
          <w:rFonts w:ascii="Times New Roman" w:hAnsi="Times New Roman" w:cs="Times New Roman"/>
          <w:snapToGrid w:val="0"/>
          <w:color w:val="auto"/>
          <w:spacing w:val="-16"/>
          <w:kern w:val="21"/>
        </w:rPr>
        <w:fldChar w:fldCharType="begin"/>
      </w:r>
      <w:r>
        <w:rPr>
          <w:rFonts w:ascii="Times New Roman" w:hAnsi="Times New Roman" w:cs="Times New Roman"/>
          <w:snapToGrid w:val="0"/>
          <w:color w:val="auto"/>
          <w:spacing w:val="-16"/>
          <w:kern w:val="21"/>
        </w:rPr>
        <w:instrText xml:space="preserve"> = 6 \* GB3 \* MERGEFORMAT </w:instrText>
      </w:r>
      <w:r>
        <w:rPr>
          <w:rFonts w:ascii="Times New Roman" w:hAnsi="Times New Roman" w:cs="Times New Roman"/>
          <w:snapToGrid w:val="0"/>
          <w:color w:val="auto"/>
          <w:spacing w:val="-16"/>
          <w:kern w:val="21"/>
        </w:rPr>
        <w:fldChar w:fldCharType="separate"/>
      </w:r>
      <w:r>
        <w:rPr>
          <w:rFonts w:ascii="Times New Roman" w:hAnsi="Times New Roman" w:cs="Times New Roman"/>
          <w:color w:val="auto"/>
        </w:rPr>
        <w:t>⑥</w:t>
      </w:r>
      <w:r>
        <w:rPr>
          <w:rFonts w:ascii="Times New Roman" w:hAnsi="Times New Roman" w:cs="Times New Roman"/>
          <w:snapToGrid w:val="0"/>
          <w:color w:val="auto"/>
          <w:spacing w:val="-16"/>
          <w:kern w:val="21"/>
        </w:rPr>
        <w:fldChar w:fldCharType="end"/>
      </w:r>
      <w:r>
        <w:rPr>
          <w:rFonts w:ascii="Times New Roman" w:hAnsi="Times New Roman" w:cs="Times New Roman"/>
          <w:snapToGrid w:val="0"/>
          <w:color w:val="auto"/>
          <w:spacing w:val="-16"/>
          <w:kern w:val="21"/>
        </w:rPr>
        <w:t>-</w:t>
      </w:r>
      <w:r>
        <w:rPr>
          <w:rFonts w:ascii="Times New Roman" w:hAnsi="Times New Roman" w:cs="Times New Roman"/>
          <w:snapToGrid w:val="0"/>
          <w:color w:val="auto"/>
          <w:spacing w:val="-6"/>
          <w:kern w:val="21"/>
        </w:rPr>
        <w:fldChar w:fldCharType="begin"/>
      </w:r>
      <w:r>
        <w:rPr>
          <w:rFonts w:ascii="Times New Roman" w:hAnsi="Times New Roman" w:cs="Times New Roman"/>
          <w:snapToGrid w:val="0"/>
          <w:color w:val="auto"/>
          <w:spacing w:val="-6"/>
          <w:kern w:val="21"/>
        </w:rPr>
        <w:instrText xml:space="preserve"> = 1 \* GB3 \* MERGEFORMAT </w:instrText>
      </w:r>
      <w:r>
        <w:rPr>
          <w:rFonts w:ascii="Times New Roman" w:hAnsi="Times New Roman" w:cs="Times New Roman"/>
          <w:snapToGrid w:val="0"/>
          <w:color w:val="auto"/>
          <w:spacing w:val="-6"/>
          <w:kern w:val="21"/>
        </w:rPr>
        <w:fldChar w:fldCharType="separate"/>
      </w:r>
      <w:r>
        <w:rPr>
          <w:rFonts w:ascii="Times New Roman" w:hAnsi="Times New Roman" w:cs="Times New Roman"/>
          <w:color w:val="auto"/>
        </w:rPr>
        <w:t>①</w:t>
      </w:r>
      <w:r>
        <w:rPr>
          <w:rFonts w:ascii="Times New Roman" w:hAnsi="Times New Roman" w:cs="Times New Roman"/>
          <w:snapToGrid w:val="0"/>
          <w:color w:val="auto"/>
          <w:spacing w:val="-6"/>
          <w:kern w:val="21"/>
        </w:rPr>
        <w:fldChar w:fldCharType="end"/>
      </w:r>
    </w:p>
    <w:p>
      <w:pPr>
        <w:bidi w:val="0"/>
        <w:rPr>
          <w:rFonts w:hint="eastAsia"/>
          <w:color w:val="auto"/>
          <w:lang w:val="en-US" w:eastAsia="zh-CN"/>
        </w:rPr>
      </w:pPr>
    </w:p>
    <w:sectPr>
      <w:footerReference r:id="rId8" w:type="default"/>
      <w:pgSz w:w="16838" w:h="11906" w:orient="landscape"/>
      <w:pgMar w:top="1800" w:right="1440" w:bottom="1860" w:left="16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D182B"/>
    <w:multiLevelType w:val="singleLevel"/>
    <w:tmpl w:val="DE1D182B"/>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OWMyNzg1MjhhNDQxMDlkZTI4OTJmYTNlYzIxYjMifQ=="/>
  </w:docVars>
  <w:rsids>
    <w:rsidRoot w:val="00000000"/>
    <w:rsid w:val="0075194C"/>
    <w:rsid w:val="00BD0BD1"/>
    <w:rsid w:val="00FA7051"/>
    <w:rsid w:val="01B5148C"/>
    <w:rsid w:val="01FD4257"/>
    <w:rsid w:val="02092C94"/>
    <w:rsid w:val="02221493"/>
    <w:rsid w:val="02EF1607"/>
    <w:rsid w:val="03600603"/>
    <w:rsid w:val="03752D35"/>
    <w:rsid w:val="03A562C6"/>
    <w:rsid w:val="03A73482"/>
    <w:rsid w:val="049106C0"/>
    <w:rsid w:val="04DC62CC"/>
    <w:rsid w:val="0543051F"/>
    <w:rsid w:val="054F3EF7"/>
    <w:rsid w:val="058273D3"/>
    <w:rsid w:val="061816F7"/>
    <w:rsid w:val="069C40D7"/>
    <w:rsid w:val="06C07F8B"/>
    <w:rsid w:val="06E72E78"/>
    <w:rsid w:val="073D5089"/>
    <w:rsid w:val="07FD6DF7"/>
    <w:rsid w:val="0822187B"/>
    <w:rsid w:val="086821AF"/>
    <w:rsid w:val="08D15DD1"/>
    <w:rsid w:val="09304FAA"/>
    <w:rsid w:val="09501D1B"/>
    <w:rsid w:val="09F5331D"/>
    <w:rsid w:val="0A021072"/>
    <w:rsid w:val="0B790883"/>
    <w:rsid w:val="0C486007"/>
    <w:rsid w:val="0D350DE1"/>
    <w:rsid w:val="0D611F5C"/>
    <w:rsid w:val="0DA47FE5"/>
    <w:rsid w:val="0E462B7A"/>
    <w:rsid w:val="0E6C5513"/>
    <w:rsid w:val="0EB14497"/>
    <w:rsid w:val="0F0942D3"/>
    <w:rsid w:val="0F6978BE"/>
    <w:rsid w:val="0F9B3635"/>
    <w:rsid w:val="10576A48"/>
    <w:rsid w:val="108D06CD"/>
    <w:rsid w:val="11056D1C"/>
    <w:rsid w:val="121A1DBD"/>
    <w:rsid w:val="122047E7"/>
    <w:rsid w:val="12352852"/>
    <w:rsid w:val="126C0C9E"/>
    <w:rsid w:val="1295124C"/>
    <w:rsid w:val="12D60970"/>
    <w:rsid w:val="134C2CF6"/>
    <w:rsid w:val="13550114"/>
    <w:rsid w:val="138B0E7F"/>
    <w:rsid w:val="13A66595"/>
    <w:rsid w:val="13D073EB"/>
    <w:rsid w:val="143F1C26"/>
    <w:rsid w:val="148157EA"/>
    <w:rsid w:val="14BF41B9"/>
    <w:rsid w:val="15231AEA"/>
    <w:rsid w:val="154107ED"/>
    <w:rsid w:val="157611C0"/>
    <w:rsid w:val="157A18EF"/>
    <w:rsid w:val="15BD5589"/>
    <w:rsid w:val="165B26F5"/>
    <w:rsid w:val="165D7941"/>
    <w:rsid w:val="16E6586E"/>
    <w:rsid w:val="17081D54"/>
    <w:rsid w:val="17620A24"/>
    <w:rsid w:val="176E0943"/>
    <w:rsid w:val="17E15FE7"/>
    <w:rsid w:val="180B7ACA"/>
    <w:rsid w:val="186D7D12"/>
    <w:rsid w:val="18730A0F"/>
    <w:rsid w:val="18A45C4B"/>
    <w:rsid w:val="195653A8"/>
    <w:rsid w:val="1B686241"/>
    <w:rsid w:val="1C51025D"/>
    <w:rsid w:val="1CE45AEA"/>
    <w:rsid w:val="1D315AF9"/>
    <w:rsid w:val="1D70551D"/>
    <w:rsid w:val="1D9C27B6"/>
    <w:rsid w:val="1DD91493"/>
    <w:rsid w:val="1E85712D"/>
    <w:rsid w:val="1E961C9F"/>
    <w:rsid w:val="1F3F4992"/>
    <w:rsid w:val="1FB81EA9"/>
    <w:rsid w:val="1FF32492"/>
    <w:rsid w:val="21620AFF"/>
    <w:rsid w:val="21B925E0"/>
    <w:rsid w:val="23203648"/>
    <w:rsid w:val="244F2C4F"/>
    <w:rsid w:val="24562D21"/>
    <w:rsid w:val="254F5C47"/>
    <w:rsid w:val="255216D9"/>
    <w:rsid w:val="2573204F"/>
    <w:rsid w:val="25CE2556"/>
    <w:rsid w:val="26542183"/>
    <w:rsid w:val="27576D0F"/>
    <w:rsid w:val="27E234FF"/>
    <w:rsid w:val="28120F00"/>
    <w:rsid w:val="284C2989"/>
    <w:rsid w:val="2868600E"/>
    <w:rsid w:val="28C641B2"/>
    <w:rsid w:val="290B03EE"/>
    <w:rsid w:val="299D769A"/>
    <w:rsid w:val="29F23E8A"/>
    <w:rsid w:val="2A88659C"/>
    <w:rsid w:val="2B2219AE"/>
    <w:rsid w:val="2BA27DD7"/>
    <w:rsid w:val="2C1D0F66"/>
    <w:rsid w:val="2C72074B"/>
    <w:rsid w:val="2D2D004C"/>
    <w:rsid w:val="2D4A18E7"/>
    <w:rsid w:val="2D884081"/>
    <w:rsid w:val="2D957CF5"/>
    <w:rsid w:val="2E2440C9"/>
    <w:rsid w:val="2EB060C2"/>
    <w:rsid w:val="2EC42436"/>
    <w:rsid w:val="2F3644C5"/>
    <w:rsid w:val="2F8962A9"/>
    <w:rsid w:val="2F8C268B"/>
    <w:rsid w:val="2FDC3709"/>
    <w:rsid w:val="309B2C5C"/>
    <w:rsid w:val="323E48BD"/>
    <w:rsid w:val="324A6EF2"/>
    <w:rsid w:val="324E6AA5"/>
    <w:rsid w:val="33E5752C"/>
    <w:rsid w:val="34192013"/>
    <w:rsid w:val="342B43A1"/>
    <w:rsid w:val="3447384F"/>
    <w:rsid w:val="35D703D8"/>
    <w:rsid w:val="36046DCF"/>
    <w:rsid w:val="36B942D9"/>
    <w:rsid w:val="36C103F8"/>
    <w:rsid w:val="36DD067B"/>
    <w:rsid w:val="3791061D"/>
    <w:rsid w:val="381641A8"/>
    <w:rsid w:val="38190834"/>
    <w:rsid w:val="382C6791"/>
    <w:rsid w:val="383B54B4"/>
    <w:rsid w:val="38590FD6"/>
    <w:rsid w:val="3A0C6872"/>
    <w:rsid w:val="3A4575FF"/>
    <w:rsid w:val="3BF426EE"/>
    <w:rsid w:val="3C6A3D54"/>
    <w:rsid w:val="3D553199"/>
    <w:rsid w:val="3DC3312C"/>
    <w:rsid w:val="3E7C7212"/>
    <w:rsid w:val="3EBC2D64"/>
    <w:rsid w:val="3EF57C4F"/>
    <w:rsid w:val="3F577E93"/>
    <w:rsid w:val="3F8C6B74"/>
    <w:rsid w:val="3FA532F5"/>
    <w:rsid w:val="3FC141AC"/>
    <w:rsid w:val="3FF47527"/>
    <w:rsid w:val="404638FD"/>
    <w:rsid w:val="404E256C"/>
    <w:rsid w:val="407F0588"/>
    <w:rsid w:val="40F2256A"/>
    <w:rsid w:val="40F721A7"/>
    <w:rsid w:val="4174017A"/>
    <w:rsid w:val="42554B5E"/>
    <w:rsid w:val="42DE6A81"/>
    <w:rsid w:val="4351362D"/>
    <w:rsid w:val="45C542A3"/>
    <w:rsid w:val="45E40432"/>
    <w:rsid w:val="45E95AF5"/>
    <w:rsid w:val="462B3616"/>
    <w:rsid w:val="46FC2E07"/>
    <w:rsid w:val="47CC005C"/>
    <w:rsid w:val="48D53D2F"/>
    <w:rsid w:val="495576E0"/>
    <w:rsid w:val="4AC0096E"/>
    <w:rsid w:val="4B446742"/>
    <w:rsid w:val="4B4544B8"/>
    <w:rsid w:val="4B8E3918"/>
    <w:rsid w:val="4BBC5068"/>
    <w:rsid w:val="4BCA73C6"/>
    <w:rsid w:val="4BEB727A"/>
    <w:rsid w:val="4C254DB1"/>
    <w:rsid w:val="4C371478"/>
    <w:rsid w:val="4C373EF5"/>
    <w:rsid w:val="4C927416"/>
    <w:rsid w:val="4CC72AFC"/>
    <w:rsid w:val="4D1675E0"/>
    <w:rsid w:val="4D1D096E"/>
    <w:rsid w:val="4D69435C"/>
    <w:rsid w:val="4E63198C"/>
    <w:rsid w:val="4EA07161"/>
    <w:rsid w:val="4EB75C03"/>
    <w:rsid w:val="4F5C2E93"/>
    <w:rsid w:val="4FAD68C2"/>
    <w:rsid w:val="4FEE565A"/>
    <w:rsid w:val="50A32D71"/>
    <w:rsid w:val="514A6566"/>
    <w:rsid w:val="51861378"/>
    <w:rsid w:val="51900756"/>
    <w:rsid w:val="51907961"/>
    <w:rsid w:val="51F32982"/>
    <w:rsid w:val="5224506F"/>
    <w:rsid w:val="524A627F"/>
    <w:rsid w:val="536328B0"/>
    <w:rsid w:val="5366177C"/>
    <w:rsid w:val="538C75EB"/>
    <w:rsid w:val="54263E91"/>
    <w:rsid w:val="54B00959"/>
    <w:rsid w:val="559509EF"/>
    <w:rsid w:val="55D047A7"/>
    <w:rsid w:val="56935E9F"/>
    <w:rsid w:val="56CD5684"/>
    <w:rsid w:val="579B705F"/>
    <w:rsid w:val="57F93E50"/>
    <w:rsid w:val="580E2365"/>
    <w:rsid w:val="584B2834"/>
    <w:rsid w:val="589B7234"/>
    <w:rsid w:val="591C3673"/>
    <w:rsid w:val="59260BAB"/>
    <w:rsid w:val="59BD67F6"/>
    <w:rsid w:val="59C05E62"/>
    <w:rsid w:val="5A0C7CAD"/>
    <w:rsid w:val="5A35454F"/>
    <w:rsid w:val="5A4263BF"/>
    <w:rsid w:val="5A4F003A"/>
    <w:rsid w:val="5ADF35E9"/>
    <w:rsid w:val="5B693F08"/>
    <w:rsid w:val="5BDD633E"/>
    <w:rsid w:val="5C7C7666"/>
    <w:rsid w:val="5CC84423"/>
    <w:rsid w:val="5D6E241A"/>
    <w:rsid w:val="5D805A71"/>
    <w:rsid w:val="5DE126B0"/>
    <w:rsid w:val="5EFA466C"/>
    <w:rsid w:val="5FF437B1"/>
    <w:rsid w:val="605E6E7C"/>
    <w:rsid w:val="60730B79"/>
    <w:rsid w:val="608F1A04"/>
    <w:rsid w:val="61264D9D"/>
    <w:rsid w:val="61514B10"/>
    <w:rsid w:val="61CB6793"/>
    <w:rsid w:val="628E34F6"/>
    <w:rsid w:val="630F26B0"/>
    <w:rsid w:val="633D2CC2"/>
    <w:rsid w:val="636676A4"/>
    <w:rsid w:val="63BD333F"/>
    <w:rsid w:val="63D23B29"/>
    <w:rsid w:val="63E9545C"/>
    <w:rsid w:val="64630F05"/>
    <w:rsid w:val="64DF4F6A"/>
    <w:rsid w:val="65A25A5D"/>
    <w:rsid w:val="65A94AD7"/>
    <w:rsid w:val="65AC7FBB"/>
    <w:rsid w:val="66101E53"/>
    <w:rsid w:val="663F14FE"/>
    <w:rsid w:val="66672D99"/>
    <w:rsid w:val="671E1113"/>
    <w:rsid w:val="675B62B8"/>
    <w:rsid w:val="67744E5B"/>
    <w:rsid w:val="67D400BC"/>
    <w:rsid w:val="67D426D8"/>
    <w:rsid w:val="684921C0"/>
    <w:rsid w:val="6938124E"/>
    <w:rsid w:val="695707BA"/>
    <w:rsid w:val="69A22C77"/>
    <w:rsid w:val="69B95123"/>
    <w:rsid w:val="69F04FE9"/>
    <w:rsid w:val="6A51251C"/>
    <w:rsid w:val="6AC83870"/>
    <w:rsid w:val="6C402788"/>
    <w:rsid w:val="6CDB00AC"/>
    <w:rsid w:val="6CDC3602"/>
    <w:rsid w:val="6D080B5C"/>
    <w:rsid w:val="6D3012AF"/>
    <w:rsid w:val="6DBF3489"/>
    <w:rsid w:val="6E722876"/>
    <w:rsid w:val="6E773F35"/>
    <w:rsid w:val="6E8C1040"/>
    <w:rsid w:val="6F1B1DC6"/>
    <w:rsid w:val="6F2E0811"/>
    <w:rsid w:val="6F766C36"/>
    <w:rsid w:val="70EC2BFF"/>
    <w:rsid w:val="70ED448B"/>
    <w:rsid w:val="71073C49"/>
    <w:rsid w:val="710F044A"/>
    <w:rsid w:val="71360DDA"/>
    <w:rsid w:val="713932CF"/>
    <w:rsid w:val="71600F2E"/>
    <w:rsid w:val="717E737E"/>
    <w:rsid w:val="71823676"/>
    <w:rsid w:val="720F713E"/>
    <w:rsid w:val="7312163B"/>
    <w:rsid w:val="73191E7E"/>
    <w:rsid w:val="73A74695"/>
    <w:rsid w:val="742608D8"/>
    <w:rsid w:val="757150C0"/>
    <w:rsid w:val="75CA3C25"/>
    <w:rsid w:val="75D0050E"/>
    <w:rsid w:val="76245BB9"/>
    <w:rsid w:val="77BF1C65"/>
    <w:rsid w:val="77D77D78"/>
    <w:rsid w:val="77FE2FC7"/>
    <w:rsid w:val="78994AAF"/>
    <w:rsid w:val="79351E51"/>
    <w:rsid w:val="79CD5581"/>
    <w:rsid w:val="7A763D6B"/>
    <w:rsid w:val="7A9A703A"/>
    <w:rsid w:val="7B054DEB"/>
    <w:rsid w:val="7B3F4C2C"/>
    <w:rsid w:val="7BA10073"/>
    <w:rsid w:val="7C280623"/>
    <w:rsid w:val="7CC6064D"/>
    <w:rsid w:val="7D50667B"/>
    <w:rsid w:val="7D80447E"/>
    <w:rsid w:val="7DF33B19"/>
    <w:rsid w:val="7EEA1BAF"/>
    <w:rsid w:val="7F360D2F"/>
    <w:rsid w:val="7F6D23A0"/>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imes New Roman" w:hAnsi="Times New Roman" w:eastAsia="宋体" w:cstheme="minorBidi"/>
      <w:kern w:val="2"/>
      <w:sz w:val="24"/>
      <w:szCs w:val="24"/>
      <w:lang w:val="en-US" w:eastAsia="zh-CN" w:bidi="ar-SA"/>
    </w:rPr>
  </w:style>
  <w:style w:type="paragraph" w:styleId="4">
    <w:name w:val="heading 1"/>
    <w:basedOn w:val="1"/>
    <w:next w:val="1"/>
    <w:qFormat/>
    <w:uiPriority w:val="0"/>
    <w:pPr>
      <w:keepNext/>
      <w:pageBreakBefore/>
      <w:overflowPunct w:val="0"/>
      <w:snapToGrid w:val="0"/>
      <w:ind w:firstLine="0" w:firstLineChars="0"/>
      <w:jc w:val="both"/>
      <w:outlineLvl w:val="0"/>
    </w:pPr>
    <w:rPr>
      <w:rFonts w:eastAsia="宋体" w:asciiTheme="minorAscii" w:hAnsiTheme="minorAscii"/>
      <w:b/>
      <w:bCs/>
      <w:color w:val="000000"/>
      <w:kern w:val="44"/>
      <w:sz w:val="28"/>
      <w:szCs w:val="30"/>
    </w:rPr>
  </w:style>
  <w:style w:type="paragraph" w:styleId="5">
    <w:name w:val="heading 3"/>
    <w:basedOn w:val="1"/>
    <w:next w:val="1"/>
    <w:qFormat/>
    <w:uiPriority w:val="1"/>
    <w:pPr>
      <w:ind w:left="766" w:hanging="541"/>
      <w:outlineLvl w:val="3"/>
    </w:pPr>
    <w:rPr>
      <w:rFonts w:ascii="宋体" w:hAnsi="宋体" w:eastAsia="宋体" w:cs="宋体"/>
      <w:b/>
      <w:bCs/>
      <w:sz w:val="24"/>
      <w:szCs w:val="24"/>
      <w:lang w:val="zh-CN" w:eastAsia="zh-CN" w:bidi="zh-CN"/>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after="120"/>
      <w:ind w:left="420" w:leftChars="200"/>
    </w:pPr>
    <w:rPr>
      <w:kern w:val="0"/>
      <w:szCs w:val="20"/>
    </w:rPr>
  </w:style>
  <w:style w:type="paragraph" w:styleId="7">
    <w:name w:val="Normal Indent"/>
    <w:basedOn w:val="1"/>
    <w:next w:val="2"/>
    <w:qFormat/>
    <w:uiPriority w:val="0"/>
    <w:pPr>
      <w:ind w:firstLine="420"/>
    </w:pPr>
  </w:style>
  <w:style w:type="paragraph" w:styleId="8">
    <w:name w:val="toa heading"/>
    <w:basedOn w:val="1"/>
    <w:next w:val="1"/>
    <w:qFormat/>
    <w:uiPriority w:val="0"/>
    <w:pPr>
      <w:spacing w:before="120" w:beforeLines="0" w:beforeAutospacing="0"/>
    </w:pPr>
    <w:rPr>
      <w:rFonts w:ascii="Arial" w:hAnsi="Arial"/>
      <w:sz w:val="24"/>
    </w:rPr>
  </w:style>
  <w:style w:type="paragraph" w:styleId="9">
    <w:name w:val="annotation text"/>
    <w:basedOn w:val="1"/>
    <w:semiHidden/>
    <w:qFormat/>
    <w:uiPriority w:val="0"/>
    <w:pPr>
      <w:jc w:val="left"/>
    </w:pPr>
    <w:rPr>
      <w:kern w:val="0"/>
      <w:szCs w:val="20"/>
    </w:rPr>
  </w:style>
  <w:style w:type="paragraph" w:styleId="10">
    <w:name w:val="Body Text"/>
    <w:basedOn w:val="1"/>
    <w:next w:val="1"/>
    <w:qFormat/>
    <w:uiPriority w:val="0"/>
    <w:rPr>
      <w:rFonts w:ascii="宋体"/>
      <w:color w:val="000000"/>
      <w:szCs w:val="28"/>
    </w:rPr>
  </w:style>
  <w:style w:type="paragraph" w:styleId="11">
    <w:name w:val="List Bullet 5"/>
    <w:basedOn w:val="1"/>
    <w:next w:val="1"/>
    <w:qFormat/>
    <w:uiPriority w:val="0"/>
    <w:pPr>
      <w:numPr>
        <w:ilvl w:val="0"/>
        <w:numId w:val="1"/>
      </w:numPr>
    </w:pPr>
  </w:style>
  <w:style w:type="paragraph" w:styleId="12">
    <w:name w:val="footer"/>
    <w:basedOn w:val="1"/>
    <w:qFormat/>
    <w:uiPriority w:val="0"/>
    <w:pPr>
      <w:tabs>
        <w:tab w:val="center" w:pos="4153"/>
        <w:tab w:val="right" w:pos="8306"/>
      </w:tabs>
      <w:snapToGrid w:val="0"/>
      <w:jc w:val="left"/>
    </w:pPr>
    <w:rPr>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Cs w:val="20"/>
    </w:rPr>
  </w:style>
  <w:style w:type="paragraph" w:styleId="16">
    <w:name w:val="Body Text First Indent"/>
    <w:basedOn w:val="10"/>
    <w:next w:val="1"/>
    <w:qFormat/>
    <w:uiPriority w:val="0"/>
    <w:pPr>
      <w:spacing w:after="120"/>
      <w:ind w:firstLine="100" w:firstLineChars="100"/>
    </w:pPr>
    <w:rPr>
      <w:rFonts w:ascii="Times New Roman" w:hAnsi="Times New Roman"/>
      <w:color w:val="auto"/>
      <w:sz w:val="28"/>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qFormat/>
    <w:uiPriority w:val="0"/>
    <w:rPr>
      <w:sz w:val="21"/>
    </w:rPr>
  </w:style>
  <w:style w:type="paragraph" w:customStyle="1" w:styleId="22">
    <w:name w:val="样式 正文缩进正文缩进2正文缩进 Char Char正文缩进 Char Char Char Char正文缩进 Char ..."/>
    <w:basedOn w:val="7"/>
    <w:qFormat/>
    <w:uiPriority w:val="0"/>
    <w:pPr>
      <w:spacing w:line="240" w:lineRule="auto"/>
      <w:ind w:firstLine="0" w:firstLineChars="0"/>
    </w:pPr>
    <w:rPr>
      <w:rFonts w:ascii="Times New Roman" w:hAnsi="Times New Roman" w:eastAsia="宋体" w:cs="Times New Roman"/>
      <w:w w:val="80"/>
      <w:sz w:val="18"/>
      <w:szCs w:val="15"/>
    </w:rPr>
  </w:style>
  <w:style w:type="paragraph" w:customStyle="1" w:styleId="23">
    <w:name w:val="[1]正文"/>
    <w:basedOn w:val="1"/>
    <w:qFormat/>
    <w:uiPriority w:val="0"/>
    <w:pPr>
      <w:autoSpaceDE w:val="0"/>
      <w:autoSpaceDN w:val="0"/>
      <w:ind w:left="0" w:leftChars="0" w:firstLine="200" w:firstLineChars="200"/>
    </w:pPr>
    <w:rPr>
      <w:rFonts w:ascii="Times New Roman" w:hAnsi="Times New Roman"/>
      <w:color w:val="000000"/>
      <w:kern w:val="0"/>
      <w:szCs w:val="24"/>
      <w:lang w:val="zh-CN"/>
    </w:rPr>
  </w:style>
  <w:style w:type="paragraph" w:customStyle="1" w:styleId="24">
    <w:name w:val="表格"/>
    <w:basedOn w:val="7"/>
    <w:next w:val="1"/>
    <w:qFormat/>
    <w:uiPriority w:val="0"/>
    <w:pPr>
      <w:adjustRightInd w:val="0"/>
      <w:snapToGrid w:val="0"/>
      <w:spacing w:line="240" w:lineRule="auto"/>
      <w:ind w:firstLine="0" w:firstLineChars="0"/>
      <w:jc w:val="center"/>
    </w:pPr>
    <w:rPr>
      <w:kern w:val="0"/>
      <w:sz w:val="21"/>
      <w:szCs w:val="21"/>
    </w:rPr>
  </w:style>
  <w:style w:type="paragraph" w:customStyle="1" w:styleId="25">
    <w:name w:val="表头"/>
    <w:basedOn w:val="7"/>
    <w:next w:val="1"/>
    <w:link w:val="29"/>
    <w:qFormat/>
    <w:uiPriority w:val="0"/>
    <w:pPr>
      <w:ind w:firstLine="0" w:firstLineChars="0"/>
      <w:jc w:val="center"/>
    </w:pPr>
    <w:rPr>
      <w:b/>
      <w:kern w:val="0"/>
      <w:sz w:val="20"/>
      <w:szCs w:val="22"/>
    </w:rPr>
  </w:style>
  <w:style w:type="paragraph" w:customStyle="1" w:styleId="26">
    <w:name w:val="Table Paragraph"/>
    <w:basedOn w:val="1"/>
    <w:qFormat/>
    <w:uiPriority w:val="1"/>
    <w:pPr>
      <w:jc w:val="center"/>
    </w:pPr>
    <w:rPr>
      <w:rFonts w:ascii="Times New Roman" w:hAnsi="Times New Roman" w:eastAsia="Times New Roman" w:cs="Times New Roman"/>
      <w:lang w:val="zh-CN" w:eastAsia="zh-CN" w:bidi="zh-CN"/>
    </w:rPr>
  </w:style>
  <w:style w:type="paragraph" w:styleId="27">
    <w:name w:val="List Paragraph"/>
    <w:basedOn w:val="1"/>
    <w:qFormat/>
    <w:uiPriority w:val="1"/>
    <w:pPr>
      <w:spacing w:before="2"/>
      <w:ind w:left="1307" w:hanging="602"/>
    </w:pPr>
    <w:rPr>
      <w:rFonts w:ascii="宋体" w:hAnsi="宋体" w:eastAsia="宋体" w:cs="宋体"/>
      <w:lang w:val="zh-CN" w:eastAsia="zh-CN" w:bidi="zh-CN"/>
    </w:rPr>
  </w:style>
  <w:style w:type="paragraph" w:customStyle="1" w:styleId="28">
    <w:name w:val="Other|1"/>
    <w:basedOn w:val="1"/>
    <w:qFormat/>
    <w:uiPriority w:val="0"/>
    <w:pPr>
      <w:spacing w:after="30" w:line="346" w:lineRule="auto"/>
    </w:pPr>
    <w:rPr>
      <w:rFonts w:ascii="宋体" w:hAnsi="宋体" w:eastAsia="宋体" w:cs="宋体"/>
      <w:sz w:val="20"/>
      <w:szCs w:val="20"/>
      <w:lang w:val="zh-TW" w:eastAsia="zh-TW" w:bidi="zh-TW"/>
    </w:rPr>
  </w:style>
  <w:style w:type="character" w:customStyle="1" w:styleId="29">
    <w:name w:val="表头 Char1"/>
    <w:link w:val="25"/>
    <w:qFormat/>
    <w:uiPriority w:val="0"/>
    <w:rPr>
      <w:b/>
      <w:kern w:val="0"/>
      <w:sz w:val="20"/>
      <w:szCs w:val="22"/>
    </w:rPr>
  </w:style>
  <w:style w:type="paragraph" w:customStyle="1" w:styleId="30">
    <w:name w:val="小标题"/>
    <w:basedOn w:val="31"/>
    <w:qFormat/>
    <w:uiPriority w:val="0"/>
    <w:pPr>
      <w:spacing w:line="480" w:lineRule="exact"/>
      <w:ind w:firstLine="0" w:firstLineChars="0"/>
      <w:jc w:val="left"/>
    </w:pPr>
    <w:rPr>
      <w:b/>
      <w:color w:val="000000"/>
    </w:rPr>
  </w:style>
  <w:style w:type="paragraph" w:customStyle="1" w:styleId="31">
    <w:name w:val="列表段落1"/>
    <w:basedOn w:val="1"/>
    <w:qFormat/>
    <w:uiPriority w:val="34"/>
    <w:pPr>
      <w:ind w:firstLine="420"/>
    </w:pPr>
  </w:style>
  <w:style w:type="paragraph" w:customStyle="1" w:styleId="32">
    <w:name w:val="【正文】"/>
    <w:basedOn w:val="1"/>
    <w:qFormat/>
    <w:uiPriority w:val="0"/>
    <w:pPr>
      <w:spacing w:line="480" w:lineRule="exact"/>
      <w:ind w:firstLine="200"/>
    </w:pPr>
    <w:rPr>
      <w:szCs w:val="20"/>
    </w:rPr>
  </w:style>
  <w:style w:type="paragraph" w:customStyle="1" w:styleId="33">
    <w:name w:val="L-正文+小四"/>
    <w:basedOn w:val="1"/>
    <w:qFormat/>
    <w:uiPriority w:val="0"/>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A样式 小四 行距: 1.5 倍行距 首行缩进:  2 字符"/>
    <w:basedOn w:val="1"/>
    <w:qFormat/>
    <w:uiPriority w:val="0"/>
    <w:pPr>
      <w:spacing w:line="360" w:lineRule="auto"/>
      <w:ind w:firstLine="480" w:firstLineChars="200"/>
    </w:pPr>
    <w:rPr>
      <w:rFonts w:ascii="Calibri" w:hAnsi="Calibri" w:eastAsia="仿宋"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emf"/><Relationship Id="rId26" Type="http://schemas.openxmlformats.org/officeDocument/2006/relationships/oleObject" Target="embeddings/oleObject9.bin"/><Relationship Id="rId25" Type="http://schemas.openxmlformats.org/officeDocument/2006/relationships/image" Target="media/image8.emf"/><Relationship Id="rId24" Type="http://schemas.openxmlformats.org/officeDocument/2006/relationships/oleObject" Target="embeddings/oleObject8.bin"/><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31125</Words>
  <Characters>34194</Characters>
  <Lines>0</Lines>
  <Paragraphs>0</Paragraphs>
  <TotalTime>1</TotalTime>
  <ScaleCrop>false</ScaleCrop>
  <LinksUpToDate>false</LinksUpToDate>
  <CharactersWithSpaces>34659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姜婷婷</cp:lastModifiedBy>
  <cp:lastPrinted>2022-07-27T01:42:00Z</cp:lastPrinted>
  <dcterms:modified xsi:type="dcterms:W3CDTF">2022-09-16T10:20:18Z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A14CD659219F4A578627E042CA508E7A</vt:lpwstr>
  </property>
</Properties>
</file>