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_GB2312" w:eastAsia="仿宋_GB2312" w:cs="仿宋_GB2312"/>
          <w:color w:val="auto"/>
          <w:sz w:val="36"/>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_GB2312" w:eastAsia="仿宋_GB2312" w:cs="仿宋_GB2312"/>
          <w:color w:val="auto"/>
          <w:sz w:val="36"/>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_GB2312" w:eastAsia="仿宋_GB2312" w:cs="仿宋_GB2312"/>
          <w:color w:val="auto"/>
          <w:sz w:val="36"/>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36"/>
          <w:szCs w:val="36"/>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color w:val="auto"/>
          <w:sz w:val="72"/>
          <w:szCs w:val="72"/>
          <w:highlight w:val="none"/>
        </w:rPr>
      </w:pPr>
      <w:r>
        <w:rPr>
          <w:rFonts w:hint="eastAsia" w:ascii="方正小标宋_GBK" w:hAnsi="方正小标宋_GBK" w:eastAsia="方正小标宋_GBK" w:cs="方正小标宋_GBK"/>
          <w:color w:val="auto"/>
          <w:sz w:val="72"/>
          <w:szCs w:val="72"/>
          <w:highlight w:val="none"/>
        </w:rPr>
        <w:t>建设项目环境影响报告表</w:t>
      </w:r>
    </w:p>
    <w:p>
      <w:pPr>
        <w:keepNext w:val="0"/>
        <w:keepLines w:val="0"/>
        <w:pageBreakBefore w:val="0"/>
        <w:widowControl w:val="0"/>
        <w:kinsoku/>
        <w:wordWrap/>
        <w:overflowPunct/>
        <w:topLinePunct w:val="0"/>
        <w:autoSpaceDE/>
        <w:autoSpaceDN/>
        <w:bidi w:val="0"/>
        <w:adjustRightInd w:val="0"/>
        <w:snapToGrid w:val="0"/>
        <w:spacing w:before="192" w:beforeLines="80"/>
        <w:ind w:firstLine="0" w:firstLineChars="0"/>
        <w:jc w:val="center"/>
        <w:textAlignment w:val="auto"/>
        <w:rPr>
          <w:rFonts w:hint="eastAsia" w:ascii="楷体_GB2312" w:eastAsia="楷体_GB2312"/>
          <w:bCs/>
          <w:color w:val="auto"/>
          <w:sz w:val="48"/>
          <w:szCs w:val="48"/>
          <w:highlight w:val="none"/>
        </w:rPr>
      </w:pPr>
      <w:r>
        <w:rPr>
          <w:rFonts w:hint="default" w:ascii="Times New Roman" w:hAnsi="Times New Roman" w:eastAsia="宋体" w:cs="Times New Roman"/>
          <w:bCs/>
          <w:color w:val="auto"/>
          <w:sz w:val="48"/>
          <w:szCs w:val="48"/>
          <w:highlight w:val="none"/>
        </w:rPr>
        <w:t>（污染影响类）</w:t>
      </w: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52"/>
          <w:szCs w:val="52"/>
          <w:highlight w:val="none"/>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highlight w:val="none"/>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highlight w:val="none"/>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left"/>
        <w:textAlignment w:val="auto"/>
        <w:rPr>
          <w:rFonts w:hint="default" w:cs="Times New Roman"/>
          <w:b/>
          <w:bCs/>
          <w:color w:val="auto"/>
          <w:sz w:val="30"/>
          <w:szCs w:val="30"/>
          <w:highlight w:val="none"/>
          <w:u w:val="single"/>
          <w:lang w:val="en-US" w:eastAsia="zh-CN"/>
        </w:rPr>
      </w:pPr>
      <w:r>
        <w:rPr>
          <w:rFonts w:hint="default" w:ascii="Times New Roman" w:hAnsi="Times New Roman" w:eastAsia="宋体" w:cs="Times New Roman"/>
          <w:b/>
          <w:bCs/>
          <w:color w:val="auto"/>
          <w:sz w:val="30"/>
          <w:szCs w:val="30"/>
          <w:highlight w:val="none"/>
        </w:rPr>
        <w:t>项目名称：</w:t>
      </w:r>
      <w:r>
        <w:rPr>
          <w:rFonts w:hint="eastAsia" w:cs="Times New Roman"/>
          <w:b/>
          <w:bCs/>
          <w:color w:val="auto"/>
          <w:sz w:val="30"/>
          <w:szCs w:val="30"/>
          <w:highlight w:val="none"/>
          <w:u w:val="single"/>
          <w:lang w:val="en-US" w:eastAsia="zh-CN"/>
        </w:rPr>
        <w:t>内蒙古大中矿业股份有限公司书记沟矿区锅炉升级改造项目</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hint="default" w:ascii="Times New Roman" w:hAnsi="Times New Roman" w:eastAsia="宋体" w:cs="Times New Roman"/>
          <w:b/>
          <w:bCs/>
          <w:color w:val="auto"/>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left"/>
        <w:textAlignment w:val="auto"/>
        <w:rPr>
          <w:rFonts w:hint="default" w:ascii="Times New Roman" w:hAnsi="Times New Roman" w:eastAsia="宋体" w:cs="Times New Roman"/>
          <w:b/>
          <w:bCs/>
          <w:color w:val="auto"/>
          <w:sz w:val="30"/>
          <w:szCs w:val="30"/>
          <w:highlight w:val="none"/>
          <w:u w:val="none"/>
          <w:lang w:val="en-US" w:eastAsia="zh-CN"/>
        </w:rPr>
      </w:pPr>
      <w:r>
        <w:rPr>
          <w:rFonts w:hint="default" w:ascii="Times New Roman" w:hAnsi="Times New Roman" w:eastAsia="宋体" w:cs="Times New Roman"/>
          <w:b/>
          <w:bCs/>
          <w:color w:val="auto"/>
          <w:sz w:val="30"/>
          <w:szCs w:val="30"/>
          <w:highlight w:val="none"/>
        </w:rPr>
        <w:t>建设单位（盖章）：</w:t>
      </w:r>
      <w:r>
        <w:rPr>
          <w:rFonts w:hint="eastAsia" w:ascii="Times New Roman" w:hAnsi="Times New Roman" w:eastAsia="宋体" w:cs="Times New Roman"/>
          <w:b/>
          <w:bCs/>
          <w:color w:val="auto"/>
          <w:sz w:val="30"/>
          <w:szCs w:val="30"/>
          <w:highlight w:val="none"/>
          <w:u w:val="single"/>
          <w:lang w:val="en-US" w:eastAsia="zh-CN"/>
        </w:rPr>
        <w:t xml:space="preserve">     内蒙古</w:t>
      </w:r>
      <w:r>
        <w:rPr>
          <w:rFonts w:hint="eastAsia" w:cs="Times New Roman"/>
          <w:b/>
          <w:bCs/>
          <w:color w:val="auto"/>
          <w:sz w:val="30"/>
          <w:szCs w:val="30"/>
          <w:highlight w:val="none"/>
          <w:u w:val="single"/>
          <w:lang w:val="en-US" w:eastAsia="zh-CN"/>
        </w:rPr>
        <w:t>大中矿业股份</w:t>
      </w:r>
      <w:r>
        <w:rPr>
          <w:rFonts w:hint="eastAsia" w:ascii="Times New Roman" w:hAnsi="Times New Roman" w:eastAsia="宋体" w:cs="Times New Roman"/>
          <w:b/>
          <w:bCs/>
          <w:color w:val="auto"/>
          <w:sz w:val="30"/>
          <w:szCs w:val="30"/>
          <w:highlight w:val="none"/>
          <w:u w:val="single"/>
          <w:lang w:val="en-US" w:eastAsia="zh-CN"/>
        </w:rPr>
        <w:t xml:space="preserve">有限公司 </w:t>
      </w:r>
      <w:r>
        <w:rPr>
          <w:rFonts w:hint="eastAsia" w:cs="Times New Roman"/>
          <w:b/>
          <w:bCs/>
          <w:color w:val="auto"/>
          <w:sz w:val="30"/>
          <w:szCs w:val="30"/>
          <w:highlight w:val="none"/>
          <w:u w:val="single"/>
          <w:lang w:val="en-US" w:eastAsia="zh-CN"/>
        </w:rPr>
        <w:t xml:space="preserve">   </w:t>
      </w:r>
      <w:r>
        <w:rPr>
          <w:rFonts w:hint="eastAsia" w:ascii="Times New Roman" w:hAnsi="Times New Roman" w:eastAsia="宋体" w:cs="Times New Roman"/>
          <w:b/>
          <w:bCs/>
          <w:color w:val="auto"/>
          <w:sz w:val="30"/>
          <w:szCs w:val="30"/>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hint="default" w:ascii="Times New Roman" w:hAnsi="Times New Roman" w:eastAsia="宋体" w:cs="Times New Roman"/>
          <w:b w:val="0"/>
          <w:bCs w:val="0"/>
          <w:color w:val="auto"/>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left"/>
        <w:textAlignment w:val="auto"/>
        <w:rPr>
          <w:rFonts w:hint="default" w:ascii="仿宋_GB2312" w:eastAsia="仿宋_GB2312"/>
          <w:b/>
          <w:bCs/>
          <w:color w:val="auto"/>
          <w:sz w:val="36"/>
          <w:szCs w:val="36"/>
          <w:highlight w:val="none"/>
          <w:u w:val="single"/>
          <w:lang w:val="en-US"/>
        </w:rPr>
      </w:pPr>
      <w:r>
        <w:rPr>
          <w:rFonts w:hint="default" w:ascii="Times New Roman" w:hAnsi="Times New Roman" w:eastAsia="宋体" w:cs="Times New Roman"/>
          <w:b/>
          <w:bCs/>
          <w:color w:val="auto"/>
          <w:sz w:val="30"/>
          <w:szCs w:val="30"/>
          <w:highlight w:val="none"/>
        </w:rPr>
        <w:t>编制日期：</w:t>
      </w:r>
      <w:r>
        <w:rPr>
          <w:rFonts w:hint="default" w:ascii="Times New Roman" w:hAnsi="Times New Roman" w:eastAsia="宋体" w:cs="Times New Roman"/>
          <w:b/>
          <w:bCs/>
          <w:color w:val="auto"/>
          <w:sz w:val="30"/>
          <w:szCs w:val="30"/>
          <w:highlight w:val="none"/>
          <w:u w:val="single"/>
        </w:rPr>
        <w:t xml:space="preserve">    </w:t>
      </w:r>
      <w:r>
        <w:rPr>
          <w:rFonts w:hint="eastAsia" w:ascii="Times New Roman" w:hAnsi="Times New Roman" w:eastAsia="宋体" w:cs="Times New Roman"/>
          <w:b/>
          <w:bCs/>
          <w:color w:val="auto"/>
          <w:sz w:val="30"/>
          <w:szCs w:val="30"/>
          <w:highlight w:val="none"/>
          <w:u w:val="single"/>
          <w:lang w:val="en-US" w:eastAsia="zh-CN"/>
        </w:rPr>
        <w:t xml:space="preserve">          </w:t>
      </w:r>
      <w:r>
        <w:rPr>
          <w:rFonts w:hint="eastAsia" w:cs="Times New Roman"/>
          <w:b/>
          <w:bCs/>
          <w:color w:val="auto"/>
          <w:sz w:val="30"/>
          <w:szCs w:val="30"/>
          <w:highlight w:val="none"/>
          <w:u w:val="single"/>
          <w:lang w:val="en-US" w:eastAsia="zh-CN"/>
        </w:rPr>
        <w:t xml:space="preserve">  </w:t>
      </w:r>
      <w:r>
        <w:rPr>
          <w:rFonts w:hint="eastAsia" w:ascii="Times New Roman" w:hAnsi="Times New Roman" w:eastAsia="宋体" w:cs="Times New Roman"/>
          <w:b/>
          <w:bCs/>
          <w:color w:val="auto"/>
          <w:sz w:val="30"/>
          <w:szCs w:val="30"/>
          <w:highlight w:val="none"/>
          <w:u w:val="single"/>
          <w:lang w:val="en-US" w:eastAsia="zh-CN"/>
        </w:rPr>
        <w:t xml:space="preserve"> </w:t>
      </w:r>
      <w:r>
        <w:rPr>
          <w:rFonts w:hint="default" w:ascii="Times New Roman" w:hAnsi="Times New Roman" w:eastAsia="宋体" w:cs="Times New Roman"/>
          <w:b/>
          <w:bCs/>
          <w:color w:val="auto"/>
          <w:sz w:val="30"/>
          <w:szCs w:val="30"/>
          <w:highlight w:val="none"/>
          <w:u w:val="single"/>
          <w:lang w:val="en-US" w:eastAsia="zh-CN"/>
        </w:rPr>
        <w:t>202</w:t>
      </w:r>
      <w:r>
        <w:rPr>
          <w:rFonts w:hint="eastAsia" w:ascii="Times New Roman" w:hAnsi="Times New Roman" w:eastAsia="宋体" w:cs="Times New Roman"/>
          <w:b/>
          <w:bCs/>
          <w:color w:val="auto"/>
          <w:sz w:val="30"/>
          <w:szCs w:val="30"/>
          <w:highlight w:val="none"/>
          <w:u w:val="single"/>
          <w:lang w:val="en-US" w:eastAsia="zh-CN"/>
        </w:rPr>
        <w:t>2</w:t>
      </w:r>
      <w:r>
        <w:rPr>
          <w:rFonts w:hint="default" w:ascii="Times New Roman" w:hAnsi="Times New Roman" w:eastAsia="宋体" w:cs="Times New Roman"/>
          <w:b/>
          <w:bCs/>
          <w:color w:val="auto"/>
          <w:sz w:val="30"/>
          <w:szCs w:val="30"/>
          <w:highlight w:val="none"/>
          <w:u w:val="single"/>
          <w:lang w:val="en-US" w:eastAsia="zh-CN"/>
        </w:rPr>
        <w:t>年</w:t>
      </w:r>
      <w:r>
        <w:rPr>
          <w:rFonts w:hint="eastAsia" w:cs="Times New Roman"/>
          <w:b/>
          <w:bCs/>
          <w:color w:val="auto"/>
          <w:sz w:val="30"/>
          <w:szCs w:val="30"/>
          <w:highlight w:val="none"/>
          <w:u w:val="single"/>
          <w:lang w:val="en-US" w:eastAsia="zh-CN"/>
        </w:rPr>
        <w:t>12</w:t>
      </w:r>
      <w:r>
        <w:rPr>
          <w:rFonts w:hint="eastAsia" w:ascii="Times New Roman" w:hAnsi="Times New Roman" w:eastAsia="宋体" w:cs="Times New Roman"/>
          <w:b/>
          <w:bCs/>
          <w:color w:val="auto"/>
          <w:sz w:val="30"/>
          <w:szCs w:val="30"/>
          <w:highlight w:val="none"/>
          <w:u w:val="single"/>
          <w:lang w:val="en-US" w:eastAsia="zh-CN"/>
        </w:rPr>
        <w:t xml:space="preserve">月     </w:t>
      </w:r>
      <w:r>
        <w:rPr>
          <w:rFonts w:hint="eastAsia" w:cs="Times New Roman"/>
          <w:b/>
          <w:bCs/>
          <w:color w:val="auto"/>
          <w:sz w:val="30"/>
          <w:szCs w:val="30"/>
          <w:highlight w:val="none"/>
          <w:u w:val="single"/>
          <w:lang w:val="en-US" w:eastAsia="zh-CN"/>
        </w:rPr>
        <w:t xml:space="preserve"> </w:t>
      </w:r>
      <w:r>
        <w:rPr>
          <w:rFonts w:hint="eastAsia" w:ascii="Times New Roman" w:hAnsi="Times New Roman" w:eastAsia="宋体" w:cs="Times New Roman"/>
          <w:b/>
          <w:bCs/>
          <w:color w:val="auto"/>
          <w:sz w:val="30"/>
          <w:szCs w:val="30"/>
          <w:highlight w:val="none"/>
          <w:u w:val="single"/>
          <w:lang w:val="en-US" w:eastAsia="zh-CN"/>
        </w:rPr>
        <w:t xml:space="preserve">    </w:t>
      </w:r>
      <w:r>
        <w:rPr>
          <w:rFonts w:hint="eastAsia" w:cs="Times New Roman"/>
          <w:b/>
          <w:bCs/>
          <w:color w:val="auto"/>
          <w:sz w:val="30"/>
          <w:szCs w:val="30"/>
          <w:highlight w:val="none"/>
          <w:u w:val="single"/>
          <w:lang w:val="en-US" w:eastAsia="zh-CN"/>
        </w:rPr>
        <w:t xml:space="preserve"> </w:t>
      </w:r>
      <w:r>
        <w:rPr>
          <w:rFonts w:hint="eastAsia" w:ascii="Times New Roman" w:hAnsi="Times New Roman" w:eastAsia="宋体" w:cs="Times New Roman"/>
          <w:b/>
          <w:bCs/>
          <w:color w:val="auto"/>
          <w:sz w:val="30"/>
          <w:szCs w:val="30"/>
          <w:highlight w:val="none"/>
          <w:u w:val="single"/>
          <w:lang w:val="en-US" w:eastAsia="zh-CN"/>
        </w:rPr>
        <w:t xml:space="preserve">     </w:t>
      </w:r>
      <w:r>
        <w:rPr>
          <w:rFonts w:hint="eastAsia" w:ascii="Times New Roman" w:hAnsi="Times New Roman" w:cs="Times New Roman"/>
          <w:b/>
          <w:bCs/>
          <w:color w:val="auto"/>
          <w:sz w:val="30"/>
          <w:szCs w:val="30"/>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仿宋_GB2312" w:eastAsia="仿宋_GB2312"/>
          <w:b/>
          <w:bCs/>
          <w:color w:val="auto"/>
          <w:sz w:val="36"/>
          <w:szCs w:val="36"/>
          <w:highlight w:val="none"/>
          <w:u w:val="single"/>
        </w:rPr>
      </w:pPr>
      <w:bookmarkStart w:id="0" w:name="_Hlk57884087"/>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仿宋_GB2312" w:eastAsia="仿宋_GB2312"/>
          <w:color w:val="auto"/>
          <w:sz w:val="36"/>
          <w:szCs w:val="36"/>
          <w:highlight w:val="none"/>
        </w:rPr>
      </w:pPr>
    </w:p>
    <w:bookmarkEnd w:id="0"/>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仿宋_GB2312" w:eastAsia="仿宋_GB2312"/>
          <w:color w:val="auto"/>
          <w:sz w:val="36"/>
          <w:szCs w:val="36"/>
          <w:highlight w:val="none"/>
        </w:rPr>
        <w:sectPr>
          <w:footerReference r:id="rId5" w:type="default"/>
          <w:footerReference r:id="rId6" w:type="even"/>
          <w:pgSz w:w="11906" w:h="16838"/>
          <w:pgMar w:top="1134" w:right="1860" w:bottom="1134" w:left="1803" w:header="851" w:footer="1077" w:gutter="0"/>
          <w:pgBorders>
            <w:top w:val="none" w:sz="0" w:space="0"/>
            <w:left w:val="none" w:sz="0" w:space="0"/>
            <w:bottom w:val="none" w:sz="0" w:space="0"/>
            <w:right w:val="none" w:sz="0" w:space="0"/>
          </w:pgBorders>
          <w:pgNumType w:fmt="numberInDash" w:start="3"/>
          <w:cols w:space="720" w:num="1"/>
          <w:docGrid w:linePitch="312" w:charSpace="0"/>
        </w:sectPr>
      </w:pPr>
      <w:r>
        <w:rPr>
          <w:rFonts w:hint="eastAsia" w:ascii="楷体_GB2312" w:eastAsia="楷体_GB2312"/>
          <w:color w:val="auto"/>
          <w:sz w:val="36"/>
          <w:szCs w:val="36"/>
          <w:highlight w:val="none"/>
        </w:rPr>
        <w:t>中华人民共和国生态环境部制</w:t>
      </w:r>
    </w:p>
    <w:p>
      <w:pPr>
        <w:pStyle w:val="4"/>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一、建设项目基本情况</w:t>
      </w:r>
    </w:p>
    <w:tbl>
      <w:tblPr>
        <w:tblStyle w:val="17"/>
        <w:tblW w:w="9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42"/>
        <w:gridCol w:w="2195"/>
        <w:gridCol w:w="1129"/>
        <w:gridCol w:w="1305"/>
        <w:gridCol w:w="30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建设项目名称</w:t>
            </w:r>
          </w:p>
        </w:tc>
        <w:tc>
          <w:tcPr>
            <w:tcW w:w="7635" w:type="dxa"/>
            <w:gridSpan w:val="4"/>
            <w:vAlign w:val="center"/>
          </w:tcPr>
          <w:p>
            <w:pPr>
              <w:spacing w:line="360" w:lineRule="auto"/>
              <w:ind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eastAsia="zh-CN"/>
              </w:rPr>
              <w:t>内蒙古</w:t>
            </w:r>
            <w:r>
              <w:rPr>
                <w:rFonts w:hint="eastAsia" w:cs="Times New Roman"/>
                <w:color w:val="auto"/>
                <w:sz w:val="24"/>
                <w:szCs w:val="24"/>
                <w:highlight w:val="none"/>
                <w:lang w:val="en-US" w:eastAsia="zh-CN"/>
              </w:rPr>
              <w:t>大中矿业股份</w:t>
            </w:r>
            <w:r>
              <w:rPr>
                <w:rFonts w:hint="eastAsia" w:cs="Times New Roman"/>
                <w:color w:val="auto"/>
                <w:sz w:val="24"/>
                <w:szCs w:val="24"/>
                <w:highlight w:val="none"/>
                <w:lang w:eastAsia="zh-CN"/>
              </w:rPr>
              <w:t>有限公司</w:t>
            </w:r>
            <w:r>
              <w:rPr>
                <w:rFonts w:hint="eastAsia" w:cs="Times New Roman"/>
                <w:color w:val="auto"/>
                <w:sz w:val="24"/>
                <w:szCs w:val="24"/>
                <w:highlight w:val="none"/>
                <w:lang w:val="en-US" w:eastAsia="zh-CN"/>
              </w:rPr>
              <w:t>书记沟矿区锅炉升级改造</w:t>
            </w:r>
            <w:r>
              <w:rPr>
                <w:rFonts w:hint="eastAsia" w:cs="Times New Roman"/>
                <w:color w:val="auto"/>
                <w:sz w:val="24"/>
                <w:szCs w:val="24"/>
                <w:highlight w:val="none"/>
                <w:lang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项目代码</w:t>
            </w:r>
          </w:p>
        </w:tc>
        <w:tc>
          <w:tcPr>
            <w:tcW w:w="7635" w:type="dxa"/>
            <w:gridSpan w:val="4"/>
            <w:vAlign w:val="center"/>
          </w:tcPr>
          <w:p>
            <w:pPr>
              <w:widowControl/>
              <w:spacing w:line="360" w:lineRule="auto"/>
              <w:ind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color w:val="auto"/>
                <w:highlight w:val="none"/>
                <w:lang w:val="en-US" w:eastAsia="zh-CN"/>
              </w:rPr>
              <w:t>2210-150823-07-02-649150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建设单位联系人</w:t>
            </w:r>
          </w:p>
        </w:tc>
        <w:tc>
          <w:tcPr>
            <w:tcW w:w="2195" w:type="dxa"/>
            <w:vAlign w:val="center"/>
          </w:tcPr>
          <w:p>
            <w:pPr>
              <w:spacing w:line="36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祝云浩</w:t>
            </w:r>
          </w:p>
        </w:tc>
        <w:tc>
          <w:tcPr>
            <w:tcW w:w="2434" w:type="dxa"/>
            <w:gridSpan w:val="2"/>
            <w:vAlign w:val="center"/>
          </w:tcPr>
          <w:p>
            <w:pPr>
              <w:spacing w:line="36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联系电话</w:t>
            </w:r>
          </w:p>
        </w:tc>
        <w:tc>
          <w:tcPr>
            <w:tcW w:w="3006" w:type="dxa"/>
            <w:vAlign w:val="center"/>
          </w:tcPr>
          <w:p>
            <w:pPr>
              <w:spacing w:line="36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15044851273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建设地点</w:t>
            </w:r>
          </w:p>
        </w:tc>
        <w:tc>
          <w:tcPr>
            <w:tcW w:w="7635" w:type="dxa"/>
            <w:gridSpan w:val="4"/>
            <w:vAlign w:val="center"/>
          </w:tcPr>
          <w:p>
            <w:pPr>
              <w:widowControl/>
              <w:spacing w:line="360" w:lineRule="auto"/>
              <w:ind w:firstLine="0" w:firstLineChars="0"/>
              <w:jc w:val="center"/>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b w:val="0"/>
                <w:bCs w:val="0"/>
                <w:color w:val="auto"/>
                <w:sz w:val="24"/>
                <w:szCs w:val="24"/>
                <w:highlight w:val="none"/>
                <w:vertAlign w:val="baseline"/>
                <w:lang w:val="en-US" w:eastAsia="zh-CN"/>
              </w:rPr>
              <w:t>内蒙古自治区巴彦淖尔市乌拉特前旗</w:t>
            </w:r>
            <w:r>
              <w:rPr>
                <w:rFonts w:hint="eastAsia" w:cs="Times New Roman"/>
                <w:b w:val="0"/>
                <w:bCs w:val="0"/>
                <w:color w:val="auto"/>
                <w:sz w:val="24"/>
                <w:szCs w:val="24"/>
                <w:highlight w:val="none"/>
                <w:vertAlign w:val="baseline"/>
                <w:lang w:val="en-US" w:eastAsia="zh-CN"/>
              </w:rPr>
              <w:t>小佘太镇张二口村书记沟矿区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地理坐标</w:t>
            </w:r>
          </w:p>
        </w:tc>
        <w:tc>
          <w:tcPr>
            <w:tcW w:w="7635" w:type="dxa"/>
            <w:gridSpan w:val="4"/>
            <w:vAlign w:val="center"/>
          </w:tcPr>
          <w:p>
            <w:pPr>
              <w:keepNext w:val="0"/>
              <w:keepLines w:val="0"/>
              <w:widowControl/>
              <w:suppressLineNumbers w:val="0"/>
              <w:spacing w:line="360" w:lineRule="auto"/>
              <w:ind w:left="0" w:leftChars="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东经109°2</w:t>
            </w:r>
            <w:r>
              <w:rPr>
                <w:rFonts w:hint="eastAsia" w:cs="Times New Roman"/>
                <w:color w:val="auto"/>
                <w:kern w:val="0"/>
                <w:sz w:val="24"/>
                <w:szCs w:val="24"/>
                <w:highlight w:val="none"/>
                <w:lang w:val="en-US" w:eastAsia="zh-CN" w:bidi="ar"/>
              </w:rPr>
              <w:t>9</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21.85</w:t>
            </w:r>
            <w:r>
              <w:rPr>
                <w:rFonts w:hint="default" w:ascii="Times New Roman" w:hAnsi="Times New Roman" w:eastAsia="宋体" w:cs="Times New Roman"/>
                <w:color w:val="auto"/>
                <w:kern w:val="0"/>
                <w:sz w:val="24"/>
                <w:szCs w:val="24"/>
                <w:highlight w:val="none"/>
                <w:lang w:val="en-US" w:eastAsia="zh-CN" w:bidi="ar"/>
              </w:rPr>
              <w:t>"，北纬4</w:t>
            </w:r>
            <w:r>
              <w:rPr>
                <w:rFonts w:hint="eastAsia"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9</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51.22</w:t>
            </w:r>
            <w:r>
              <w:rPr>
                <w:rFonts w:hint="default" w:ascii="Times New Roman" w:hAnsi="Times New Roman" w:eastAsia="宋体" w:cs="Times New Roman"/>
                <w:color w:val="auto"/>
                <w:kern w:val="0"/>
                <w:sz w:val="24"/>
                <w:szCs w:val="24"/>
                <w:highlight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国民经济</w:t>
            </w:r>
          </w:p>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行业类别</w:t>
            </w:r>
          </w:p>
        </w:tc>
        <w:tc>
          <w:tcPr>
            <w:tcW w:w="2195" w:type="dxa"/>
            <w:vAlign w:val="center"/>
          </w:tcPr>
          <w:p>
            <w:pPr>
              <w:widowControl/>
              <w:spacing w:line="36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D4430 热力生产和供应业</w:t>
            </w:r>
          </w:p>
        </w:tc>
        <w:tc>
          <w:tcPr>
            <w:tcW w:w="1129" w:type="dxa"/>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bookmarkStart w:id="1" w:name="_Hlk49843745"/>
            <w:r>
              <w:rPr>
                <w:rFonts w:hint="default" w:ascii="Times New Roman" w:hAnsi="Times New Roman" w:eastAsia="宋体" w:cs="Times New Roman"/>
                <w:b/>
                <w:bCs/>
                <w:color w:val="auto"/>
                <w:sz w:val="21"/>
                <w:szCs w:val="21"/>
                <w:highlight w:val="none"/>
              </w:rPr>
              <w:t>建设项目</w:t>
            </w:r>
          </w:p>
          <w:p>
            <w:pPr>
              <w:spacing w:line="36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行业类别</w:t>
            </w:r>
            <w:bookmarkEnd w:id="1"/>
          </w:p>
        </w:tc>
        <w:tc>
          <w:tcPr>
            <w:tcW w:w="4311" w:type="dxa"/>
            <w:gridSpan w:val="2"/>
            <w:vAlign w:val="center"/>
          </w:tcPr>
          <w:p>
            <w:pPr>
              <w:widowControl/>
              <w:spacing w:line="36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四十一、电力、热力生产和供应业--91.热力生产和供应工程（包括建设单位自建自用的供热工程）--燃煤、燃油锅炉总容量65吨/小时（45.5兆瓦）及以下的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建设性质</w:t>
            </w:r>
          </w:p>
        </w:tc>
        <w:tc>
          <w:tcPr>
            <w:tcW w:w="2195" w:type="dxa"/>
            <w:vAlign w:val="center"/>
          </w:tcPr>
          <w:p>
            <w:pPr>
              <w:adjustRightInd w:val="0"/>
              <w:snapToGrid w:val="0"/>
              <w:spacing w:line="360" w:lineRule="auto"/>
              <w:ind w:firstLine="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新建（迁建）</w:t>
            </w:r>
          </w:p>
          <w:p>
            <w:pPr>
              <w:adjustRightInd w:val="0"/>
              <w:snapToGrid w:val="0"/>
              <w:spacing w:line="360" w:lineRule="auto"/>
              <w:ind w:firstLine="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改建</w:t>
            </w:r>
          </w:p>
          <w:p>
            <w:pPr>
              <w:adjustRightInd w:val="0"/>
              <w:snapToGrid w:val="0"/>
              <w:spacing w:line="360" w:lineRule="auto"/>
              <w:ind w:firstLine="0" w:firstLineChars="0"/>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sym w:font="Wingdings 2" w:char="00A3"/>
            </w:r>
            <w:r>
              <w:rPr>
                <w:rFonts w:hint="eastAsia" w:cs="Times New Roman"/>
                <w:color w:val="auto"/>
                <w:sz w:val="24"/>
                <w:szCs w:val="24"/>
                <w:highlight w:val="none"/>
                <w:lang w:val="en-US" w:eastAsia="zh-CN"/>
              </w:rPr>
              <w:t>扩</w:t>
            </w:r>
            <w:r>
              <w:rPr>
                <w:rFonts w:hint="eastAsia" w:cs="Times New Roman"/>
                <w:color w:val="auto"/>
                <w:sz w:val="24"/>
                <w:szCs w:val="24"/>
                <w:highlight w:val="none"/>
                <w:lang w:eastAsia="zh-CN"/>
              </w:rPr>
              <w:t>建</w:t>
            </w:r>
          </w:p>
          <w:p>
            <w:pPr>
              <w:adjustRightInd w:val="0"/>
              <w:snapToGrid w:val="0"/>
              <w:spacing w:line="36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技术改造</w:t>
            </w:r>
          </w:p>
        </w:tc>
        <w:tc>
          <w:tcPr>
            <w:tcW w:w="1129" w:type="dxa"/>
            <w:vAlign w:val="center"/>
          </w:tcPr>
          <w:p>
            <w:pPr>
              <w:adjustRightInd w:val="0"/>
              <w:snapToGrid w:val="0"/>
              <w:spacing w:line="360" w:lineRule="auto"/>
              <w:ind w:firstLine="0" w:firstLineChars="0"/>
              <w:jc w:val="left"/>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建设项目</w:t>
            </w:r>
          </w:p>
          <w:p>
            <w:pPr>
              <w:adjustRightInd w:val="0"/>
              <w:snapToGrid w:val="0"/>
              <w:spacing w:line="360" w:lineRule="auto"/>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申报情形</w:t>
            </w:r>
          </w:p>
        </w:tc>
        <w:tc>
          <w:tcPr>
            <w:tcW w:w="4311" w:type="dxa"/>
            <w:gridSpan w:val="2"/>
            <w:vAlign w:val="center"/>
          </w:tcPr>
          <w:p>
            <w:pPr>
              <w:adjustRightInd w:val="0"/>
              <w:snapToGrid w:val="0"/>
              <w:spacing w:line="360" w:lineRule="auto"/>
              <w:ind w:firstLine="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首次申报项目</w:t>
            </w:r>
          </w:p>
          <w:p>
            <w:pPr>
              <w:adjustRightInd w:val="0"/>
              <w:snapToGrid w:val="0"/>
              <w:spacing w:line="360" w:lineRule="auto"/>
              <w:ind w:firstLine="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不予批准后再次申报项目</w:t>
            </w:r>
          </w:p>
          <w:p>
            <w:pPr>
              <w:adjustRightInd w:val="0"/>
              <w:snapToGrid w:val="0"/>
              <w:spacing w:line="360" w:lineRule="auto"/>
              <w:ind w:firstLine="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超五年重新审核项目</w:t>
            </w:r>
          </w:p>
          <w:p>
            <w:pPr>
              <w:adjustRightInd w:val="0"/>
              <w:snapToGrid w:val="0"/>
              <w:spacing w:line="36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项目审批（核准/备案）部门（选填）</w:t>
            </w:r>
          </w:p>
        </w:tc>
        <w:tc>
          <w:tcPr>
            <w:tcW w:w="2195" w:type="dxa"/>
            <w:vAlign w:val="center"/>
          </w:tcPr>
          <w:p>
            <w:pPr>
              <w:spacing w:line="360" w:lineRule="auto"/>
              <w:ind w:firstLine="0" w:firstLineChars="0"/>
              <w:jc w:val="center"/>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乌拉特前旗工业和信息化局</w:t>
            </w:r>
          </w:p>
        </w:tc>
        <w:tc>
          <w:tcPr>
            <w:tcW w:w="2434" w:type="dxa"/>
            <w:gridSpan w:val="2"/>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项目审批（核准/</w:t>
            </w:r>
          </w:p>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备案）文号（选填）</w:t>
            </w:r>
          </w:p>
        </w:tc>
        <w:tc>
          <w:tcPr>
            <w:tcW w:w="3006" w:type="dxa"/>
            <w:vAlign w:val="center"/>
          </w:tcPr>
          <w:p>
            <w:pPr>
              <w:spacing w:line="360" w:lineRule="auto"/>
              <w:ind w:firstLine="0" w:firstLineChars="0"/>
              <w:jc w:val="center"/>
              <w:rPr>
                <w:rFonts w:hint="default" w:ascii="Times New Roman" w:hAnsi="Times New Roman" w:eastAsia="宋体" w:cs="Times New Roman"/>
                <w:color w:val="auto"/>
                <w:sz w:val="24"/>
                <w:szCs w:val="24"/>
                <w:highlight w:val="none"/>
              </w:rPr>
            </w:pPr>
            <w:r>
              <w:rPr>
                <w:rFonts w:hint="eastAsia"/>
                <w:color w:val="auto"/>
                <w:highlight w:val="none"/>
                <w:lang w:val="en-US" w:eastAsia="zh-CN"/>
              </w:rPr>
              <w:t>2210-150823-07-02-649150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总投资（万元）</w:t>
            </w:r>
          </w:p>
        </w:tc>
        <w:tc>
          <w:tcPr>
            <w:tcW w:w="2195" w:type="dxa"/>
            <w:vAlign w:val="center"/>
          </w:tcPr>
          <w:p>
            <w:pPr>
              <w:spacing w:line="360" w:lineRule="auto"/>
              <w:ind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100</w:t>
            </w:r>
          </w:p>
        </w:tc>
        <w:tc>
          <w:tcPr>
            <w:tcW w:w="2434" w:type="dxa"/>
            <w:gridSpan w:val="2"/>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环保投资（万元）</w:t>
            </w:r>
          </w:p>
        </w:tc>
        <w:tc>
          <w:tcPr>
            <w:tcW w:w="3006" w:type="dxa"/>
            <w:vAlign w:val="center"/>
          </w:tcPr>
          <w:p>
            <w:pPr>
              <w:spacing w:line="360" w:lineRule="auto"/>
              <w:ind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环保投资占比（%）</w:t>
            </w:r>
          </w:p>
        </w:tc>
        <w:tc>
          <w:tcPr>
            <w:tcW w:w="2195" w:type="dxa"/>
            <w:vAlign w:val="center"/>
          </w:tcPr>
          <w:p>
            <w:pPr>
              <w:spacing w:line="360" w:lineRule="auto"/>
              <w:ind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30.6</w:t>
            </w:r>
          </w:p>
        </w:tc>
        <w:tc>
          <w:tcPr>
            <w:tcW w:w="2434" w:type="dxa"/>
            <w:gridSpan w:val="2"/>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施工工期</w:t>
            </w:r>
          </w:p>
        </w:tc>
        <w:tc>
          <w:tcPr>
            <w:tcW w:w="3006" w:type="dxa"/>
            <w:vAlign w:val="center"/>
          </w:tcPr>
          <w:p>
            <w:pPr>
              <w:tabs>
                <w:tab w:val="left" w:pos="971"/>
              </w:tabs>
              <w:spacing w:line="360" w:lineRule="auto"/>
              <w:ind w:firstLine="0" w:firstLineChars="0"/>
              <w:jc w:val="left"/>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eastAsia="zh-CN"/>
              </w:rPr>
              <w:tab/>
            </w:r>
            <w:r>
              <w:rPr>
                <w:rFonts w:hint="eastAsia" w:cs="Times New Roman"/>
                <w:color w:val="auto"/>
                <w:sz w:val="24"/>
                <w:szCs w:val="24"/>
                <w:highlight w:val="none"/>
                <w:lang w:val="en-US" w:eastAsia="zh-CN"/>
              </w:rPr>
              <w:t>12个月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是否开工建设</w:t>
            </w:r>
          </w:p>
        </w:tc>
        <w:tc>
          <w:tcPr>
            <w:tcW w:w="219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default" w:eastAsia="宋体"/>
                <w:color w:val="auto"/>
                <w:sz w:val="21"/>
                <w:szCs w:val="21"/>
                <w:highlight w:val="none"/>
                <w:lang w:val="en-US" w:eastAsia="zh-CN"/>
              </w:rPr>
            </w:pPr>
            <w:r>
              <w:rPr>
                <w:color w:val="auto"/>
                <w:sz w:val="21"/>
                <w:szCs w:val="21"/>
                <w:highlight w:val="none"/>
              </w:rPr>
              <w:t>否</w:t>
            </w:r>
            <w:r>
              <w:rPr>
                <w:color w:val="auto"/>
                <w:sz w:val="21"/>
                <w:szCs w:val="21"/>
                <w:highlight w:val="none"/>
              </w:rPr>
              <w:sym w:font="Wingdings 2" w:char="0052"/>
            </w:r>
            <w:r>
              <w:rPr>
                <w:rFonts w:hint="eastAsia"/>
                <w:color w:val="auto"/>
                <w:sz w:val="21"/>
                <w:szCs w:val="21"/>
                <w:highlight w:val="none"/>
                <w:lang w:eastAsia="zh-CN"/>
              </w:rPr>
              <w:t>：</w:t>
            </w:r>
            <w:r>
              <w:rPr>
                <w:rFonts w:hint="eastAsia"/>
                <w:color w:val="auto"/>
                <w:sz w:val="21"/>
                <w:szCs w:val="21"/>
                <w:highlight w:val="none"/>
                <w:lang w:val="en-US" w:eastAsia="zh-CN"/>
              </w:rPr>
              <w:t xml:space="preserve">     </w:t>
            </w:r>
          </w:p>
          <w:p>
            <w:pPr>
              <w:spacing w:line="360" w:lineRule="auto"/>
              <w:ind w:firstLine="0" w:firstLineChars="0"/>
              <w:jc w:val="left"/>
              <w:rPr>
                <w:rFonts w:hint="eastAsia" w:ascii="Times New Roman" w:hAnsi="Times New Roman" w:eastAsia="宋体" w:cs="Times New Roman"/>
                <w:color w:val="auto"/>
                <w:sz w:val="24"/>
                <w:szCs w:val="24"/>
                <w:highlight w:val="none"/>
                <w:lang w:val="en-US" w:eastAsia="zh-CN"/>
              </w:rPr>
            </w:pPr>
            <w:r>
              <w:rPr>
                <w:color w:val="auto"/>
                <w:sz w:val="21"/>
                <w:szCs w:val="21"/>
                <w:highlight w:val="none"/>
              </w:rPr>
              <w:t>是</w:t>
            </w:r>
            <w:r>
              <w:rPr>
                <w:color w:val="auto"/>
                <w:sz w:val="21"/>
                <w:szCs w:val="21"/>
                <w:highlight w:val="none"/>
              </w:rPr>
              <w:sym w:font="Wingdings 2" w:char="00A3"/>
            </w:r>
            <w:r>
              <w:rPr>
                <w:rFonts w:hint="eastAsia"/>
                <w:color w:val="auto"/>
                <w:sz w:val="21"/>
                <w:szCs w:val="21"/>
                <w:highlight w:val="none"/>
                <w:lang w:eastAsia="zh-CN"/>
              </w:rPr>
              <w:t>：</w:t>
            </w:r>
          </w:p>
        </w:tc>
        <w:tc>
          <w:tcPr>
            <w:tcW w:w="2434" w:type="dxa"/>
            <w:gridSpan w:val="2"/>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用地面积（m</w:t>
            </w:r>
            <w:r>
              <w:rPr>
                <w:rFonts w:hint="default" w:ascii="Times New Roman" w:hAnsi="Times New Roman" w:eastAsia="宋体" w:cs="Times New Roman"/>
                <w:b/>
                <w:bCs/>
                <w:color w:val="auto"/>
                <w:spacing w:val="-6"/>
                <w:sz w:val="21"/>
                <w:szCs w:val="21"/>
                <w:highlight w:val="none"/>
                <w:vertAlign w:val="superscript"/>
              </w:rPr>
              <w:t>2</w:t>
            </w:r>
            <w:r>
              <w:rPr>
                <w:rFonts w:hint="default" w:ascii="Times New Roman" w:hAnsi="Times New Roman" w:eastAsia="宋体" w:cs="Times New Roman"/>
                <w:b/>
                <w:bCs/>
                <w:color w:val="auto"/>
                <w:spacing w:val="-6"/>
                <w:sz w:val="21"/>
                <w:szCs w:val="21"/>
                <w:highlight w:val="none"/>
              </w:rPr>
              <w:t>）</w:t>
            </w:r>
          </w:p>
        </w:tc>
        <w:tc>
          <w:tcPr>
            <w:tcW w:w="3006" w:type="dxa"/>
            <w:vAlign w:val="center"/>
          </w:tcPr>
          <w:p>
            <w:pPr>
              <w:widowControl/>
              <w:spacing w:line="360" w:lineRule="auto"/>
              <w:ind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不新增占地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42" w:type="dxa"/>
            <w:vAlign w:val="center"/>
          </w:tcPr>
          <w:p>
            <w:pPr>
              <w:spacing w:line="360" w:lineRule="auto"/>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专项评价设置</w:t>
            </w:r>
          </w:p>
          <w:p>
            <w:pPr>
              <w:spacing w:line="360" w:lineRule="auto"/>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情况</w:t>
            </w:r>
          </w:p>
        </w:tc>
        <w:tc>
          <w:tcPr>
            <w:tcW w:w="7635" w:type="dxa"/>
            <w:gridSpan w:val="4"/>
            <w:vAlign w:val="center"/>
          </w:tcPr>
          <w:p>
            <w:pPr>
              <w:widowControl/>
              <w:spacing w:line="360" w:lineRule="auto"/>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42" w:type="dxa"/>
            <w:vAlign w:val="center"/>
          </w:tcPr>
          <w:p>
            <w:pPr>
              <w:spacing w:line="360" w:lineRule="auto"/>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sz w:val="21"/>
                <w:szCs w:val="21"/>
                <w:highlight w:val="none"/>
              </w:rPr>
              <w:t>规划情况</w:t>
            </w:r>
          </w:p>
        </w:tc>
        <w:tc>
          <w:tcPr>
            <w:tcW w:w="7635" w:type="dxa"/>
            <w:gridSpan w:val="4"/>
            <w:vAlign w:val="center"/>
          </w:tcPr>
          <w:p>
            <w:pPr>
              <w:widowControl/>
              <w:spacing w:line="360" w:lineRule="auto"/>
              <w:ind w:firstLine="0" w:firstLineChars="0"/>
              <w:jc w:val="center"/>
              <w:rPr>
                <w:rFonts w:hint="eastAsia"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42" w:type="dxa"/>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规划环境影响</w:t>
            </w:r>
          </w:p>
          <w:p>
            <w:pPr>
              <w:spacing w:line="360" w:lineRule="auto"/>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sz w:val="21"/>
                <w:szCs w:val="21"/>
                <w:highlight w:val="none"/>
              </w:rPr>
              <w:t>评价情况</w:t>
            </w:r>
          </w:p>
        </w:tc>
        <w:tc>
          <w:tcPr>
            <w:tcW w:w="7635" w:type="dxa"/>
            <w:gridSpan w:val="4"/>
            <w:vAlign w:val="center"/>
          </w:tcPr>
          <w:p>
            <w:pPr>
              <w:widowControl/>
              <w:spacing w:line="360" w:lineRule="auto"/>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42" w:type="dxa"/>
            <w:vAlign w:val="center"/>
          </w:tcPr>
          <w:p>
            <w:pPr>
              <w:spacing w:line="360" w:lineRule="auto"/>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规划及规划环境影响评价符合性分析</w:t>
            </w:r>
          </w:p>
        </w:tc>
        <w:tc>
          <w:tcPr>
            <w:tcW w:w="7635" w:type="dxa"/>
            <w:gridSpan w:val="4"/>
            <w:vAlign w:val="center"/>
          </w:tcPr>
          <w:p>
            <w:pPr>
              <w:widowControl/>
              <w:spacing w:line="360" w:lineRule="auto"/>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2" w:type="dxa"/>
            <w:vAlign w:val="center"/>
          </w:tcPr>
          <w:p>
            <w:pPr>
              <w:spacing w:line="360" w:lineRule="auto"/>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其他符合性分析</w:t>
            </w:r>
          </w:p>
        </w:tc>
        <w:tc>
          <w:tcPr>
            <w:tcW w:w="7635" w:type="dxa"/>
            <w:gridSpan w:val="4"/>
            <w:vAlign w:val="center"/>
          </w:tcPr>
          <w:p>
            <w:pPr>
              <w:spacing w:line="360" w:lineRule="auto"/>
              <w:ind w:firstLine="482"/>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rPr>
              <w:t>1、</w:t>
            </w:r>
            <w:r>
              <w:rPr>
                <w:rFonts w:hint="eastAsia" w:ascii="Times New Roman" w:hAnsi="Times New Roman" w:eastAsia="宋体" w:cs="Times New Roman"/>
                <w:b/>
                <w:bCs/>
                <w:color w:val="auto"/>
                <w:highlight w:val="none"/>
                <w:lang w:val="en-US" w:eastAsia="zh-CN"/>
              </w:rPr>
              <w:t>产业政策符合性及其他符合性分析</w:t>
            </w:r>
          </w:p>
          <w:p>
            <w:pPr>
              <w:spacing w:line="360" w:lineRule="auto"/>
              <w:ind w:firstLine="482"/>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1.1产业政策符合性分析</w:t>
            </w:r>
          </w:p>
          <w:p>
            <w:pPr>
              <w:bidi w:val="0"/>
              <w:rPr>
                <w:rFonts w:hint="eastAsia"/>
                <w:color w:val="auto"/>
                <w:highlight w:val="none"/>
                <w:lang w:val="en-US" w:eastAsia="zh-CN"/>
              </w:rPr>
            </w:pPr>
            <w:r>
              <w:rPr>
                <w:rFonts w:hint="eastAsia"/>
                <w:color w:val="auto"/>
                <w:highlight w:val="none"/>
                <w:lang w:val="en-US" w:eastAsia="zh-CN"/>
              </w:rPr>
              <w:t>根据</w:t>
            </w:r>
            <w:r>
              <w:rPr>
                <w:color w:val="auto"/>
                <w:highlight w:val="none"/>
              </w:rPr>
              <w:t>《产业结构调整指导目录（2019年本）》可知，</w:t>
            </w:r>
            <w:r>
              <w:rPr>
                <w:rFonts w:hint="eastAsia"/>
                <w:color w:val="auto"/>
                <w:highlight w:val="none"/>
                <w:lang w:val="en-US" w:eastAsia="zh-CN"/>
              </w:rPr>
              <w:t>本</w:t>
            </w:r>
            <w:r>
              <w:rPr>
                <w:rFonts w:hint="eastAsia"/>
                <w:color w:val="auto"/>
                <w:highlight w:val="none"/>
                <w:lang w:eastAsia="zh-CN"/>
              </w:rPr>
              <w:t>项目</w:t>
            </w:r>
            <w:r>
              <w:rPr>
                <w:rFonts w:hint="eastAsia"/>
                <w:color w:val="auto"/>
                <w:highlight w:val="none"/>
                <w:lang w:val="en-US" w:eastAsia="zh-CN"/>
              </w:rPr>
              <w:t>既不属于鼓励类、也不属于限制类和淘汰类项目；故属于国家政策允许建设的项目。且本项目已经取得了乌拉特前旗工业和信息化局的备案，备案文号为：2210-150823-07-02-649150。</w:t>
            </w:r>
            <w:r>
              <w:rPr>
                <w:color w:val="auto"/>
                <w:highlight w:val="none"/>
              </w:rPr>
              <w:t>因此，</w:t>
            </w:r>
            <w:r>
              <w:rPr>
                <w:rFonts w:hint="eastAsia"/>
                <w:color w:val="auto"/>
                <w:highlight w:val="none"/>
                <w:lang w:eastAsia="zh-CN"/>
              </w:rPr>
              <w:t>本</w:t>
            </w:r>
            <w:r>
              <w:rPr>
                <w:rFonts w:hint="eastAsia"/>
                <w:color w:val="auto"/>
                <w:highlight w:val="none"/>
                <w:lang w:val="en-US" w:eastAsia="zh-CN"/>
              </w:rPr>
              <w:t>项目</w:t>
            </w:r>
            <w:r>
              <w:rPr>
                <w:color w:val="auto"/>
                <w:highlight w:val="none"/>
              </w:rPr>
              <w:t>的建设符合产业政策要求。</w:t>
            </w:r>
          </w:p>
          <w:p>
            <w:pPr>
              <w:tabs>
                <w:tab w:val="left" w:pos="626"/>
              </w:tabs>
              <w:spacing w:line="360" w:lineRule="auto"/>
              <w:ind w:firstLine="482"/>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1.2选址合理性分析</w:t>
            </w:r>
          </w:p>
          <w:p>
            <w:pPr>
              <w:bidi w:val="0"/>
              <w:rPr>
                <w:color w:val="auto"/>
                <w:highlight w:val="none"/>
              </w:rPr>
            </w:pPr>
            <w:r>
              <w:rPr>
                <w:rFonts w:hint="eastAsia"/>
                <w:color w:val="auto"/>
                <w:highlight w:val="none"/>
                <w:lang w:val="en-US" w:eastAsia="zh-CN"/>
              </w:rPr>
              <w:t>本项目位于</w:t>
            </w:r>
            <w:r>
              <w:rPr>
                <w:rFonts w:hint="default" w:ascii="Times New Roman" w:hAnsi="Times New Roman" w:eastAsia="宋体" w:cs="Times New Roman"/>
                <w:b w:val="0"/>
                <w:bCs w:val="0"/>
                <w:color w:val="auto"/>
                <w:sz w:val="24"/>
                <w:szCs w:val="24"/>
                <w:highlight w:val="none"/>
                <w:vertAlign w:val="baseline"/>
                <w:lang w:val="en-US" w:eastAsia="zh-CN"/>
              </w:rPr>
              <w:t>内蒙古自治区巴彦淖尔市乌拉特前旗</w:t>
            </w:r>
            <w:r>
              <w:rPr>
                <w:rFonts w:hint="eastAsia" w:cs="Times New Roman"/>
                <w:b w:val="0"/>
                <w:bCs w:val="0"/>
                <w:color w:val="auto"/>
                <w:sz w:val="24"/>
                <w:szCs w:val="24"/>
                <w:highlight w:val="none"/>
                <w:vertAlign w:val="baseline"/>
                <w:lang w:val="en-US" w:eastAsia="zh-CN"/>
              </w:rPr>
              <w:t>小佘太镇书记沟矿区</w:t>
            </w:r>
            <w:r>
              <w:rPr>
                <w:rFonts w:hint="eastAsia"/>
                <w:color w:val="auto"/>
                <w:highlight w:val="none"/>
                <w:lang w:val="en-US" w:eastAsia="zh-CN"/>
              </w:rPr>
              <w:t>，建设性质为改建，位于原有项目厂址内，不新增占地，项目</w:t>
            </w:r>
            <w:r>
              <w:rPr>
                <w:color w:val="auto"/>
                <w:highlight w:val="none"/>
              </w:rPr>
              <w:t>运营期生产过程产生的废气、噪声经采取治理措施后，对周围环境影响较小</w:t>
            </w:r>
            <w:r>
              <w:rPr>
                <w:rFonts w:hint="eastAsia"/>
                <w:color w:val="auto"/>
                <w:highlight w:val="none"/>
                <w:lang w:eastAsia="zh-CN"/>
              </w:rPr>
              <w:t>；</w:t>
            </w:r>
            <w:r>
              <w:rPr>
                <w:color w:val="auto"/>
                <w:highlight w:val="none"/>
              </w:rPr>
              <w:t>废水得到合理净化</w:t>
            </w:r>
            <w:r>
              <w:rPr>
                <w:rFonts w:hint="eastAsia"/>
                <w:color w:val="auto"/>
                <w:highlight w:val="none"/>
                <w:lang w:eastAsia="zh-CN"/>
              </w:rPr>
              <w:t>；</w:t>
            </w:r>
            <w:r>
              <w:rPr>
                <w:color w:val="auto"/>
                <w:highlight w:val="none"/>
              </w:rPr>
              <w:t>固废均合理处置。项目拟采取措施后污染物对外环境的影响较小，从环保角度，厂址选择合理。</w:t>
            </w:r>
          </w:p>
          <w:p>
            <w:pPr>
              <w:spacing w:line="360" w:lineRule="auto"/>
              <w:ind w:firstLine="482"/>
              <w:rPr>
                <w:rFonts w:hint="default"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lang w:val="en-US" w:eastAsia="zh-CN"/>
              </w:rPr>
              <w:t>2、与</w:t>
            </w:r>
            <w:r>
              <w:rPr>
                <w:rFonts w:hint="default" w:ascii="Times New Roman" w:hAnsi="Times New Roman" w:eastAsia="宋体" w:cs="Times New Roman"/>
                <w:b/>
                <w:bCs/>
                <w:color w:val="auto"/>
                <w:highlight w:val="none"/>
              </w:rPr>
              <w:t>“三线一单”符合性分析</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（1）生态保护红线</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根据巴彦淖尔市人民政府出具的《关于印发&lt;巴彦淖尔市“三线一单”生态环境分区管控方案&gt;的通知》（巴政发[2021]9号）</w:t>
            </w:r>
            <w:r>
              <w:rPr>
                <w:rFonts w:hint="default" w:ascii="Times New Roman" w:hAnsi="Times New Roman" w:eastAsia="宋体" w:cs="Times New Roman"/>
                <w:color w:val="auto"/>
                <w:sz w:val="24"/>
                <w:szCs w:val="24"/>
                <w:highlight w:val="none"/>
                <w:lang w:eastAsia="zh-CN"/>
              </w:rPr>
              <w:t>生态环境</w:t>
            </w:r>
            <w:r>
              <w:rPr>
                <w:rFonts w:hint="default" w:ascii="Times New Roman" w:hAnsi="Times New Roman" w:eastAsia="宋体" w:cs="Times New Roman"/>
                <w:color w:val="auto"/>
                <w:sz w:val="24"/>
                <w:szCs w:val="24"/>
                <w:highlight w:val="none"/>
              </w:rPr>
              <w:t>分区管控体系：全市共划定环境管控单元249个，包括优先保护单元、重点管控单元、一般管控单元三类，实施分类管控</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本项目位于巴彦淖尔市乌拉特前旗</w:t>
            </w:r>
            <w:r>
              <w:rPr>
                <w:rFonts w:hint="eastAsia" w:cs="Times New Roman"/>
                <w:color w:val="auto"/>
                <w:sz w:val="24"/>
                <w:szCs w:val="24"/>
                <w:highlight w:val="none"/>
                <w:lang w:val="en-US" w:eastAsia="zh-CN"/>
              </w:rPr>
              <w:t>小佘太镇书记沟矿区</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为小佘太镇采矿用地，属于重点管控单元，单元编码为：ZH15082320015，</w:t>
            </w:r>
            <w:r>
              <w:rPr>
                <w:rFonts w:hint="default" w:ascii="Times New Roman" w:hAnsi="Times New Roman" w:eastAsia="宋体" w:cs="Times New Roman"/>
                <w:color w:val="auto"/>
                <w:sz w:val="24"/>
                <w:szCs w:val="24"/>
                <w:highlight w:val="none"/>
                <w:lang w:val="en-US" w:eastAsia="zh-CN"/>
              </w:rPr>
              <w:t>不在乌拉特前旗生态保护红线范围内。</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（2）环境质量底线</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eastAsia="zh-CN"/>
              </w:rPr>
              <w:t>本项目所在地巴彦淖尔市乌拉特前旗</w:t>
            </w:r>
            <w:r>
              <w:rPr>
                <w:rFonts w:hint="default" w:ascii="Times New Roman" w:hAnsi="Times New Roman" w:eastAsia="宋体" w:cs="Times New Roman"/>
                <w:color w:val="auto"/>
                <w:kern w:val="0"/>
                <w:sz w:val="24"/>
                <w:szCs w:val="24"/>
                <w:highlight w:val="none"/>
                <w:lang w:val="en-US" w:eastAsia="zh-CN"/>
              </w:rPr>
              <w:t>2021年大气环境中6项</w:t>
            </w:r>
            <w:r>
              <w:rPr>
                <w:rFonts w:hint="default" w:ascii="Times New Roman" w:hAnsi="Times New Roman" w:eastAsia="宋体" w:cs="Times New Roman"/>
                <w:color w:val="auto"/>
                <w:kern w:val="0"/>
                <w:sz w:val="24"/>
                <w:szCs w:val="24"/>
                <w:highlight w:val="none"/>
              </w:rPr>
              <w:t>污染物</w:t>
            </w:r>
            <w:r>
              <w:rPr>
                <w:rFonts w:hint="default" w:ascii="Times New Roman" w:hAnsi="Times New Roman" w:eastAsia="宋体" w:cs="Times New Roman"/>
                <w:color w:val="auto"/>
                <w:kern w:val="0"/>
                <w:sz w:val="24"/>
                <w:szCs w:val="24"/>
                <w:highlight w:val="none"/>
                <w:lang w:eastAsia="zh-CN"/>
              </w:rPr>
              <w:t>中</w:t>
            </w:r>
            <w:r>
              <w:rPr>
                <w:rFonts w:hint="default" w:ascii="Times New Roman" w:hAnsi="Times New Roman" w:eastAsia="宋体" w:cs="Times New Roman"/>
                <w:color w:val="auto"/>
                <w:kern w:val="0"/>
                <w:sz w:val="24"/>
                <w:szCs w:val="24"/>
                <w:highlight w:val="none"/>
              </w:rPr>
              <w:t>SO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、NO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10</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2.5</w:t>
            </w:r>
            <w:r>
              <w:rPr>
                <w:rFonts w:hint="default" w:ascii="Times New Roman" w:hAnsi="Times New Roman" w:eastAsia="宋体" w:cs="Times New Roman"/>
                <w:color w:val="auto"/>
                <w:kern w:val="0"/>
                <w:sz w:val="24"/>
                <w:szCs w:val="24"/>
                <w:highlight w:val="none"/>
              </w:rPr>
              <w:t>、CO和O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质量浓度</w:t>
            </w:r>
            <w:r>
              <w:rPr>
                <w:rFonts w:hint="default" w:ascii="Times New Roman" w:hAnsi="Times New Roman" w:eastAsia="宋体" w:cs="Times New Roman"/>
                <w:color w:val="auto"/>
                <w:kern w:val="0"/>
                <w:sz w:val="24"/>
                <w:szCs w:val="24"/>
                <w:highlight w:val="none"/>
                <w:lang w:eastAsia="zh-CN"/>
              </w:rPr>
              <w:t>均满足</w:t>
            </w:r>
            <w:r>
              <w:rPr>
                <w:rFonts w:hint="default" w:ascii="Times New Roman" w:hAnsi="Times New Roman" w:eastAsia="宋体" w:cs="Times New Roman"/>
                <w:color w:val="auto"/>
                <w:kern w:val="0"/>
                <w:sz w:val="24"/>
                <w:szCs w:val="24"/>
                <w:highlight w:val="none"/>
              </w:rPr>
              <w:t>《环境空气质量标准》（GB3095-2012）二级标准</w:t>
            </w:r>
            <w:r>
              <w:rPr>
                <w:rFonts w:hint="default" w:ascii="Times New Roman" w:hAnsi="Times New Roman" w:eastAsia="宋体" w:cs="Times New Roman"/>
                <w:color w:val="auto"/>
                <w:kern w:val="0"/>
                <w:sz w:val="24"/>
                <w:szCs w:val="24"/>
                <w:highlight w:val="none"/>
                <w:vertAlign w:val="baseline"/>
              </w:rPr>
              <w:t>限值</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由此可判断</w:t>
            </w:r>
            <w:r>
              <w:rPr>
                <w:rFonts w:hint="default" w:ascii="Times New Roman" w:hAnsi="Times New Roman" w:eastAsia="宋体" w:cs="Times New Roman"/>
                <w:color w:val="auto"/>
                <w:kern w:val="0"/>
                <w:sz w:val="24"/>
                <w:szCs w:val="24"/>
                <w:highlight w:val="none"/>
                <w:lang w:eastAsia="zh-CN"/>
              </w:rPr>
              <w:t>乌拉特前旗为</w:t>
            </w:r>
            <w:r>
              <w:rPr>
                <w:rFonts w:hint="default" w:ascii="Times New Roman" w:hAnsi="Times New Roman" w:eastAsia="宋体" w:cs="Times New Roman"/>
                <w:color w:val="auto"/>
                <w:kern w:val="0"/>
                <w:sz w:val="24"/>
                <w:szCs w:val="24"/>
                <w:highlight w:val="none"/>
              </w:rPr>
              <w:t>达标区</w:t>
            </w:r>
            <w:r>
              <w:rPr>
                <w:rFonts w:hint="default" w:ascii="Times New Roman" w:hAnsi="Times New Roman" w:eastAsia="宋体" w:cs="Times New Roman"/>
                <w:color w:val="auto"/>
                <w:sz w:val="24"/>
                <w:szCs w:val="24"/>
                <w:highlight w:val="none"/>
              </w:rPr>
              <w:t>。</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本项目运营期废气经处理</w:t>
            </w:r>
            <w:r>
              <w:rPr>
                <w:rFonts w:hint="default" w:ascii="Times New Roman" w:hAnsi="Times New Roman" w:eastAsia="宋体" w:cs="Times New Roman"/>
                <w:color w:val="auto"/>
                <w:sz w:val="24"/>
                <w:szCs w:val="24"/>
                <w:highlight w:val="none"/>
                <w:lang w:eastAsia="zh-CN"/>
              </w:rPr>
              <w:t>后，</w:t>
            </w:r>
            <w:r>
              <w:rPr>
                <w:rFonts w:hint="default" w:ascii="Times New Roman" w:hAnsi="Times New Roman" w:eastAsia="宋体" w:cs="Times New Roman"/>
                <w:color w:val="auto"/>
                <w:sz w:val="24"/>
                <w:szCs w:val="24"/>
                <w:highlight w:val="none"/>
                <w:lang w:val="en-US" w:eastAsia="zh-CN"/>
              </w:rPr>
              <w:t>均</w:t>
            </w:r>
            <w:r>
              <w:rPr>
                <w:rFonts w:hint="default" w:ascii="Times New Roman" w:hAnsi="Times New Roman" w:eastAsia="宋体" w:cs="Times New Roman"/>
                <w:color w:val="auto"/>
                <w:sz w:val="24"/>
                <w:szCs w:val="24"/>
                <w:highlight w:val="none"/>
                <w:lang w:eastAsia="zh-CN"/>
              </w:rPr>
              <w:t>达标排放</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厂界</w:t>
            </w:r>
            <w:r>
              <w:rPr>
                <w:rFonts w:hint="default" w:ascii="Times New Roman" w:hAnsi="Times New Roman" w:eastAsia="宋体" w:cs="Times New Roman"/>
                <w:color w:val="auto"/>
                <w:sz w:val="24"/>
                <w:szCs w:val="24"/>
                <w:highlight w:val="none"/>
              </w:rPr>
              <w:t>噪声</w:t>
            </w:r>
            <w:r>
              <w:rPr>
                <w:rFonts w:hint="default" w:ascii="Times New Roman" w:hAnsi="Times New Roman" w:eastAsia="宋体" w:cs="Times New Roman"/>
                <w:color w:val="auto"/>
                <w:sz w:val="24"/>
                <w:szCs w:val="24"/>
                <w:highlight w:val="none"/>
                <w:lang w:eastAsia="zh-CN"/>
              </w:rPr>
              <w:t>预测值满足相关标准，</w:t>
            </w:r>
            <w:r>
              <w:rPr>
                <w:rFonts w:hint="default" w:ascii="Times New Roman" w:hAnsi="Times New Roman" w:eastAsia="宋体" w:cs="Times New Roman"/>
                <w:color w:val="auto"/>
                <w:sz w:val="24"/>
                <w:szCs w:val="24"/>
                <w:highlight w:val="none"/>
              </w:rPr>
              <w:t>对周围声环境影响较小；固废全部妥善处置，对周围环境影响较小</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综上，从环保角度，项目选址合理。</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因此，本项目实施后不会对项目所在地的环境质量造成不利影响，项目所在地环境质量可维持现有水平，本项目符合环境质量底线要求。</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（3）资源利用上线</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本项目运行中消耗一定量水、电等</w:t>
            </w:r>
            <w:r>
              <w:rPr>
                <w:rFonts w:hint="default" w:ascii="Times New Roman" w:hAnsi="Times New Roman" w:eastAsia="宋体" w:cs="Times New Roman"/>
                <w:color w:val="auto"/>
                <w:sz w:val="24"/>
                <w:szCs w:val="24"/>
                <w:highlight w:val="none"/>
                <w:lang w:eastAsia="zh-CN"/>
              </w:rPr>
              <w:t>资源</w:t>
            </w:r>
            <w:r>
              <w:rPr>
                <w:rFonts w:hint="default" w:ascii="Times New Roman" w:hAnsi="Times New Roman" w:eastAsia="宋体" w:cs="Times New Roman"/>
                <w:color w:val="auto"/>
                <w:sz w:val="24"/>
                <w:szCs w:val="24"/>
                <w:highlight w:val="none"/>
              </w:rPr>
              <w:t>，消耗量相对区域资源总量较少，本项目的建设满足区域资源利用上线。</w:t>
            </w:r>
          </w:p>
          <w:p>
            <w:pPr>
              <w:keepNext w:val="0"/>
              <w:keepLines w:val="0"/>
              <w:pageBreakBefore w:val="0"/>
              <w:widowControl w:val="0"/>
              <w:suppressLineNumbers w:val="0"/>
              <w:shd w:val="clear"/>
              <w:kinsoku/>
              <w:wordWrap/>
              <w:overflowPunct/>
              <w:topLinePunct/>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（4）生态环境准入清单</w:t>
            </w:r>
          </w:p>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highlight w:val="none"/>
                <w:lang w:val="en-US" w:eastAsia="zh-CN"/>
              </w:rPr>
            </w:pPr>
            <w:r>
              <w:rPr>
                <w:rFonts w:hint="default" w:ascii="Times New Roman" w:hAnsi="Times New Roman" w:eastAsia="宋体" w:cs="Times New Roman"/>
                <w:color w:val="FF0000"/>
                <w:sz w:val="24"/>
                <w:szCs w:val="24"/>
                <w:highlight w:val="none"/>
                <w:lang w:eastAsia="zh-CN"/>
              </w:rPr>
              <w:t>本项目位于</w:t>
            </w:r>
            <w:r>
              <w:rPr>
                <w:rFonts w:hint="default" w:ascii="Times New Roman" w:hAnsi="Times New Roman" w:eastAsia="宋体" w:cs="Times New Roman"/>
                <w:color w:val="FF0000"/>
                <w:sz w:val="24"/>
                <w:szCs w:val="24"/>
                <w:highlight w:val="none"/>
                <w:lang w:val="en-US" w:eastAsia="zh-CN"/>
              </w:rPr>
              <w:t>巴彦淖尔市乌拉特前旗</w:t>
            </w:r>
            <w:r>
              <w:rPr>
                <w:rFonts w:hint="eastAsia" w:cs="Times New Roman"/>
                <w:color w:val="FF0000"/>
                <w:sz w:val="24"/>
                <w:szCs w:val="24"/>
                <w:highlight w:val="none"/>
                <w:lang w:val="en-US" w:eastAsia="zh-CN"/>
              </w:rPr>
              <w:t>小佘太镇书记沟矿区</w:t>
            </w:r>
            <w:r>
              <w:rPr>
                <w:rFonts w:hint="default" w:ascii="Times New Roman" w:hAnsi="Times New Roman" w:eastAsia="宋体" w:cs="Times New Roman"/>
                <w:color w:val="FF0000"/>
                <w:sz w:val="24"/>
                <w:szCs w:val="24"/>
                <w:highlight w:val="none"/>
                <w:lang w:eastAsia="zh-CN"/>
              </w:rPr>
              <w:t>，根据巴彦淖尔市环境</w:t>
            </w:r>
            <w:r>
              <w:rPr>
                <w:rFonts w:hint="eastAsia" w:cs="Times New Roman"/>
                <w:color w:val="FF0000"/>
                <w:sz w:val="24"/>
                <w:szCs w:val="24"/>
                <w:highlight w:val="none"/>
                <w:lang w:eastAsia="zh-CN"/>
              </w:rPr>
              <w:t>分区</w:t>
            </w:r>
            <w:r>
              <w:rPr>
                <w:rFonts w:hint="default" w:ascii="Times New Roman" w:hAnsi="Times New Roman" w:eastAsia="宋体" w:cs="Times New Roman"/>
                <w:color w:val="FF0000"/>
                <w:sz w:val="24"/>
                <w:szCs w:val="24"/>
                <w:highlight w:val="none"/>
                <w:lang w:eastAsia="zh-CN"/>
              </w:rPr>
              <w:t>管控单元，属于</w:t>
            </w:r>
            <w:r>
              <w:rPr>
                <w:rFonts w:hint="eastAsia" w:cs="Times New Roman"/>
                <w:color w:val="FF0000"/>
                <w:sz w:val="24"/>
                <w:szCs w:val="24"/>
                <w:highlight w:val="none"/>
                <w:lang w:eastAsia="zh-CN"/>
              </w:rPr>
              <w:t>小佘太镇采矿用地</w:t>
            </w:r>
            <w:r>
              <w:rPr>
                <w:rFonts w:hint="default" w:ascii="Times New Roman" w:hAnsi="Times New Roman" w:eastAsia="宋体" w:cs="Times New Roman"/>
                <w:color w:val="FF0000"/>
                <w:sz w:val="24"/>
                <w:szCs w:val="24"/>
                <w:highlight w:val="none"/>
                <w:lang w:eastAsia="zh-CN"/>
              </w:rPr>
              <w:t>，管控单元类别为重点管理单元，</w:t>
            </w:r>
            <w:r>
              <w:rPr>
                <w:rFonts w:hint="eastAsia" w:cs="Times New Roman"/>
                <w:color w:val="FF0000"/>
                <w:sz w:val="24"/>
                <w:szCs w:val="24"/>
                <w:highlight w:val="none"/>
                <w:lang w:val="en-US" w:eastAsia="zh-CN"/>
              </w:rPr>
              <w:t>单元编码为：ZH15082320015。巴彦淖尔市总体准入要求符合性分析内容见表1；本项目</w:t>
            </w:r>
            <w:r>
              <w:rPr>
                <w:rFonts w:hint="default" w:ascii="Times New Roman" w:hAnsi="Times New Roman" w:eastAsia="宋体" w:cs="Times New Roman"/>
                <w:color w:val="FF0000"/>
                <w:sz w:val="24"/>
                <w:szCs w:val="24"/>
                <w:highlight w:val="none"/>
                <w:lang w:eastAsia="zh-CN"/>
              </w:rPr>
              <w:t>生态环境准入清单符合性见下表</w:t>
            </w:r>
            <w:r>
              <w:rPr>
                <w:rFonts w:hint="eastAsia" w:cs="Times New Roman"/>
                <w:color w:val="FF0000"/>
                <w:sz w:val="24"/>
                <w:szCs w:val="24"/>
                <w:highlight w:val="none"/>
                <w:lang w:val="en-US" w:eastAsia="zh-CN"/>
              </w:rPr>
              <w:t>2</w:t>
            </w:r>
            <w:r>
              <w:rPr>
                <w:rFonts w:hint="default" w:ascii="Times New Roman" w:hAnsi="Times New Roman" w:eastAsia="宋体" w:cs="Times New Roman"/>
                <w:color w:val="FF0000"/>
                <w:sz w:val="24"/>
                <w:szCs w:val="24"/>
                <w:highlight w:val="none"/>
                <w:lang w:eastAsia="zh-CN"/>
              </w:rPr>
              <w:t>。</w:t>
            </w:r>
          </w:p>
          <w:p>
            <w:pPr>
              <w:tabs>
                <w:tab w:val="left" w:pos="4252"/>
                <w:tab w:val="left" w:pos="6271"/>
              </w:tabs>
              <w:ind w:firstLine="0" w:firstLineChars="0"/>
              <w:jc w:val="center"/>
              <w:rPr>
                <w:rFonts w:eastAsia="宋体" w:cs="Times New Roman"/>
                <w:b/>
                <w:bCs/>
                <w:color w:val="FF0000"/>
              </w:rPr>
            </w:pPr>
            <w:r>
              <w:rPr>
                <w:rFonts w:eastAsia="宋体" w:cs="Times New Roman"/>
                <w:b/>
                <w:bCs/>
                <w:color w:val="FF0000"/>
              </w:rPr>
              <w:t>表1  巴彦淖尔市总体准入要求符合性分析表</w:t>
            </w:r>
          </w:p>
          <w:tbl>
            <w:tblPr>
              <w:tblStyle w:val="17"/>
              <w:tblW w:w="729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20"/>
              <w:gridCol w:w="4000"/>
              <w:gridCol w:w="2055"/>
              <w:gridCol w:w="6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43" w:hRule="atLeast"/>
                <w:jc w:val="center"/>
              </w:trPr>
              <w:tc>
                <w:tcPr>
                  <w:tcW w:w="620" w:type="dxa"/>
                  <w:tcBorders>
                    <w:tl2br w:val="nil"/>
                    <w:tr2bl w:val="nil"/>
                  </w:tcBorders>
                  <w:noWrap/>
                  <w:vAlign w:val="center"/>
                </w:tcPr>
                <w:p>
                  <w:pPr>
                    <w:widowControl/>
                    <w:ind w:firstLine="0" w:firstLineChars="0"/>
                    <w:jc w:val="center"/>
                    <w:rPr>
                      <w:rFonts w:eastAsia="宋体" w:cs="Times New Roman"/>
                      <w:b/>
                      <w:bCs/>
                      <w:color w:val="FF0000"/>
                      <w:kern w:val="0"/>
                      <w:sz w:val="21"/>
                      <w:szCs w:val="21"/>
                    </w:rPr>
                  </w:pPr>
                  <w:r>
                    <w:rPr>
                      <w:rFonts w:eastAsia="宋体" w:cs="Times New Roman"/>
                      <w:b/>
                      <w:bCs/>
                      <w:color w:val="FF0000"/>
                      <w:kern w:val="0"/>
                      <w:sz w:val="21"/>
                      <w:szCs w:val="21"/>
                    </w:rPr>
                    <w:t>管控类型</w:t>
                  </w:r>
                </w:p>
              </w:tc>
              <w:tc>
                <w:tcPr>
                  <w:tcW w:w="4000" w:type="dxa"/>
                  <w:tcBorders>
                    <w:tl2br w:val="nil"/>
                    <w:tr2bl w:val="nil"/>
                  </w:tcBorders>
                  <w:noWrap/>
                  <w:vAlign w:val="center"/>
                </w:tcPr>
                <w:p>
                  <w:pPr>
                    <w:widowControl/>
                    <w:ind w:firstLine="0" w:firstLineChars="0"/>
                    <w:jc w:val="center"/>
                    <w:rPr>
                      <w:rFonts w:eastAsia="宋体" w:cs="Times New Roman"/>
                      <w:b/>
                      <w:bCs/>
                      <w:color w:val="FF0000"/>
                      <w:kern w:val="0"/>
                      <w:sz w:val="21"/>
                      <w:szCs w:val="21"/>
                    </w:rPr>
                  </w:pPr>
                  <w:r>
                    <w:rPr>
                      <w:rFonts w:eastAsia="宋体" w:cs="Times New Roman"/>
                      <w:b/>
                      <w:bCs/>
                      <w:color w:val="FF0000"/>
                      <w:kern w:val="0"/>
                      <w:sz w:val="21"/>
                      <w:szCs w:val="21"/>
                    </w:rPr>
                    <w:t>管控要求</w:t>
                  </w:r>
                </w:p>
              </w:tc>
              <w:tc>
                <w:tcPr>
                  <w:tcW w:w="2055" w:type="dxa"/>
                  <w:tcBorders>
                    <w:tl2br w:val="nil"/>
                    <w:tr2bl w:val="nil"/>
                  </w:tcBorders>
                  <w:noWrap/>
                  <w:vAlign w:val="center"/>
                </w:tcPr>
                <w:p>
                  <w:pPr>
                    <w:widowControl/>
                    <w:ind w:firstLine="0" w:firstLineChars="0"/>
                    <w:jc w:val="center"/>
                    <w:rPr>
                      <w:rFonts w:eastAsia="宋体" w:cs="Times New Roman"/>
                      <w:b/>
                      <w:bCs/>
                      <w:color w:val="FF0000"/>
                      <w:kern w:val="0"/>
                      <w:sz w:val="21"/>
                      <w:szCs w:val="21"/>
                    </w:rPr>
                  </w:pPr>
                  <w:r>
                    <w:rPr>
                      <w:rFonts w:eastAsia="宋体" w:cs="Times New Roman"/>
                      <w:b/>
                      <w:bCs/>
                      <w:color w:val="FF0000"/>
                      <w:kern w:val="0"/>
                      <w:sz w:val="21"/>
                      <w:szCs w:val="21"/>
                    </w:rPr>
                    <w:t>本项目情况</w:t>
                  </w:r>
                </w:p>
              </w:tc>
              <w:tc>
                <w:tcPr>
                  <w:tcW w:w="622" w:type="dxa"/>
                  <w:tcBorders>
                    <w:tl2br w:val="nil"/>
                    <w:tr2bl w:val="nil"/>
                  </w:tcBorders>
                  <w:noWrap/>
                  <w:vAlign w:val="center"/>
                </w:tcPr>
                <w:p>
                  <w:pPr>
                    <w:widowControl/>
                    <w:ind w:firstLine="0" w:firstLineChars="0"/>
                    <w:jc w:val="center"/>
                    <w:rPr>
                      <w:rFonts w:eastAsia="宋体" w:cs="Times New Roman"/>
                      <w:b/>
                      <w:bCs/>
                      <w:color w:val="FF0000"/>
                      <w:kern w:val="0"/>
                      <w:sz w:val="21"/>
                      <w:szCs w:val="21"/>
                    </w:rPr>
                  </w:pPr>
                  <w:r>
                    <w:rPr>
                      <w:rFonts w:eastAsia="宋体" w:cs="Times New Roman"/>
                      <w:b/>
                      <w:bCs/>
                      <w:color w:val="FF0000"/>
                      <w:kern w:val="0"/>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20" w:type="dxa"/>
                  <w:tcBorders>
                    <w:tl2br w:val="nil"/>
                    <w:tr2bl w:val="nil"/>
                  </w:tcBorders>
                  <w:noWrap/>
                  <w:vAlign w:val="center"/>
                </w:tcPr>
                <w:p>
                  <w:pPr>
                    <w:widowControl/>
                    <w:ind w:firstLine="0" w:firstLineChars="0"/>
                    <w:jc w:val="center"/>
                    <w:rPr>
                      <w:rFonts w:eastAsia="宋体" w:cs="Times New Roman"/>
                      <w:color w:val="FF0000"/>
                      <w:kern w:val="0"/>
                      <w:sz w:val="21"/>
                      <w:szCs w:val="21"/>
                    </w:rPr>
                  </w:pPr>
                  <w:r>
                    <w:rPr>
                      <w:rFonts w:eastAsia="宋体" w:cs="Times New Roman"/>
                      <w:color w:val="FF0000"/>
                      <w:kern w:val="0"/>
                      <w:sz w:val="21"/>
                      <w:szCs w:val="21"/>
                    </w:rPr>
                    <w:t>总体要求</w:t>
                  </w:r>
                </w:p>
              </w:tc>
              <w:tc>
                <w:tcPr>
                  <w:tcW w:w="4000" w:type="dxa"/>
                  <w:tcBorders>
                    <w:tl2br w:val="nil"/>
                    <w:tr2bl w:val="nil"/>
                  </w:tcBorders>
                  <w:noWrap/>
                  <w:vAlign w:val="center"/>
                </w:tcPr>
                <w:p>
                  <w:pPr>
                    <w:widowControl/>
                    <w:ind w:firstLine="420"/>
                    <w:rPr>
                      <w:rFonts w:eastAsia="宋体" w:cs="Times New Roman"/>
                      <w:color w:val="FF0000"/>
                      <w:kern w:val="0"/>
                      <w:sz w:val="21"/>
                      <w:szCs w:val="21"/>
                    </w:rPr>
                  </w:pPr>
                  <w:r>
                    <w:rPr>
                      <w:rFonts w:eastAsia="宋体" w:cs="Times New Roman"/>
                      <w:color w:val="FF0000"/>
                      <w:kern w:val="0"/>
                      <w:sz w:val="21"/>
                      <w:szCs w:val="21"/>
                    </w:rPr>
                    <w:t>1、除现有化工园区外，不再布局新的化工园区。现有园区扩大面积的，要与黄河中上游流域巴彦淖尔段及主要支流岸线至少保持1公里距离。</w:t>
                  </w:r>
                </w:p>
                <w:p>
                  <w:pPr>
                    <w:widowControl/>
                    <w:ind w:firstLine="420"/>
                    <w:rPr>
                      <w:rFonts w:eastAsia="宋体" w:cs="Times New Roman"/>
                      <w:color w:val="FF0000"/>
                      <w:kern w:val="0"/>
                      <w:sz w:val="21"/>
                      <w:szCs w:val="21"/>
                    </w:rPr>
                  </w:pPr>
                  <w:r>
                    <w:rPr>
                      <w:rFonts w:eastAsia="宋体" w:cs="Times New Roman"/>
                      <w:color w:val="FF0000"/>
                      <w:kern w:val="0"/>
                      <w:sz w:val="21"/>
                      <w:szCs w:val="21"/>
                    </w:rPr>
                    <w:t>2、新建、改建、扩建“两高”项目须符合生态环境保护法律法规和相关法定规划，满足重点污染物排放总量控制、碳排放达峰目标、生态环境准入清单、相关规划环评和相应行业建设项目环境准入条件、环评文件审批要求。新建、扩建石化、化工、焦化、有色金属冶炼、平板玻璃项目应布设在依法合规设立并经规划环评的产业园区。</w:t>
                  </w:r>
                </w:p>
                <w:p>
                  <w:pPr>
                    <w:widowControl/>
                    <w:ind w:firstLine="420"/>
                    <w:rPr>
                      <w:rFonts w:eastAsia="宋体" w:cs="Times New Roman"/>
                      <w:color w:val="FF0000"/>
                      <w:kern w:val="0"/>
                      <w:sz w:val="21"/>
                      <w:szCs w:val="21"/>
                    </w:rPr>
                  </w:pPr>
                  <w:r>
                    <w:rPr>
                      <w:rFonts w:eastAsia="宋体" w:cs="Times New Roman"/>
                      <w:color w:val="FF0000"/>
                      <w:kern w:val="0"/>
                      <w:sz w:val="21"/>
                      <w:szCs w:val="21"/>
                    </w:rPr>
                    <w:t>3、建设项目应满足区域、流域控制单元环境质量改善目标管理要求。所在区域、流域控制单元环境质量未达到国家或者地方环境质量标准的，建设项目应提出有效的区域削减方案，主要污染物实行区域倍量削减，确保项目投产后区域环境质量有改善。所在区域、流域控制单元环境质量达到国家或者地方环境质量标准的，原则上建设项目主要污染物实行区域等量削减，确保项目投产后区域环境质量不恶化。</w:t>
                  </w:r>
                </w:p>
                <w:p>
                  <w:pPr>
                    <w:widowControl/>
                    <w:ind w:firstLine="420"/>
                    <w:rPr>
                      <w:rFonts w:eastAsia="宋体" w:cs="Times New Roman"/>
                      <w:color w:val="FF0000"/>
                      <w:kern w:val="0"/>
                      <w:sz w:val="21"/>
                      <w:szCs w:val="21"/>
                    </w:rPr>
                  </w:pPr>
                  <w:r>
                    <w:rPr>
                      <w:rFonts w:eastAsia="宋体" w:cs="Times New Roman"/>
                      <w:color w:val="FF0000"/>
                      <w:kern w:val="0"/>
                      <w:sz w:val="21"/>
                      <w:szCs w:val="21"/>
                    </w:rPr>
                    <w:t>4、各类园区及建设项目选址必须符合当地国土空间规划。新建工业企业原则上应在工业园区内建设并符合相关规划和园区定位。</w:t>
                  </w:r>
                </w:p>
                <w:p>
                  <w:pPr>
                    <w:widowControl/>
                    <w:ind w:firstLine="420"/>
                    <w:rPr>
                      <w:rFonts w:eastAsia="宋体" w:cs="Times New Roman"/>
                      <w:color w:val="FF0000"/>
                      <w:kern w:val="0"/>
                      <w:sz w:val="21"/>
                      <w:szCs w:val="21"/>
                    </w:rPr>
                  </w:pPr>
                  <w:r>
                    <w:rPr>
                      <w:rFonts w:eastAsia="宋体" w:cs="Times New Roman"/>
                      <w:color w:val="FF0000"/>
                      <w:kern w:val="0"/>
                      <w:sz w:val="21"/>
                      <w:szCs w:val="21"/>
                    </w:rPr>
                    <w:t>5、新建矿山要全部达到绿色矿山建设标准，生产矿山要按照绿色矿山建设标准加快改造升级，限期达到绿色矿山建设标准。2025年底前，全部矿山达到国家或自治区绿色矿山建设标准，不符合绿色矿山建设标准的矿山企业依法逐步退出市场。</w:t>
                  </w:r>
                </w:p>
                <w:p>
                  <w:pPr>
                    <w:widowControl/>
                    <w:ind w:firstLine="420"/>
                    <w:rPr>
                      <w:rFonts w:eastAsia="宋体" w:cs="Times New Roman"/>
                      <w:color w:val="FF0000"/>
                      <w:kern w:val="0"/>
                      <w:sz w:val="21"/>
                      <w:szCs w:val="21"/>
                    </w:rPr>
                  </w:pPr>
                  <w:r>
                    <w:rPr>
                      <w:rFonts w:eastAsia="宋体" w:cs="Times New Roman"/>
                      <w:color w:val="FF0000"/>
                      <w:kern w:val="0"/>
                      <w:sz w:val="21"/>
                      <w:szCs w:val="21"/>
                    </w:rPr>
                    <w:t>6、国家重点生态功能区要严格落实产业准入负面清单要求，在严格保护生态安全的前提下，鼓励和支持市场主体集约高效有序地发展符合主体功能定位的适宜产业；限制类产业要在规模产量、生产工艺、区位布局、清洁生产水平等方面严格执行有关规定，鼓励和引导市场主体对既有项目改造升级、入园入区；禁止类产业要严禁市场主体准入，行政机关不予审批、核准，不得办理有关手续。其他重点开发的城镇和重点生态功能区点状开发的城镇，新建矿产资源开采加工、火电、化工、冶金、有色等重大项目，应实行更加严格的环境标准，相关项目必须符合相应领域的专项规划，必须开展环境影响评价和社会稳定风险评估等，不得损害生态系统的稳定性和完整性。</w:t>
                  </w:r>
                </w:p>
                <w:p>
                  <w:pPr>
                    <w:widowControl/>
                    <w:ind w:firstLine="420"/>
                    <w:rPr>
                      <w:rFonts w:eastAsia="宋体" w:cs="Times New Roman"/>
                      <w:color w:val="FF0000"/>
                      <w:kern w:val="0"/>
                      <w:sz w:val="21"/>
                      <w:szCs w:val="21"/>
                    </w:rPr>
                  </w:pPr>
                  <w:r>
                    <w:rPr>
                      <w:rFonts w:eastAsia="宋体" w:cs="Times New Roman"/>
                      <w:color w:val="FF0000"/>
                      <w:kern w:val="0"/>
                      <w:sz w:val="21"/>
                      <w:szCs w:val="21"/>
                    </w:rPr>
                    <w:t>7、畜禽养殖禁养区内不得新建、扩建和改建各类畜禽养殖场，限养区内严格限制新建和扩建各类规模化畜禽养殖场。适养区内现有的各类畜禽养殖场必须落实污染防治措施，对污水、废渣和恶臭应进行定期监测，确保排放的污染物达到《畜禽养殖业污染物排放标准》（GB18596-2001）的限值要求，并符合污染物排放总量控制要求。禁养区范围内的已建成的畜禽养殖场（小区）和养殖专业户，由所在地人民政府负责责令限期搬迁、关闭或取缔。</w:t>
                  </w:r>
                </w:p>
                <w:p>
                  <w:pPr>
                    <w:widowControl/>
                    <w:ind w:firstLine="420"/>
                    <w:rPr>
                      <w:rFonts w:eastAsia="宋体" w:cs="Times New Roman"/>
                      <w:color w:val="FF0000"/>
                      <w:kern w:val="0"/>
                      <w:sz w:val="21"/>
                      <w:szCs w:val="21"/>
                    </w:rPr>
                  </w:pPr>
                  <w:r>
                    <w:rPr>
                      <w:rFonts w:eastAsia="宋体" w:cs="Times New Roman"/>
                      <w:color w:val="FF0000"/>
                      <w:kern w:val="0"/>
                      <w:sz w:val="21"/>
                      <w:szCs w:val="21"/>
                    </w:rPr>
                    <w:t>8、建设对环境有影响的项目，建设单位应当根据国家关于建设项目环境保护分类管理的规定，按照对环境造成影响的程度，组织编制环境影响报告书、环境影响报告表或者填写环境影响登记表。严格落实排污许可管理要求，加强排污许可证实施监管，督促企业采取有效措施控制污染物排放，达到排污许可证规定的许可排放量要求。</w:t>
                  </w:r>
                </w:p>
              </w:tc>
              <w:tc>
                <w:tcPr>
                  <w:tcW w:w="2055" w:type="dxa"/>
                  <w:tcBorders>
                    <w:tl2br w:val="nil"/>
                    <w:tr2bl w:val="nil"/>
                  </w:tcBorders>
                  <w:noWrap/>
                  <w:vAlign w:val="center"/>
                </w:tcPr>
                <w:p>
                  <w:pPr>
                    <w:widowControl/>
                    <w:spacing w:line="360" w:lineRule="auto"/>
                    <w:ind w:firstLine="420"/>
                    <w:rPr>
                      <w:rFonts w:eastAsia="宋体" w:cs="Times New Roman"/>
                      <w:color w:val="FF0000"/>
                      <w:kern w:val="0"/>
                      <w:sz w:val="21"/>
                      <w:szCs w:val="21"/>
                    </w:rPr>
                  </w:pPr>
                  <w:r>
                    <w:rPr>
                      <w:rFonts w:eastAsia="宋体" w:cs="Times New Roman"/>
                      <w:color w:val="FF0000"/>
                      <w:kern w:val="0"/>
                      <w:sz w:val="21"/>
                      <w:szCs w:val="21"/>
                    </w:rPr>
                    <w:t>1、本项目不涉及新化工园区的布局和现有园区面积的扩大。</w:t>
                  </w:r>
                </w:p>
                <w:p>
                  <w:pPr>
                    <w:widowControl/>
                    <w:spacing w:line="360" w:lineRule="auto"/>
                    <w:ind w:firstLine="420"/>
                    <w:rPr>
                      <w:rFonts w:eastAsia="宋体" w:cs="Times New Roman"/>
                      <w:color w:val="FF0000"/>
                      <w:kern w:val="0"/>
                      <w:sz w:val="21"/>
                      <w:szCs w:val="21"/>
                    </w:rPr>
                  </w:pPr>
                  <w:r>
                    <w:rPr>
                      <w:rFonts w:eastAsia="宋体" w:cs="Times New Roman"/>
                      <w:color w:val="FF0000"/>
                      <w:kern w:val="0"/>
                      <w:sz w:val="21"/>
                      <w:szCs w:val="21"/>
                    </w:rPr>
                    <w:t>2、本项目不属于“两高”项目；不属于石化、化工、焦化、有色金属冶炼、平板玻璃项目。</w:t>
                  </w:r>
                </w:p>
                <w:p>
                  <w:pPr>
                    <w:widowControl/>
                    <w:spacing w:line="360" w:lineRule="auto"/>
                    <w:ind w:firstLine="420"/>
                    <w:rPr>
                      <w:rFonts w:eastAsia="宋体" w:cs="Times New Roman"/>
                      <w:color w:val="FF0000"/>
                      <w:kern w:val="0"/>
                      <w:sz w:val="21"/>
                      <w:szCs w:val="21"/>
                    </w:rPr>
                  </w:pPr>
                  <w:r>
                    <w:rPr>
                      <w:rFonts w:eastAsia="宋体" w:cs="Times New Roman"/>
                      <w:color w:val="FF0000"/>
                      <w:kern w:val="0"/>
                      <w:sz w:val="21"/>
                      <w:szCs w:val="21"/>
                    </w:rPr>
                    <w:t>3、根据《巴彦淖尔市环境质量状况公报（2021年）》，本项目所在地巴彦淖尔市</w:t>
                  </w:r>
                  <w:r>
                    <w:rPr>
                      <w:rFonts w:hint="eastAsia" w:cs="Times New Roman"/>
                      <w:color w:val="FF0000"/>
                      <w:kern w:val="0"/>
                      <w:sz w:val="21"/>
                      <w:szCs w:val="21"/>
                      <w:lang w:eastAsia="zh-CN"/>
                    </w:rPr>
                    <w:t>乌拉特前旗</w:t>
                  </w:r>
                  <w:r>
                    <w:rPr>
                      <w:rFonts w:eastAsia="宋体" w:cs="Times New Roman"/>
                      <w:color w:val="FF0000"/>
                      <w:kern w:val="0"/>
                      <w:sz w:val="21"/>
                      <w:szCs w:val="21"/>
                    </w:rPr>
                    <w:t>为达标区；各污染物排放量较小，并且再采取相应环保措施后，各污染物均可达标排放，不会造成区域环境质量恶化。</w:t>
                  </w:r>
                </w:p>
                <w:p>
                  <w:pPr>
                    <w:widowControl/>
                    <w:spacing w:line="360" w:lineRule="auto"/>
                    <w:ind w:firstLine="420"/>
                    <w:rPr>
                      <w:rFonts w:eastAsia="宋体" w:cs="Times New Roman"/>
                      <w:color w:val="FF0000"/>
                      <w:kern w:val="0"/>
                      <w:sz w:val="21"/>
                      <w:szCs w:val="21"/>
                    </w:rPr>
                  </w:pPr>
                  <w:r>
                    <w:rPr>
                      <w:rFonts w:eastAsia="宋体" w:cs="Times New Roman"/>
                      <w:color w:val="FF0000"/>
                      <w:kern w:val="0"/>
                      <w:sz w:val="21"/>
                      <w:szCs w:val="21"/>
                    </w:rPr>
                    <w:t>4、本项目</w:t>
                  </w:r>
                  <w:r>
                    <w:rPr>
                      <w:rFonts w:hint="eastAsia" w:cs="Times New Roman"/>
                      <w:color w:val="FF0000"/>
                      <w:kern w:val="0"/>
                      <w:sz w:val="21"/>
                      <w:szCs w:val="21"/>
                      <w:lang w:eastAsia="zh-CN"/>
                    </w:rPr>
                    <w:t>为技改项目，</w:t>
                  </w:r>
                  <w:r>
                    <w:rPr>
                      <w:rFonts w:eastAsia="宋体" w:cs="Times New Roman"/>
                      <w:color w:val="FF0000"/>
                      <w:kern w:val="0"/>
                      <w:sz w:val="21"/>
                      <w:szCs w:val="21"/>
                    </w:rPr>
                    <w:t>位于</w:t>
                  </w:r>
                  <w:r>
                    <w:rPr>
                      <w:rFonts w:eastAsia="宋体" w:cs="Times New Roman"/>
                      <w:color w:val="FF0000"/>
                      <w:sz w:val="21"/>
                      <w:szCs w:val="21"/>
                    </w:rPr>
                    <w:t>内蒙古巴彦淖尔市</w:t>
                  </w:r>
                  <w:r>
                    <w:rPr>
                      <w:rFonts w:hint="eastAsia" w:cs="Times New Roman"/>
                      <w:color w:val="FF0000"/>
                      <w:sz w:val="21"/>
                      <w:szCs w:val="21"/>
                      <w:lang w:eastAsia="zh-CN"/>
                    </w:rPr>
                    <w:t>乌拉特前旗小佘太镇</w:t>
                  </w:r>
                  <w:r>
                    <w:rPr>
                      <w:rFonts w:hint="eastAsia" w:cs="Times New Roman"/>
                      <w:b w:val="0"/>
                      <w:bCs w:val="0"/>
                      <w:color w:val="FF0000"/>
                      <w:sz w:val="21"/>
                      <w:szCs w:val="21"/>
                      <w:highlight w:val="none"/>
                      <w:vertAlign w:val="baseline"/>
                      <w:lang w:val="en-US" w:eastAsia="zh-CN"/>
                    </w:rPr>
                    <w:t>张二口村书记沟矿区大中矿业厂区内</w:t>
                  </w:r>
                  <w:r>
                    <w:rPr>
                      <w:rFonts w:eastAsia="宋体" w:cs="Times New Roman"/>
                      <w:color w:val="FF0000"/>
                      <w:sz w:val="21"/>
                      <w:szCs w:val="21"/>
                    </w:rPr>
                    <w:t>，</w:t>
                  </w:r>
                  <w:r>
                    <w:rPr>
                      <w:rFonts w:hint="eastAsia" w:cs="Times New Roman"/>
                      <w:color w:val="FF0000"/>
                      <w:sz w:val="21"/>
                      <w:szCs w:val="21"/>
                      <w:lang w:eastAsia="zh-CN"/>
                    </w:rPr>
                    <w:t>不新增占地</w:t>
                  </w:r>
                  <w:r>
                    <w:rPr>
                      <w:rFonts w:eastAsia="宋体" w:cs="Times New Roman"/>
                      <w:color w:val="FF0000"/>
                      <w:kern w:val="0"/>
                      <w:sz w:val="21"/>
                      <w:szCs w:val="21"/>
                    </w:rPr>
                    <w:t>，本项目厂区土地性质为</w:t>
                  </w:r>
                  <w:r>
                    <w:rPr>
                      <w:rFonts w:hint="eastAsia" w:eastAsia="宋体" w:cs="Times New Roman"/>
                      <w:color w:val="FF0000"/>
                      <w:kern w:val="0"/>
                      <w:sz w:val="21"/>
                      <w:szCs w:val="21"/>
                    </w:rPr>
                    <w:t>工业用地</w:t>
                  </w:r>
                  <w:r>
                    <w:rPr>
                      <w:rFonts w:eastAsia="宋体" w:cs="Times New Roman"/>
                      <w:color w:val="FF0000"/>
                      <w:kern w:val="0"/>
                      <w:sz w:val="21"/>
                      <w:szCs w:val="21"/>
                    </w:rPr>
                    <w:t>，符合</w:t>
                  </w:r>
                  <w:r>
                    <w:rPr>
                      <w:rFonts w:hint="eastAsia" w:cs="Times New Roman"/>
                      <w:color w:val="FF0000"/>
                      <w:kern w:val="0"/>
                      <w:sz w:val="21"/>
                      <w:szCs w:val="21"/>
                      <w:lang w:eastAsia="zh-CN"/>
                    </w:rPr>
                    <w:t>乌拉特前旗</w:t>
                  </w:r>
                  <w:r>
                    <w:rPr>
                      <w:rFonts w:eastAsia="宋体" w:cs="Times New Roman"/>
                      <w:color w:val="FF0000"/>
                      <w:kern w:val="0"/>
                      <w:sz w:val="21"/>
                      <w:szCs w:val="21"/>
                    </w:rPr>
                    <w:t>用地规划。</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eastAsia="宋体" w:cs="Times New Roman"/>
                      <w:color w:val="FF0000"/>
                      <w:kern w:val="0"/>
                      <w:sz w:val="21"/>
                      <w:szCs w:val="21"/>
                    </w:rPr>
                    <w:t>5、</w:t>
                  </w:r>
                  <w:r>
                    <w:rPr>
                      <w:rFonts w:hint="eastAsia" w:cs="Times New Roman"/>
                      <w:color w:val="FF0000"/>
                      <w:kern w:val="0"/>
                      <w:sz w:val="21"/>
                      <w:szCs w:val="21"/>
                      <w:lang w:eastAsia="zh-CN"/>
                    </w:rPr>
                    <w:t>大中矿业</w:t>
                  </w:r>
                  <w:r>
                    <w:rPr>
                      <w:rFonts w:eastAsia="宋体" w:cs="Times New Roman"/>
                      <w:color w:val="FF0000"/>
                      <w:kern w:val="0"/>
                      <w:sz w:val="21"/>
                      <w:szCs w:val="21"/>
                    </w:rPr>
                    <w:t>属于矿山企业</w:t>
                  </w:r>
                  <w:r>
                    <w:rPr>
                      <w:rFonts w:hint="eastAsia" w:cs="Times New Roman"/>
                      <w:color w:val="FF0000"/>
                      <w:kern w:val="0"/>
                      <w:sz w:val="21"/>
                      <w:szCs w:val="21"/>
                      <w:lang w:eastAsia="zh-CN"/>
                    </w:rPr>
                    <w:t>且矿山的建设要求已达到绿色矿山标准，</w:t>
                  </w:r>
                  <w:r>
                    <w:rPr>
                      <w:rFonts w:hint="eastAsia" w:cs="Times New Roman"/>
                      <w:color w:val="FF0000"/>
                      <w:kern w:val="0"/>
                      <w:sz w:val="21"/>
                      <w:szCs w:val="21"/>
                      <w:highlight w:val="none"/>
                      <w:lang w:val="en-US" w:eastAsia="zh-CN"/>
                    </w:rPr>
                    <w:t>本次技改项目主要为大中</w:t>
                  </w:r>
                  <w:bookmarkStart w:id="3" w:name="_GoBack"/>
                  <w:bookmarkEnd w:id="3"/>
                  <w:r>
                    <w:rPr>
                      <w:rFonts w:hint="eastAsia" w:cs="Times New Roman"/>
                      <w:color w:val="FF0000"/>
                      <w:kern w:val="0"/>
                      <w:sz w:val="21"/>
                      <w:szCs w:val="21"/>
                      <w:highlight w:val="none"/>
                      <w:lang w:val="en-US" w:eastAsia="zh-CN"/>
                    </w:rPr>
                    <w:t>矿业配套设施锅炉的改造，不涉及大中矿业矿山内容。</w:t>
                  </w:r>
                </w:p>
                <w:p>
                  <w:pPr>
                    <w:widowControl/>
                    <w:spacing w:line="360" w:lineRule="auto"/>
                    <w:ind w:firstLine="420"/>
                    <w:rPr>
                      <w:rFonts w:eastAsia="宋体" w:cs="Times New Roman"/>
                      <w:color w:val="FF0000"/>
                      <w:kern w:val="0"/>
                      <w:sz w:val="21"/>
                      <w:szCs w:val="21"/>
                    </w:rPr>
                  </w:pPr>
                  <w:r>
                    <w:rPr>
                      <w:rFonts w:eastAsia="宋体" w:cs="Times New Roman"/>
                      <w:color w:val="FF0000"/>
                      <w:kern w:val="0"/>
                      <w:sz w:val="21"/>
                      <w:szCs w:val="21"/>
                    </w:rPr>
                    <w:t>6、本项目符合国家产业政策，不违反产业准入负面清单要求。</w:t>
                  </w:r>
                  <w:r>
                    <w:rPr>
                      <w:rFonts w:hint="eastAsia" w:cs="Times New Roman"/>
                      <w:color w:val="FF0000"/>
                      <w:kern w:val="0"/>
                      <w:sz w:val="21"/>
                      <w:szCs w:val="21"/>
                      <w:lang w:eastAsia="zh-CN"/>
                    </w:rPr>
                    <w:t>技改</w:t>
                  </w:r>
                  <w:r>
                    <w:rPr>
                      <w:rFonts w:eastAsia="宋体" w:cs="Times New Roman"/>
                      <w:color w:val="FF0000"/>
                      <w:kern w:val="0"/>
                      <w:sz w:val="21"/>
                      <w:szCs w:val="21"/>
                    </w:rPr>
                    <w:t>项目</w:t>
                  </w:r>
                  <w:r>
                    <w:rPr>
                      <w:rFonts w:hint="eastAsia" w:cs="Times New Roman"/>
                      <w:color w:val="FF0000"/>
                      <w:kern w:val="0"/>
                      <w:sz w:val="21"/>
                      <w:szCs w:val="21"/>
                      <w:lang w:eastAsia="zh-CN"/>
                    </w:rPr>
                    <w:t>为锅炉改造项目，</w:t>
                  </w:r>
                  <w:r>
                    <w:rPr>
                      <w:rFonts w:eastAsia="宋体" w:cs="Times New Roman"/>
                      <w:color w:val="FF0000"/>
                      <w:kern w:val="0"/>
                      <w:sz w:val="21"/>
                      <w:szCs w:val="21"/>
                    </w:rPr>
                    <w:t>不属于矿产资源开采加工、火电、化工、冶金、有色等重大项目。</w:t>
                  </w:r>
                </w:p>
                <w:p>
                  <w:pPr>
                    <w:widowControl/>
                    <w:spacing w:line="360" w:lineRule="auto"/>
                    <w:ind w:firstLine="420"/>
                    <w:rPr>
                      <w:rFonts w:eastAsia="宋体" w:cs="Times New Roman"/>
                      <w:color w:val="FF0000"/>
                      <w:kern w:val="0"/>
                      <w:sz w:val="21"/>
                      <w:szCs w:val="21"/>
                    </w:rPr>
                  </w:pPr>
                  <w:r>
                    <w:rPr>
                      <w:rFonts w:eastAsia="宋体" w:cs="Times New Roman"/>
                      <w:color w:val="FF0000"/>
                      <w:kern w:val="0"/>
                      <w:sz w:val="21"/>
                      <w:szCs w:val="21"/>
                    </w:rPr>
                    <w:t>7、本项目不属于畜禽养殖业。</w:t>
                  </w:r>
                </w:p>
                <w:p>
                  <w:pPr>
                    <w:widowControl/>
                    <w:spacing w:line="360" w:lineRule="auto"/>
                    <w:ind w:firstLine="420"/>
                    <w:rPr>
                      <w:rFonts w:eastAsia="宋体" w:cs="Times New Roman"/>
                      <w:color w:val="FF0000"/>
                      <w:kern w:val="0"/>
                      <w:sz w:val="21"/>
                      <w:szCs w:val="21"/>
                    </w:rPr>
                  </w:pPr>
                  <w:r>
                    <w:rPr>
                      <w:rFonts w:eastAsia="宋体" w:cs="Times New Roman"/>
                      <w:color w:val="FF0000"/>
                      <w:kern w:val="0"/>
                      <w:sz w:val="21"/>
                      <w:szCs w:val="21"/>
                    </w:rPr>
                    <w:t>8、根据《建设项目环境影响评价分类管理名录（2021年版）》，本项目应编制环境影响报告表，根据预测，本项目各污染物均可达标排放。</w:t>
                  </w:r>
                </w:p>
              </w:tc>
              <w:tc>
                <w:tcPr>
                  <w:tcW w:w="622" w:type="dxa"/>
                  <w:tcBorders>
                    <w:tl2br w:val="nil"/>
                    <w:tr2bl w:val="nil"/>
                  </w:tcBorders>
                  <w:noWrap/>
                  <w:vAlign w:val="center"/>
                </w:tcPr>
                <w:p>
                  <w:pPr>
                    <w:widowControl/>
                    <w:ind w:firstLine="0" w:firstLineChars="0"/>
                    <w:jc w:val="center"/>
                    <w:rPr>
                      <w:rFonts w:eastAsia="宋体" w:cs="Times New Roman"/>
                      <w:color w:val="FF0000"/>
                      <w:kern w:val="0"/>
                      <w:sz w:val="21"/>
                      <w:szCs w:val="21"/>
                    </w:rPr>
                  </w:pPr>
                </w:p>
              </w:tc>
            </w:tr>
          </w:tbl>
          <w:p>
            <w:pPr>
              <w:keepNext w:val="0"/>
              <w:keepLines w:val="0"/>
              <w:pageBreakBefore w:val="0"/>
              <w:widowControl w:val="0"/>
              <w:suppressLineNumbers w:val="0"/>
              <w:shd w:val="clear"/>
              <w:tabs>
                <w:tab w:val="left" w:pos="4252"/>
                <w:tab w:val="left" w:pos="6271"/>
              </w:tabs>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表</w:t>
            </w:r>
            <w:r>
              <w:rPr>
                <w:rFonts w:hint="eastAsia" w:cs="Times New Roman"/>
                <w:b/>
                <w:bCs/>
                <w:color w:val="FF0000"/>
                <w:sz w:val="24"/>
                <w:szCs w:val="24"/>
                <w:highlight w:val="none"/>
                <w:lang w:val="en-US" w:eastAsia="zh-CN"/>
              </w:rPr>
              <w:t xml:space="preserve">2  </w:t>
            </w:r>
            <w:r>
              <w:rPr>
                <w:rFonts w:hint="default" w:ascii="Times New Roman" w:hAnsi="Times New Roman" w:eastAsia="宋体" w:cs="Times New Roman"/>
                <w:b/>
                <w:bCs/>
                <w:color w:val="FF0000"/>
                <w:sz w:val="24"/>
                <w:szCs w:val="24"/>
                <w:highlight w:val="none"/>
              </w:rPr>
              <w:t>巴彦淖尔市生态环境准入清单符合性分析表</w:t>
            </w:r>
          </w:p>
          <w:tbl>
            <w:tblPr>
              <w:tblStyle w:val="17"/>
              <w:tblW w:w="753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0"/>
              <w:gridCol w:w="705"/>
              <w:gridCol w:w="3201"/>
              <w:gridCol w:w="2343"/>
              <w:gridCol w:w="65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33" w:hRule="atLeast"/>
                <w:jc w:val="center"/>
              </w:trPr>
              <w:tc>
                <w:tcPr>
                  <w:tcW w:w="640"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b/>
                      <w:bCs/>
                      <w:color w:val="FF0000"/>
                      <w:sz w:val="21"/>
                      <w:szCs w:val="21"/>
                      <w:highlight w:val="none"/>
                    </w:rPr>
                    <w:t>环境管控单元名称</w:t>
                  </w:r>
                </w:p>
              </w:tc>
              <w:tc>
                <w:tcPr>
                  <w:tcW w:w="3906" w:type="dxa"/>
                  <w:gridSpan w:val="2"/>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b/>
                      <w:bCs/>
                      <w:color w:val="FF0000"/>
                      <w:sz w:val="21"/>
                      <w:szCs w:val="21"/>
                      <w:highlight w:val="none"/>
                    </w:rPr>
                    <w:t>管控要求</w:t>
                  </w:r>
                </w:p>
              </w:tc>
              <w:tc>
                <w:tcPr>
                  <w:tcW w:w="2343"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b/>
                      <w:bCs/>
                      <w:color w:val="FF0000"/>
                      <w:sz w:val="21"/>
                      <w:szCs w:val="21"/>
                      <w:highlight w:val="none"/>
                    </w:rPr>
                    <w:t>本项目落实情况</w:t>
                  </w:r>
                </w:p>
              </w:tc>
              <w:tc>
                <w:tcPr>
                  <w:tcW w:w="650"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b/>
                      <w:bCs/>
                      <w:color w:val="FF0000"/>
                      <w:sz w:val="21"/>
                      <w:szCs w:val="21"/>
                      <w:highlight w:val="none"/>
                    </w:rPr>
                    <w:t>符合性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8" w:hRule="atLeast"/>
                <w:jc w:val="center"/>
              </w:trPr>
              <w:tc>
                <w:tcPr>
                  <w:tcW w:w="640" w:type="dxa"/>
                  <w:vMerge w:val="restart"/>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小佘太</w:t>
                  </w:r>
                  <w:r>
                    <w:rPr>
                      <w:rFonts w:hint="eastAsia" w:cs="Times New Roman"/>
                      <w:color w:val="FF0000"/>
                      <w:kern w:val="0"/>
                      <w:sz w:val="21"/>
                      <w:szCs w:val="21"/>
                      <w:highlight w:val="none"/>
                      <w:lang w:val="en-US" w:eastAsia="zh-CN"/>
                    </w:rPr>
                    <w:t>镇</w:t>
                  </w:r>
                  <w:r>
                    <w:rPr>
                      <w:rFonts w:hint="eastAsia" w:cs="Times New Roman"/>
                      <w:color w:val="FF0000"/>
                      <w:sz w:val="21"/>
                      <w:szCs w:val="21"/>
                      <w:highlight w:val="none"/>
                      <w:lang w:val="en-US" w:eastAsia="zh-CN"/>
                    </w:rPr>
                    <w:t>采矿用地（单元编码：ZH15082320015）</w:t>
                  </w:r>
                </w:p>
              </w:tc>
              <w:tc>
                <w:tcPr>
                  <w:tcW w:w="705"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空间布局约束</w:t>
                  </w:r>
                </w:p>
              </w:tc>
              <w:tc>
                <w:tcPr>
                  <w:tcW w:w="32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hint="eastAsia" w:cs="Times New Roman"/>
                      <w:color w:val="FF0000"/>
                      <w:kern w:val="0"/>
                      <w:sz w:val="21"/>
                      <w:szCs w:val="21"/>
                      <w:highlight w:val="none"/>
                      <w:lang w:val="en-US" w:eastAsia="zh-CN"/>
                    </w:rPr>
                    <w:t>1、</w:t>
                  </w:r>
                  <w:r>
                    <w:rPr>
                      <w:rFonts w:hint="default" w:ascii="Times New Roman" w:hAnsi="Times New Roman" w:eastAsia="宋体" w:cs="Times New Roman"/>
                      <w:color w:val="FF0000"/>
                      <w:kern w:val="0"/>
                      <w:sz w:val="21"/>
                      <w:szCs w:val="21"/>
                      <w:highlight w:val="none"/>
                      <w:lang w:val="en-US" w:eastAsia="zh-CN"/>
                    </w:rPr>
                    <w:t>非经国务院授权的有关主管部门同意，不得在以下地区开采矿产资源</w:t>
                  </w:r>
                  <w:r>
                    <w:rPr>
                      <w:rFonts w:hint="eastAsia" w:cs="Times New Roman"/>
                      <w:color w:val="FF0000"/>
                      <w:kern w:val="0"/>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(1)港口、机场、国防工程建设设施圈定地区以内</w:t>
                  </w:r>
                  <w:r>
                    <w:rPr>
                      <w:rFonts w:hint="eastAsia" w:cs="Times New Roman"/>
                      <w:color w:val="FF0000"/>
                      <w:kern w:val="0"/>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eastAsia"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(2) 重要工业区、大型水利工程设施、城镇市政工程设施附近一定距离以内;</w:t>
                  </w:r>
                  <w:r>
                    <w:rPr>
                      <w:rFonts w:hint="eastAsia" w:cs="Times New Roman"/>
                      <w:color w:val="FF0000"/>
                      <w:kern w:val="0"/>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eastAsia"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(3) 铁路、重要公路两侧</w:t>
                  </w:r>
                  <w:r>
                    <w:rPr>
                      <w:rFonts w:hint="eastAsia" w:cs="Times New Roman"/>
                      <w:color w:val="FF0000"/>
                      <w:kern w:val="0"/>
                      <w:sz w:val="21"/>
                      <w:szCs w:val="21"/>
                      <w:highlight w:val="none"/>
                      <w:lang w:val="en-US" w:eastAsia="zh-CN"/>
                    </w:rPr>
                    <w:t>一</w:t>
                  </w:r>
                  <w:r>
                    <w:rPr>
                      <w:rFonts w:hint="default" w:ascii="Times New Roman" w:hAnsi="Times New Roman" w:eastAsia="宋体" w:cs="Times New Roman"/>
                      <w:color w:val="FF0000"/>
                      <w:kern w:val="0"/>
                      <w:sz w:val="21"/>
                      <w:szCs w:val="21"/>
                      <w:highlight w:val="none"/>
                      <w:lang w:val="en-US" w:eastAsia="zh-CN"/>
                    </w:rPr>
                    <w:t>定距离以内</w:t>
                  </w:r>
                  <w:r>
                    <w:rPr>
                      <w:rFonts w:hint="eastAsia" w:cs="Times New Roman"/>
                      <w:color w:val="FF0000"/>
                      <w:kern w:val="0"/>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eastAsia"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(4) 重要河流、堤坝两侧</w:t>
                  </w:r>
                  <w:r>
                    <w:rPr>
                      <w:rFonts w:hint="eastAsia" w:cs="Times New Roman"/>
                      <w:color w:val="FF0000"/>
                      <w:kern w:val="0"/>
                      <w:sz w:val="21"/>
                      <w:szCs w:val="21"/>
                      <w:highlight w:val="none"/>
                      <w:lang w:val="en-US" w:eastAsia="zh-CN"/>
                    </w:rPr>
                    <w:t>一</w:t>
                  </w:r>
                  <w:r>
                    <w:rPr>
                      <w:rFonts w:hint="default" w:ascii="Times New Roman" w:hAnsi="Times New Roman" w:eastAsia="宋体" w:cs="Times New Roman"/>
                      <w:color w:val="FF0000"/>
                      <w:kern w:val="0"/>
                      <w:sz w:val="21"/>
                      <w:szCs w:val="21"/>
                      <w:highlight w:val="none"/>
                      <w:lang w:val="en-US" w:eastAsia="zh-CN"/>
                    </w:rPr>
                    <w:t>定距离以内</w:t>
                  </w:r>
                  <w:r>
                    <w:rPr>
                      <w:rFonts w:hint="eastAsia" w:cs="Times New Roman"/>
                      <w:color w:val="FF0000"/>
                      <w:kern w:val="0"/>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eastAsia"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(5) 国家划定的自然保护区、重要风景名胜区，国家重点保护的不能移动的历史文物和名胜古迹所在地</w:t>
                  </w:r>
                  <w:r>
                    <w:rPr>
                      <w:rFonts w:hint="eastAsia" w:cs="Times New Roman"/>
                      <w:color w:val="FF0000"/>
                      <w:kern w:val="0"/>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 xml:space="preserve"> (6) 国家规定不得开采矿产资源的其他地区。</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2、矿产资源开发布局应符合矿产资源总体规划要求。严格限制矿产资源开发项目，确需开采的矿产资源及必须就地开展矿产加工的新建、改建、扩建项目，应严格控制区域开发规模。实行绿色矿山名录管理制度，新建矿山全部达到绿色矿山要求，到2025年，已建矿山要达到绿色矿山建设标准，不符合绿色矿山建设标准要求的生产矿山要限期退出。</w:t>
                  </w:r>
                </w:p>
              </w:tc>
              <w:tc>
                <w:tcPr>
                  <w:tcW w:w="23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1、</w:t>
                  </w:r>
                  <w:r>
                    <w:rPr>
                      <w:rFonts w:hint="eastAsia" w:cs="Times New Roman"/>
                      <w:color w:val="FF0000"/>
                      <w:kern w:val="0"/>
                      <w:sz w:val="21"/>
                      <w:szCs w:val="21"/>
                      <w:highlight w:val="none"/>
                      <w:lang w:val="en-US" w:eastAsia="zh-CN"/>
                    </w:rPr>
                    <w:t>大中矿业采矿用地位于内蒙古巴彦淖尔市乌拉特前旗小佘太镇，已取得相关部门颁发的采矿许可证，符合小佘太镇采矿用地管控单元要求。本次技改项目主要为大中矿业配套设施锅炉的改造，不涉及大中矿业矿山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2、</w:t>
                  </w:r>
                  <w:r>
                    <w:rPr>
                      <w:rFonts w:hint="eastAsia" w:cs="Times New Roman"/>
                      <w:color w:val="FF0000"/>
                      <w:kern w:val="0"/>
                      <w:sz w:val="21"/>
                      <w:szCs w:val="21"/>
                      <w:highlight w:val="none"/>
                      <w:lang w:val="en-US" w:eastAsia="zh-CN"/>
                    </w:rPr>
                    <w:t>大中矿业配套建设了选矿厂，即采即选，已按照相关要求，使矿山的建设达到绿色矿山要求，</w:t>
                  </w:r>
                  <w:r>
                    <w:rPr>
                      <w:rFonts w:hint="eastAsia" w:cs="Times New Roman"/>
                      <w:color w:val="FF0000"/>
                      <w:kern w:val="0"/>
                      <w:sz w:val="21"/>
                      <w:szCs w:val="21"/>
                      <w:highlight w:val="none"/>
                      <w:lang w:val="en-US" w:eastAsia="zh-CN"/>
                    </w:rPr>
                    <w:t>符合小佘太镇采矿用地管控单元要求。本次技改项目主要为大中矿业配套设施锅炉的改造，不涉及大中矿业矿山内容。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vertAlign w:val="baseline"/>
                      <w:lang w:val="en-US" w:eastAsia="zh-CN" w:bidi="ar"/>
                    </w:rPr>
                  </w:pPr>
                </w:p>
              </w:tc>
              <w:tc>
                <w:tcPr>
                  <w:tcW w:w="650"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762" w:hRule="atLeast"/>
                <w:jc w:val="center"/>
              </w:trPr>
              <w:tc>
                <w:tcPr>
                  <w:tcW w:w="640" w:type="dxa"/>
                  <w:vMerge w:val="continue"/>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FF0000"/>
                      <w:sz w:val="21"/>
                      <w:szCs w:val="21"/>
                      <w:highlight w:val="none"/>
                    </w:rPr>
                  </w:pPr>
                </w:p>
              </w:tc>
              <w:tc>
                <w:tcPr>
                  <w:tcW w:w="705"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污染物排放管控</w:t>
                  </w:r>
                </w:p>
              </w:tc>
              <w:tc>
                <w:tcPr>
                  <w:tcW w:w="32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1、矿产资源勘查以及采选过程中排土场、露天采场、尾矿库、矿区专用道路、矿山工业场地、沉陷区、矸石场、矿山污染场地等的生态环境保护与治理恢复工作须满足《矿山生态环境保护与治理恢复技术规范(试行)》(HJ651-2013) 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2、落实边开采、边治理要求，要求新建、在建矿山损毁土地严格按照《矿山地质环境保护与土地复垦方案》做到应治尽治。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3、禁止采用污染和破坏矿山环境的方法开采矿产资源。矿山“三废”得到有效处理，污染物排放达标。矿山服务到期闭坑前，要按方案要求对矿区内破坏单元进行相应治理，加强矿山环境监测。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4、新建排放重金属污染物的重点行业建设项目全面执行重点重金属污染物特别排放限值。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5、全市重点行业重点重金属污染物实行排放总量控制制度，新建、改建、扩建涉重金属重点行业建设项目必须遵循重点重金属污染物排放“减量置换”或“等量替换”的原则，严格把重金属污染物排放总量指标作为排放重金属污染物建设项目环境影响评价审批的前置条件，无明确具体总量来源的，不得批准相关环境影响评价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6、重点重金属污染物包括铅、汞、镉、铬和类金属砷。</w:t>
                  </w:r>
                </w:p>
              </w:tc>
              <w:tc>
                <w:tcPr>
                  <w:tcW w:w="23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1、</w:t>
                  </w:r>
                  <w:r>
                    <w:rPr>
                      <w:rFonts w:hint="eastAsia" w:cs="Times New Roman"/>
                      <w:color w:val="FF0000"/>
                      <w:kern w:val="0"/>
                      <w:sz w:val="21"/>
                      <w:szCs w:val="21"/>
                      <w:highlight w:val="none"/>
                      <w:lang w:val="en-US" w:eastAsia="zh-CN"/>
                    </w:rPr>
                    <w:t>大中矿业建设的排土场、采场、尾矿库和矿区专用道路的生态环境保护与治理工作可以满足</w:t>
                  </w:r>
                  <w:r>
                    <w:rPr>
                      <w:rFonts w:hint="default" w:ascii="Times New Roman" w:hAnsi="Times New Roman" w:eastAsia="宋体" w:cs="Times New Roman"/>
                      <w:color w:val="FF0000"/>
                      <w:kern w:val="0"/>
                      <w:sz w:val="21"/>
                      <w:szCs w:val="21"/>
                      <w:highlight w:val="none"/>
                      <w:lang w:val="en-US" w:eastAsia="zh-CN"/>
                    </w:rPr>
                    <w:t>《矿山生态环境保护与治理恢复技术规范(试行)》(HJ651-2013) 要求</w:t>
                  </w:r>
                  <w:r>
                    <w:rPr>
                      <w:rFonts w:hint="eastAsia" w:cs="Times New Roman"/>
                      <w:color w:val="FF0000"/>
                      <w:kern w:val="0"/>
                      <w:sz w:val="21"/>
                      <w:szCs w:val="21"/>
                      <w:highlight w:val="none"/>
                      <w:lang w:val="en-US" w:eastAsia="zh-CN"/>
                    </w:rPr>
                    <w:t>；</w:t>
                  </w:r>
                  <w:r>
                    <w:rPr>
                      <w:rFonts w:hint="eastAsia" w:cs="Times New Roman"/>
                      <w:color w:val="FF0000"/>
                      <w:kern w:val="0"/>
                      <w:sz w:val="21"/>
                      <w:szCs w:val="21"/>
                      <w:highlight w:val="none"/>
                      <w:lang w:val="en-US" w:eastAsia="zh-CN"/>
                    </w:rPr>
                    <w:t>符合小佘太镇采矿用地管控单元要求。本次技改项目主要为大中矿业配套设施锅炉的改造，不涉及大中矿业矿山内容。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2、</w:t>
                  </w:r>
                  <w:r>
                    <w:rPr>
                      <w:rFonts w:hint="eastAsia" w:cs="Times New Roman"/>
                      <w:color w:val="FF0000"/>
                      <w:kern w:val="0"/>
                      <w:sz w:val="21"/>
                      <w:szCs w:val="21"/>
                      <w:highlight w:val="none"/>
                      <w:lang w:val="en-US" w:eastAsia="zh-CN"/>
                    </w:rPr>
                    <w:t>大中矿业已落实边开采、边治理的要求；</w:t>
                  </w:r>
                  <w:r>
                    <w:rPr>
                      <w:rFonts w:hint="eastAsia" w:cs="Times New Roman"/>
                      <w:color w:val="FF0000"/>
                      <w:kern w:val="0"/>
                      <w:sz w:val="21"/>
                      <w:szCs w:val="21"/>
                      <w:highlight w:val="none"/>
                      <w:lang w:val="en-US" w:eastAsia="zh-CN"/>
                    </w:rPr>
                    <w:t>符合小佘太镇采矿用地管控单元要求。本次技改项目主要为大中矿业配套设施锅炉的改造，不涉及大中矿业矿山内容。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vertAlign w:val="baseline"/>
                      <w:lang w:val="en-US" w:eastAsia="zh-CN" w:bidi="ar"/>
                    </w:rPr>
                  </w:pPr>
                  <w:r>
                    <w:rPr>
                      <w:rFonts w:hint="default" w:ascii="Times New Roman" w:hAnsi="Times New Roman" w:eastAsia="宋体" w:cs="Times New Roman"/>
                      <w:color w:val="FF0000"/>
                      <w:kern w:val="0"/>
                      <w:sz w:val="21"/>
                      <w:szCs w:val="21"/>
                      <w:highlight w:val="none"/>
                      <w:lang w:val="en-US" w:eastAsia="zh-CN"/>
                    </w:rPr>
                    <w:t>3、</w:t>
                  </w:r>
                  <w:r>
                    <w:rPr>
                      <w:rFonts w:hint="eastAsia" w:cs="Times New Roman"/>
                      <w:color w:val="FF0000"/>
                      <w:kern w:val="0"/>
                      <w:sz w:val="21"/>
                      <w:szCs w:val="21"/>
                      <w:highlight w:val="none"/>
                      <w:lang w:val="en-US" w:eastAsia="zh-CN"/>
                    </w:rPr>
                    <w:t>大中矿业建设项目不涉及重点金属污染物的排放，</w:t>
                  </w:r>
                  <w:r>
                    <w:rPr>
                      <w:rFonts w:hint="eastAsia" w:cs="Times New Roman"/>
                      <w:color w:val="FF0000"/>
                      <w:kern w:val="0"/>
                      <w:sz w:val="21"/>
                      <w:szCs w:val="21"/>
                      <w:highlight w:val="none"/>
                      <w:lang w:val="en-US" w:eastAsia="zh-CN"/>
                    </w:rPr>
                    <w:t>符合小佘太镇采矿用地管控单元要求。本次技改项目主要为大中矿业配套设施锅炉的改造，不涉及大中矿业矿山内容。</w:t>
                  </w:r>
                </w:p>
              </w:tc>
              <w:tc>
                <w:tcPr>
                  <w:tcW w:w="650"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92" w:hRule="atLeast"/>
                <w:jc w:val="center"/>
              </w:trPr>
              <w:tc>
                <w:tcPr>
                  <w:tcW w:w="640" w:type="dxa"/>
                  <w:vMerge w:val="continue"/>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FF0000"/>
                      <w:sz w:val="21"/>
                      <w:szCs w:val="21"/>
                      <w:highlight w:val="none"/>
                    </w:rPr>
                  </w:pPr>
                </w:p>
              </w:tc>
              <w:tc>
                <w:tcPr>
                  <w:tcW w:w="705"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环境风险防控</w:t>
                  </w:r>
                </w:p>
              </w:tc>
              <w:tc>
                <w:tcPr>
                  <w:tcW w:w="320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1、制定环境风险应急预案，成立应急组织机构，配备必要的应急设施和应急物资，定期开展环境风险应急演练。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2、全面整治历史遗留尾矿库，完善覆膜、压土、排洪、堤坝加固等隐患治理和闭库措施。有重点监管尾矿库的企业要开展环境风险评估，完善污染治理设施，储备应急物资。加强对矿产资源开发利用活动的辐射安全监管,有关企业每年要对本矿区土壤进行辐射环境监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3、禁止在行洪的河床、滩地和岸坡堆放贮存矿石、废碴或者尾矿，防止造成行洪不畅或者堤岸破坏。边坡的开挖和矿石、废碴的堆放，应当符合边坡稳定的要求。禁止开采或者毁坏预留安全矿柱或者岩柱，防止造成滑坡、崩塌、泥石流以及地面开裂、塌陷、沉降等地质灾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FF0000"/>
                      <w:kern w:val="0"/>
                      <w:sz w:val="21"/>
                      <w:szCs w:val="21"/>
                      <w:highlight w:val="none"/>
                      <w:lang w:val="en-US" w:eastAsia="zh-CN"/>
                    </w:rPr>
                  </w:pPr>
                </w:p>
              </w:tc>
              <w:tc>
                <w:tcPr>
                  <w:tcW w:w="23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vertAlign w:val="baseline"/>
                      <w:lang w:val="en-US" w:eastAsia="zh-CN" w:bidi="ar"/>
                    </w:rPr>
                  </w:pPr>
                  <w:r>
                    <w:rPr>
                      <w:rFonts w:hint="eastAsia" w:cs="Times New Roman"/>
                      <w:color w:val="FF0000"/>
                      <w:kern w:val="0"/>
                      <w:sz w:val="21"/>
                      <w:szCs w:val="21"/>
                      <w:highlight w:val="none"/>
                      <w:lang w:val="en-US" w:eastAsia="zh-CN"/>
                    </w:rPr>
                    <w:t>大中矿业已按照相关规定指定了环境风险应急预案，成了应急组织机构，</w:t>
                  </w:r>
                  <w:r>
                    <w:rPr>
                      <w:rFonts w:hint="default" w:ascii="Times New Roman" w:hAnsi="Times New Roman" w:eastAsia="宋体" w:cs="Times New Roman"/>
                      <w:color w:val="FF0000"/>
                      <w:kern w:val="0"/>
                      <w:sz w:val="21"/>
                      <w:szCs w:val="21"/>
                      <w:highlight w:val="none"/>
                      <w:lang w:val="en-US" w:eastAsia="zh-CN"/>
                    </w:rPr>
                    <w:t>配备</w:t>
                  </w:r>
                  <w:r>
                    <w:rPr>
                      <w:rFonts w:hint="eastAsia" w:cs="Times New Roman"/>
                      <w:color w:val="FF0000"/>
                      <w:kern w:val="0"/>
                      <w:sz w:val="21"/>
                      <w:szCs w:val="21"/>
                      <w:highlight w:val="none"/>
                      <w:lang w:val="en-US" w:eastAsia="zh-CN"/>
                    </w:rPr>
                    <w:t>了</w:t>
                  </w:r>
                  <w:r>
                    <w:rPr>
                      <w:rFonts w:hint="default" w:ascii="Times New Roman" w:hAnsi="Times New Roman" w:eastAsia="宋体" w:cs="Times New Roman"/>
                      <w:color w:val="FF0000"/>
                      <w:kern w:val="0"/>
                      <w:sz w:val="21"/>
                      <w:szCs w:val="21"/>
                      <w:highlight w:val="none"/>
                      <w:lang w:val="en-US" w:eastAsia="zh-CN"/>
                    </w:rPr>
                    <w:t>必要的应急设施和应急物资，定期开展环境风险应急演练。</w:t>
                  </w:r>
                  <w:r>
                    <w:rPr>
                      <w:rFonts w:hint="eastAsia" w:cs="Times New Roman"/>
                      <w:color w:val="FF0000"/>
                      <w:kern w:val="0"/>
                      <w:sz w:val="21"/>
                      <w:szCs w:val="21"/>
                      <w:highlight w:val="none"/>
                      <w:lang w:val="en-US" w:eastAsia="zh-CN"/>
                    </w:rPr>
                    <w:t>符合小佘太镇采矿用地管控单元要求。本次技改项目主要为大中矿业配套设施锅炉的改造，不涉及大中矿业矿山内容。</w:t>
                  </w:r>
                </w:p>
              </w:tc>
              <w:tc>
                <w:tcPr>
                  <w:tcW w:w="650"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40" w:type="dxa"/>
                  <w:vMerge w:val="continue"/>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FF0000"/>
                      <w:sz w:val="21"/>
                      <w:szCs w:val="21"/>
                      <w:highlight w:val="none"/>
                    </w:rPr>
                  </w:pPr>
                </w:p>
              </w:tc>
              <w:tc>
                <w:tcPr>
                  <w:tcW w:w="705"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资源</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利用</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效率</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lang w:val="en-US" w:eastAsia="zh-CN"/>
                    </w:rPr>
                    <w:t>要求</w:t>
                  </w:r>
                </w:p>
              </w:tc>
              <w:tc>
                <w:tcPr>
                  <w:tcW w:w="32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1、矿山“三率”水平达到国内同行业先进水平，矿山“三率”水平达标率达85%以上，尾矿排放重金属残留水平进一步降低。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2、禁止新建对生态环境产生不可恢复利用的、产生破坏性影响的矿产资源开发项目。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3、严控地下水超采。禁止私自开采地下水。新建、改建、扩建的高耗水工业项目，禁止擅自使用地下水。食品、制药等项目取用地下水，须经有管理权限的水行政主管部门批准。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4、提高工业企业用水用能效率。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5、矿山企业要严格落实矿产资源开发利用方案、环境影响评价文件，水土保持方案、矿山地质环境保护与土地复垦方案等要求，提高资源利用效率水平。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6、新建有色金属、非金属矿采选业项目生产工艺应达到国内先进水平，清洁生产水平应达到《清洁生产审核办法》规定范围之内，水耗控制在《内蒙古自治区地方标准行业用水定额》(DB 15/T385-2020)规定范围之内，现有企业3年内生产工艺应进行改造升级，清洁生产必须按照《清洁生产审核办法》进行审核，水耗控制在《内蒙古自治区地方标准行业用水定额》(DB15/T385-2020) 规定范围之内。</w:t>
                  </w:r>
                </w:p>
              </w:tc>
              <w:tc>
                <w:tcPr>
                  <w:tcW w:w="234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1、</w:t>
                  </w:r>
                  <w:r>
                    <w:rPr>
                      <w:rFonts w:hint="eastAsia" w:ascii="Times New Roman" w:hAnsi="Times New Roman" w:eastAsia="宋体" w:cs="Times New Roman"/>
                      <w:color w:val="FF0000"/>
                      <w:kern w:val="0"/>
                      <w:sz w:val="21"/>
                      <w:szCs w:val="21"/>
                      <w:highlight w:val="none"/>
                      <w:lang w:val="en-US" w:eastAsia="zh-CN"/>
                    </w:rPr>
                    <w:t>大中矿业在2020年1月，被评为国家级绿色矿山，</w:t>
                  </w:r>
                  <w:r>
                    <w:rPr>
                      <w:rFonts w:hint="default" w:ascii="Times New Roman" w:hAnsi="Times New Roman" w:eastAsia="宋体" w:cs="Times New Roman"/>
                      <w:color w:val="FF0000"/>
                      <w:kern w:val="0"/>
                      <w:sz w:val="21"/>
                      <w:szCs w:val="21"/>
                      <w:highlight w:val="none"/>
                      <w:lang w:val="en-US" w:eastAsia="zh-CN"/>
                    </w:rPr>
                    <w:t>“三率”水平达标率达 85%以上</w:t>
                  </w:r>
                  <w:r>
                    <w:rPr>
                      <w:rFonts w:hint="eastAsia" w:ascii="Times New Roman" w:hAnsi="Times New Roman" w:eastAsia="宋体" w:cs="Times New Roman"/>
                      <w:color w:val="FF0000"/>
                      <w:kern w:val="0"/>
                      <w:sz w:val="21"/>
                      <w:szCs w:val="21"/>
                      <w:highlight w:val="none"/>
                      <w:lang w:val="en-US" w:eastAsia="zh-CN"/>
                    </w:rPr>
                    <w:t>。</w:t>
                  </w:r>
                  <w:r>
                    <w:rPr>
                      <w:rFonts w:hint="default" w:ascii="Times New Roman" w:hAnsi="Times New Roman" w:eastAsia="宋体" w:cs="Times New Roman"/>
                      <w:color w:val="FF0000"/>
                      <w:kern w:val="0"/>
                      <w:sz w:val="21"/>
                      <w:szCs w:val="21"/>
                      <w:highlight w:val="none"/>
                      <w:lang w:val="en-US" w:eastAsia="zh-CN"/>
                    </w:rPr>
                    <w:t>尾矿排放重金属残留水平进一步降低</w:t>
                  </w:r>
                  <w:r>
                    <w:rPr>
                      <w:rFonts w:hint="eastAsia" w:cs="Times New Roman"/>
                      <w:color w:val="FF0000"/>
                      <w:kern w:val="0"/>
                      <w:sz w:val="21"/>
                      <w:szCs w:val="21"/>
                      <w:highlight w:val="none"/>
                      <w:lang w:val="en-US" w:eastAsia="zh-CN"/>
                    </w:rPr>
                    <w:t>，</w:t>
                  </w:r>
                  <w:r>
                    <w:rPr>
                      <w:rFonts w:hint="eastAsia" w:cs="Times New Roman"/>
                      <w:color w:val="FF0000"/>
                      <w:kern w:val="0"/>
                      <w:sz w:val="21"/>
                      <w:szCs w:val="21"/>
                      <w:highlight w:val="none"/>
                      <w:lang w:val="en-US" w:eastAsia="zh-CN"/>
                    </w:rPr>
                    <w:t>符合小佘太镇采矿用地管控单元要求。本次技改项目主要为大中矿业配套设施锅炉的改造，不涉及大中矿业矿山内容。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宋体" w:cs="Times New Roman"/>
                      <w:color w:val="FF0000"/>
                      <w:kern w:val="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rPr>
                    <w:t>2、</w:t>
                  </w:r>
                  <w:r>
                    <w:rPr>
                      <w:rFonts w:hint="eastAsia" w:ascii="Times New Roman" w:hAnsi="Times New Roman" w:eastAsia="宋体" w:cs="Times New Roman"/>
                      <w:color w:val="FF0000"/>
                      <w:kern w:val="0"/>
                      <w:sz w:val="21"/>
                      <w:szCs w:val="21"/>
                      <w:highlight w:val="none"/>
                      <w:lang w:val="en-US" w:eastAsia="zh-CN"/>
                    </w:rPr>
                    <w:t>技改项目不新增占地，</w:t>
                  </w:r>
                  <w:r>
                    <w:rPr>
                      <w:rStyle w:val="41"/>
                      <w:rFonts w:hint="eastAsia" w:ascii="Times New Roman" w:eastAsia="宋体"/>
                      <w:color w:val="FF0000"/>
                      <w:sz w:val="21"/>
                      <w:szCs w:val="21"/>
                      <w:highlight w:val="none"/>
                      <w:lang w:val="en-US" w:eastAsia="zh-CN"/>
                    </w:rPr>
                    <w:t>不会</w:t>
                  </w:r>
                  <w:r>
                    <w:rPr>
                      <w:rStyle w:val="41"/>
                      <w:rFonts w:hint="eastAsia" w:ascii="Times New Roman" w:eastAsia="宋体"/>
                      <w:color w:val="FF0000"/>
                      <w:sz w:val="21"/>
                      <w:szCs w:val="21"/>
                      <w:highlight w:val="none"/>
                      <w:lang w:eastAsia="zh-CN"/>
                    </w:rPr>
                    <w:t>对生态</w:t>
                  </w:r>
                  <w:r>
                    <w:rPr>
                      <w:rStyle w:val="41"/>
                      <w:rFonts w:hint="default" w:ascii="Times New Roman"/>
                      <w:color w:val="FF0000"/>
                      <w:sz w:val="21"/>
                      <w:szCs w:val="21"/>
                      <w:highlight w:val="none"/>
                    </w:rPr>
                    <w:t>产生不可恢复利用的、破坏性影响</w:t>
                  </w:r>
                  <w:r>
                    <w:rPr>
                      <w:rStyle w:val="41"/>
                      <w:rFonts w:hint="eastAsia" w:ascii="Times New Roman" w:eastAsia="宋体"/>
                      <w:color w:val="FF0000"/>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宋体" w:cs="Times New Roman"/>
                      <w:color w:val="FF0000"/>
                      <w:kern w:val="0"/>
                      <w:sz w:val="21"/>
                      <w:szCs w:val="21"/>
                      <w:highlight w:val="none"/>
                      <w:lang w:val="en-US" w:eastAsia="zh-CN"/>
                    </w:rPr>
                  </w:pPr>
                  <w:r>
                    <w:rPr>
                      <w:rFonts w:hint="eastAsia" w:ascii="Times New Roman" w:hAnsi="Times New Roman" w:eastAsia="宋体" w:cs="Times New Roman"/>
                      <w:color w:val="FF0000"/>
                      <w:kern w:val="0"/>
                      <w:sz w:val="21"/>
                      <w:szCs w:val="21"/>
                      <w:highlight w:val="none"/>
                      <w:lang w:val="en-US" w:eastAsia="zh-CN"/>
                    </w:rPr>
                    <w:t>3、</w:t>
                  </w:r>
                  <w:r>
                    <w:rPr>
                      <w:rFonts w:hint="eastAsia" w:cs="Times New Roman"/>
                      <w:color w:val="FF0000"/>
                      <w:kern w:val="0"/>
                      <w:sz w:val="21"/>
                      <w:szCs w:val="21"/>
                      <w:highlight w:val="none"/>
                      <w:lang w:val="en-US" w:eastAsia="zh-CN"/>
                    </w:rPr>
                    <w:t>技改项目</w:t>
                  </w:r>
                  <w:r>
                    <w:rPr>
                      <w:rFonts w:hint="eastAsia" w:ascii="Times New Roman" w:hAnsi="Times New Roman" w:eastAsia="宋体" w:cs="Times New Roman"/>
                      <w:color w:val="FF0000"/>
                      <w:kern w:val="0"/>
                      <w:sz w:val="21"/>
                      <w:szCs w:val="21"/>
                      <w:highlight w:val="none"/>
                      <w:lang w:val="en-US" w:eastAsia="zh-CN"/>
                    </w:rPr>
                    <w:t>不采地下水</w:t>
                  </w:r>
                  <w:r>
                    <w:rPr>
                      <w:rFonts w:hint="eastAsia" w:cs="Times New Roman"/>
                      <w:color w:val="FF0000"/>
                      <w:kern w:val="0"/>
                      <w:sz w:val="21"/>
                      <w:szCs w:val="21"/>
                      <w:highlight w:val="none"/>
                      <w:lang w:val="en-US" w:eastAsia="zh-CN"/>
                    </w:rPr>
                    <w:t>，锅炉用水由矿井涌水供给。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宋体" w:cs="Times New Roman"/>
                      <w:color w:val="FF0000"/>
                      <w:kern w:val="0"/>
                      <w:sz w:val="21"/>
                      <w:szCs w:val="21"/>
                      <w:highlight w:val="none"/>
                      <w:lang w:val="en-US" w:eastAsia="zh-CN"/>
                    </w:rPr>
                  </w:pPr>
                  <w:r>
                    <w:rPr>
                      <w:rFonts w:hint="eastAsia" w:ascii="Times New Roman" w:hAnsi="Times New Roman" w:eastAsia="宋体" w:cs="Times New Roman"/>
                      <w:color w:val="FF0000"/>
                      <w:kern w:val="0"/>
                      <w:sz w:val="21"/>
                      <w:szCs w:val="21"/>
                      <w:highlight w:val="none"/>
                      <w:lang w:val="en-US" w:eastAsia="zh-CN"/>
                    </w:rPr>
                    <w:t>4</w:t>
                  </w:r>
                  <w:r>
                    <w:rPr>
                      <w:rFonts w:hint="default" w:ascii="Times New Roman" w:hAnsi="Times New Roman" w:eastAsia="宋体" w:cs="Times New Roman"/>
                      <w:color w:val="FF0000"/>
                      <w:kern w:val="0"/>
                      <w:sz w:val="21"/>
                      <w:szCs w:val="21"/>
                      <w:highlight w:val="none"/>
                      <w:lang w:val="en-US" w:eastAsia="zh-CN"/>
                    </w:rPr>
                    <w:t>、</w:t>
                  </w:r>
                  <w:r>
                    <w:rPr>
                      <w:rFonts w:hint="eastAsia" w:ascii="Times New Roman" w:hAnsi="Times New Roman" w:eastAsia="宋体" w:cs="Times New Roman"/>
                      <w:color w:val="FF0000"/>
                      <w:kern w:val="0"/>
                      <w:sz w:val="21"/>
                      <w:szCs w:val="21"/>
                      <w:highlight w:val="none"/>
                      <w:lang w:val="en-US" w:eastAsia="zh-CN"/>
                    </w:rPr>
                    <w:t>技改项目用水由矿井涌水供给</w:t>
                  </w:r>
                  <w:r>
                    <w:rPr>
                      <w:rFonts w:hint="eastAsia" w:cs="Times New Roman"/>
                      <w:color w:val="FF0000"/>
                      <w:kern w:val="0"/>
                      <w:sz w:val="21"/>
                      <w:szCs w:val="21"/>
                      <w:highlight w:val="none"/>
                      <w:lang w:val="en-US" w:eastAsia="zh-CN"/>
                    </w:rPr>
                    <w:t>，提高了工业企业用水用能效率。</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Fonts w:hint="eastAsia" w:ascii="Times New Roman" w:hAnsi="Times New Roman" w:eastAsia="宋体" w:cs="Times New Roman"/>
                      <w:color w:val="FF0000"/>
                      <w:kern w:val="0"/>
                      <w:sz w:val="21"/>
                      <w:szCs w:val="21"/>
                      <w:highlight w:val="none"/>
                      <w:lang w:val="en-US" w:eastAsia="zh-CN"/>
                    </w:rPr>
                    <w:t>5、</w:t>
                  </w:r>
                  <w:r>
                    <w:rPr>
                      <w:rFonts w:hint="eastAsia" w:cs="Times New Roman"/>
                      <w:color w:val="FF0000"/>
                      <w:kern w:val="0"/>
                      <w:sz w:val="21"/>
                      <w:szCs w:val="21"/>
                      <w:highlight w:val="none"/>
                      <w:lang w:val="en-US" w:eastAsia="zh-CN"/>
                    </w:rPr>
                    <w:t>大中矿业</w:t>
                  </w:r>
                  <w:r>
                    <w:rPr>
                      <w:rStyle w:val="41"/>
                      <w:rFonts w:hint="eastAsia" w:ascii="Times New Roman" w:eastAsia="宋体"/>
                      <w:color w:val="FF0000"/>
                      <w:sz w:val="21"/>
                      <w:szCs w:val="21"/>
                      <w:highlight w:val="none"/>
                      <w:lang w:eastAsia="zh-CN"/>
                    </w:rPr>
                    <w:t>已严格落实各方案</w:t>
                  </w:r>
                  <w:r>
                    <w:rPr>
                      <w:rStyle w:val="41"/>
                      <w:rFonts w:hint="eastAsia"/>
                      <w:color w:val="FF0000"/>
                      <w:sz w:val="21"/>
                      <w:szCs w:val="21"/>
                      <w:highlight w:val="none"/>
                      <w:lang w:eastAsia="zh-CN"/>
                    </w:rPr>
                    <w:t>，</w:t>
                  </w:r>
                  <w:r>
                    <w:rPr>
                      <w:rFonts w:hint="eastAsia" w:cs="Times New Roman"/>
                      <w:color w:val="FF0000"/>
                      <w:kern w:val="0"/>
                      <w:sz w:val="21"/>
                      <w:szCs w:val="21"/>
                      <w:highlight w:val="none"/>
                      <w:lang w:val="en-US" w:eastAsia="zh-CN"/>
                    </w:rPr>
                    <w:t>符合小佘太镇采矿用地管控单元要求。本次技改项目主要为大中矿业配套设施锅炉的改造，不涉及大中矿业矿山内容。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210" w:firstLineChars="100"/>
                    <w:jc w:val="left"/>
                    <w:textAlignment w:val="auto"/>
                    <w:rPr>
                      <w:rFonts w:hint="default" w:ascii="Times New Roman" w:hAnsi="Times New Roman" w:eastAsia="宋体" w:cs="Times New Roman"/>
                      <w:color w:val="FF0000"/>
                      <w:kern w:val="0"/>
                      <w:sz w:val="21"/>
                      <w:szCs w:val="21"/>
                      <w:highlight w:val="none"/>
                      <w:lang w:val="en-US" w:eastAsia="zh-CN"/>
                    </w:rPr>
                  </w:pPr>
                  <w:r>
                    <w:rPr>
                      <w:rStyle w:val="41"/>
                      <w:rFonts w:hint="eastAsia" w:ascii="Times New Roman" w:eastAsia="宋体"/>
                      <w:color w:val="FF0000"/>
                      <w:sz w:val="21"/>
                      <w:szCs w:val="21"/>
                      <w:highlight w:val="none"/>
                      <w:lang w:val="en-US" w:eastAsia="zh-CN"/>
                    </w:rPr>
                    <w:t>6、</w:t>
                  </w:r>
                  <w:r>
                    <w:rPr>
                      <w:rStyle w:val="41"/>
                      <w:rFonts w:hint="eastAsia" w:ascii="Times New Roman" w:hAnsi="宋体" w:eastAsia="宋体" w:cs="Times New Roman"/>
                      <w:color w:val="FF0000"/>
                      <w:sz w:val="21"/>
                      <w:szCs w:val="21"/>
                      <w:highlight w:val="none"/>
                      <w:lang w:eastAsia="zh-CN"/>
                    </w:rPr>
                    <w:t>2020年1月，被评为国家级绿色矿山。</w:t>
                  </w:r>
                  <w:r>
                    <w:rPr>
                      <w:rStyle w:val="41"/>
                      <w:rFonts w:hint="eastAsia" w:ascii="Times New Roman" w:hAnsi="宋体" w:eastAsia="宋体" w:cs="Times New Roman"/>
                      <w:color w:val="FF0000"/>
                      <w:sz w:val="21"/>
                      <w:szCs w:val="21"/>
                      <w:highlight w:val="none"/>
                      <w:lang w:val="en-US" w:eastAsia="zh-CN"/>
                    </w:rPr>
                    <w:t>本项目水耗0.55m</w:t>
                  </w:r>
                  <w:r>
                    <w:rPr>
                      <w:rStyle w:val="41"/>
                      <w:rFonts w:hint="eastAsia" w:ascii="Times New Roman" w:hAnsi="宋体" w:eastAsia="宋体" w:cs="Times New Roman"/>
                      <w:color w:val="FF0000"/>
                      <w:sz w:val="21"/>
                      <w:szCs w:val="21"/>
                      <w:highlight w:val="none"/>
                      <w:vertAlign w:val="superscript"/>
                      <w:lang w:val="en-US" w:eastAsia="zh-CN"/>
                    </w:rPr>
                    <w:t>3</w:t>
                  </w:r>
                  <w:r>
                    <w:rPr>
                      <w:rStyle w:val="41"/>
                      <w:rFonts w:hint="eastAsia" w:ascii="Times New Roman" w:hAnsi="宋体" w:eastAsia="宋体" w:cs="Times New Roman"/>
                      <w:color w:val="FF0000"/>
                      <w:sz w:val="21"/>
                      <w:szCs w:val="21"/>
                      <w:highlight w:val="none"/>
                      <w:lang w:val="en-US" w:eastAsia="zh-CN"/>
                    </w:rPr>
                    <w:t>/t属于</w:t>
                  </w:r>
                  <w:r>
                    <w:rPr>
                      <w:rStyle w:val="41"/>
                      <w:rFonts w:hint="default" w:ascii="Times New Roman"/>
                      <w:color w:val="FF0000"/>
                      <w:sz w:val="21"/>
                      <w:szCs w:val="21"/>
                      <w:highlight w:val="none"/>
                    </w:rPr>
                    <w:t>《内蒙古自治区地方标准行业用水定额》（</w:t>
                  </w:r>
                  <w:r>
                    <w:rPr>
                      <w:rStyle w:val="42"/>
                      <w:rFonts w:hint="default" w:ascii="Times New Roman" w:hAnsi="Times New Roman"/>
                      <w:color w:val="FF0000"/>
                      <w:sz w:val="21"/>
                      <w:szCs w:val="21"/>
                      <w:highlight w:val="none"/>
                    </w:rPr>
                    <w:t>DB15/T385-2020</w:t>
                  </w:r>
                  <w:r>
                    <w:rPr>
                      <w:rStyle w:val="41"/>
                      <w:rFonts w:hint="default" w:ascii="Times New Roman"/>
                      <w:color w:val="FF0000"/>
                      <w:sz w:val="21"/>
                      <w:szCs w:val="21"/>
                      <w:highlight w:val="none"/>
                    </w:rPr>
                    <w:t>）</w:t>
                  </w:r>
                  <w:r>
                    <w:rPr>
                      <w:rStyle w:val="41"/>
                      <w:rFonts w:hint="eastAsia" w:ascii="Times New Roman" w:eastAsia="宋体"/>
                      <w:color w:val="FF0000"/>
                      <w:sz w:val="21"/>
                      <w:szCs w:val="21"/>
                      <w:highlight w:val="none"/>
                      <w:lang w:val="en-US" w:eastAsia="zh-CN"/>
                    </w:rPr>
                    <w:t>中B0810-铁矿采选行业领跑等级。</w:t>
                  </w:r>
                  <w:r>
                    <w:rPr>
                      <w:rFonts w:hint="eastAsia" w:cs="Times New Roman"/>
                      <w:color w:val="FF0000"/>
                      <w:kern w:val="0"/>
                      <w:sz w:val="21"/>
                      <w:szCs w:val="21"/>
                      <w:highlight w:val="none"/>
                      <w:lang w:val="en-US" w:eastAsia="zh-CN"/>
                    </w:rPr>
                    <w:t>符合小佘太镇采矿用地管控单元要求。本次技改项目主要为大中矿业配套设施锅炉的改造，不涉及大中矿业矿山内容。</w:t>
                  </w:r>
                </w:p>
              </w:tc>
              <w:tc>
                <w:tcPr>
                  <w:tcW w:w="650"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符合</w:t>
                  </w:r>
                </w:p>
              </w:tc>
            </w:tr>
          </w:tbl>
          <w:p>
            <w:pPr>
              <w:keepNext w:val="0"/>
              <w:keepLines w:val="0"/>
              <w:suppressLineNumbers w:val="0"/>
              <w:shd w:val="clear"/>
              <w:tabs>
                <w:tab w:val="center" w:pos="4153"/>
                <w:tab w:val="right" w:pos="8306"/>
              </w:tabs>
              <w:spacing w:before="0" w:beforeAutospacing="0" w:after="0" w:afterAutospacing="0" w:line="360" w:lineRule="auto"/>
              <w:ind w:left="0" w:right="0" w:firstLine="480" w:firstLineChars="200"/>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根据巴彦淖尔市人民政府出具的《关于印发&lt;巴彦淖尔市“三线一单”生态环境分区管控方案&gt;的通知》（巴政发[2021]9号），本项目属于</w:t>
            </w:r>
            <w:r>
              <w:rPr>
                <w:rFonts w:hint="eastAsia" w:cs="Times New Roman"/>
                <w:color w:val="FF0000"/>
                <w:sz w:val="24"/>
                <w:szCs w:val="24"/>
                <w:highlight w:val="none"/>
                <w:lang w:eastAsia="zh-CN"/>
              </w:rPr>
              <w:t>小佘太镇采矿用地</w:t>
            </w:r>
            <w:r>
              <w:rPr>
                <w:rFonts w:hint="eastAsia" w:cs="Times New Roman"/>
                <w:color w:val="FF0000"/>
                <w:sz w:val="24"/>
                <w:szCs w:val="24"/>
                <w:highlight w:val="none"/>
                <w:lang w:val="en-US" w:eastAsia="zh-CN"/>
              </w:rPr>
              <w:t>管控单元</w:t>
            </w:r>
            <w:r>
              <w:rPr>
                <w:rFonts w:hint="default" w:ascii="Times New Roman" w:hAnsi="Times New Roman" w:eastAsia="宋体" w:cs="Times New Roman"/>
                <w:color w:val="FF0000"/>
                <w:sz w:val="24"/>
                <w:szCs w:val="24"/>
                <w:highlight w:val="none"/>
              </w:rPr>
              <w:t>，管控单元类别为</w:t>
            </w:r>
            <w:r>
              <w:rPr>
                <w:rFonts w:hint="default" w:ascii="Times New Roman" w:hAnsi="Times New Roman" w:eastAsia="宋体" w:cs="Times New Roman"/>
                <w:color w:val="FF0000"/>
                <w:sz w:val="24"/>
                <w:szCs w:val="24"/>
                <w:highlight w:val="none"/>
                <w:lang w:eastAsia="zh-CN"/>
              </w:rPr>
              <w:t>重点管控单元</w:t>
            </w:r>
            <w:r>
              <w:rPr>
                <w:rFonts w:hint="default" w:ascii="Times New Roman" w:hAnsi="Times New Roman" w:eastAsia="宋体" w:cs="Times New Roman"/>
                <w:color w:val="FF0000"/>
                <w:sz w:val="24"/>
                <w:szCs w:val="24"/>
                <w:highlight w:val="none"/>
              </w:rPr>
              <w:t>，环境管控单元编码</w:t>
            </w:r>
            <w:r>
              <w:rPr>
                <w:rFonts w:hint="eastAsia" w:cs="Times New Roman"/>
                <w:color w:val="FF0000"/>
                <w:sz w:val="24"/>
                <w:szCs w:val="24"/>
                <w:highlight w:val="none"/>
                <w:lang w:val="en-US" w:eastAsia="zh-CN"/>
              </w:rPr>
              <w:t>为ZH15082320015</w:t>
            </w:r>
            <w:r>
              <w:rPr>
                <w:rFonts w:hint="default" w:ascii="Times New Roman" w:hAnsi="Times New Roman" w:eastAsia="宋体" w:cs="Times New Roman"/>
                <w:color w:val="FF0000"/>
                <w:sz w:val="24"/>
                <w:szCs w:val="24"/>
                <w:highlight w:val="none"/>
              </w:rPr>
              <w:t>，从空间布局约束、污染物排放管控、环境风险防控、资源利用效率要求等方面分析，本项目</w:t>
            </w:r>
            <w:r>
              <w:rPr>
                <w:rFonts w:hint="default" w:ascii="Times New Roman" w:hAnsi="Times New Roman" w:eastAsia="宋体" w:cs="Times New Roman"/>
                <w:color w:val="FF0000"/>
                <w:sz w:val="24"/>
                <w:szCs w:val="24"/>
                <w:highlight w:val="none"/>
                <w:lang w:eastAsia="zh-CN"/>
              </w:rPr>
              <w:t>配套设置</w:t>
            </w:r>
            <w:r>
              <w:rPr>
                <w:rFonts w:hint="default" w:ascii="Times New Roman" w:hAnsi="Times New Roman" w:eastAsia="宋体" w:cs="Times New Roman"/>
                <w:color w:val="FF0000"/>
                <w:sz w:val="24"/>
                <w:szCs w:val="24"/>
                <w:highlight w:val="none"/>
              </w:rPr>
              <w:t>环保措施，环境影响及环境风险可控。</w:t>
            </w:r>
          </w:p>
          <w:p>
            <w:pPr>
              <w:keepNext w:val="0"/>
              <w:keepLines w:val="0"/>
              <w:suppressLineNumbers w:val="0"/>
              <w:shd w:val="clear"/>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FF0000"/>
                <w:sz w:val="24"/>
                <w:szCs w:val="24"/>
                <w:highlight w:val="none"/>
              </w:rPr>
              <w:t>因此，本项目符合三线一单管控要求</w:t>
            </w:r>
            <w:r>
              <w:rPr>
                <w:rFonts w:hint="default" w:ascii="Times New Roman" w:hAnsi="Times New Roman" w:eastAsia="宋体" w:cs="Times New Roman"/>
                <w:color w:val="FF0000"/>
                <w:sz w:val="24"/>
                <w:szCs w:val="24"/>
                <w:highlight w:val="none"/>
                <w:lang w:eastAsia="zh-CN"/>
              </w:rPr>
              <w:t>。</w:t>
            </w:r>
          </w:p>
        </w:tc>
      </w:tr>
    </w:tbl>
    <w:p>
      <w:pPr>
        <w:pStyle w:val="16"/>
        <w:rPr>
          <w:rFonts w:hint="default" w:ascii="Times New Roman" w:hAnsi="Times New Roman" w:eastAsia="宋体" w:cs="Times New Roman"/>
          <w:color w:val="auto"/>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4"/>
        <w:bidi w:val="0"/>
        <w:rPr>
          <w:rFonts w:hint="default"/>
          <w:color w:val="auto"/>
          <w:highlight w:val="none"/>
        </w:rPr>
      </w:pPr>
      <w:r>
        <w:rPr>
          <w:rFonts w:hint="default"/>
          <w:color w:val="auto"/>
          <w:highlight w:val="none"/>
        </w:rPr>
        <w:t>二、建设项目工程分析</w:t>
      </w:r>
    </w:p>
    <w:tbl>
      <w:tblPr>
        <w:tblStyle w:val="17"/>
        <w:tblW w:w="89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1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pPr>
              <w:pStyle w:val="15"/>
              <w:adjustRightInd w:val="0"/>
              <w:snapToGrid w:val="0"/>
              <w:spacing w:before="0" w:beforeAutospacing="0" w:after="0" w:afterAutospacing="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4"/>
                <w:highlight w:val="none"/>
              </w:rPr>
              <w:t>建设内容</w:t>
            </w:r>
          </w:p>
        </w:tc>
        <w:tc>
          <w:tcPr>
            <w:tcW w:w="8158" w:type="dxa"/>
          </w:tcPr>
          <w:p>
            <w:pPr>
              <w:bidi w:val="0"/>
              <w:rPr>
                <w:rFonts w:hint="eastAsia"/>
                <w:b/>
                <w:bCs/>
                <w:color w:val="auto"/>
                <w:highlight w:val="none"/>
                <w:lang w:val="en-US" w:eastAsia="zh-CN"/>
              </w:rPr>
            </w:pPr>
            <w:r>
              <w:rPr>
                <w:rFonts w:hint="eastAsia"/>
                <w:b/>
                <w:bCs/>
                <w:color w:val="auto"/>
                <w:highlight w:val="none"/>
                <w:lang w:val="en-US" w:eastAsia="zh-CN"/>
              </w:rPr>
              <w:t>1、现有工程概况</w:t>
            </w:r>
          </w:p>
          <w:p>
            <w:pPr>
              <w:bidi w:val="0"/>
              <w:rPr>
                <w:rFonts w:hint="default"/>
                <w:b/>
                <w:bCs/>
                <w:color w:val="auto"/>
                <w:highlight w:val="none"/>
                <w:lang w:val="en-US" w:eastAsia="zh-CN"/>
              </w:rPr>
            </w:pPr>
            <w:r>
              <w:rPr>
                <w:rFonts w:hint="eastAsia"/>
                <w:b/>
                <w:bCs/>
                <w:color w:val="auto"/>
                <w:highlight w:val="none"/>
                <w:lang w:val="en-US" w:eastAsia="zh-CN"/>
              </w:rPr>
              <w:t>1.1现有工程建设内容及建设规模</w:t>
            </w:r>
          </w:p>
          <w:p>
            <w:pPr>
              <w:bidi w:val="0"/>
              <w:rPr>
                <w:rFonts w:hint="eastAsia"/>
                <w:color w:val="auto"/>
                <w:highlight w:val="none"/>
                <w:lang w:val="en-US" w:eastAsia="zh-CN"/>
              </w:rPr>
            </w:pPr>
            <w:r>
              <w:rPr>
                <w:rFonts w:hint="eastAsia"/>
                <w:color w:val="auto"/>
                <w:highlight w:val="none"/>
                <w:lang w:val="en-US" w:eastAsia="zh-CN"/>
              </w:rPr>
              <w:t>（1）现有工程概况</w:t>
            </w:r>
          </w:p>
          <w:p>
            <w:pPr>
              <w:bidi w:val="0"/>
              <w:rPr>
                <w:rFonts w:hint="eastAsia"/>
                <w:color w:val="auto"/>
                <w:highlight w:val="none"/>
                <w:lang w:val="en-US" w:eastAsia="zh-CN"/>
              </w:rPr>
            </w:pPr>
            <w:r>
              <w:rPr>
                <w:color w:val="auto"/>
                <w:highlight w:val="none"/>
              </w:rPr>
              <w:t>内蒙古</w:t>
            </w:r>
            <w:r>
              <w:rPr>
                <w:rFonts w:hint="eastAsia"/>
                <w:color w:val="auto"/>
                <w:highlight w:val="none"/>
              </w:rPr>
              <w:t>大中矿业股份有限公司</w:t>
            </w:r>
            <w:r>
              <w:rPr>
                <w:rFonts w:hint="eastAsia"/>
                <w:color w:val="auto"/>
                <w:highlight w:val="none"/>
                <w:lang w:val="en-US" w:eastAsia="zh-CN"/>
              </w:rPr>
              <w:t>位于内蒙古巴彦淖尔市乌拉特前旗小佘太镇张二口村书记沟矿区，企业于2013年编制了《内蒙古大中矿业股份有限公司书记沟矿区锅炉改造项目》，并于2014年5月5日取得了原巴彦淖尔市环境保护局给予的批复文件，文号为：把环审表【2014】25号（见附件3），在2015年完成了验收，并取得了原巴彦淖尔市环境保护局出具的关于内蒙古大中矿业股份有限公司书记沟矿区锅炉改造项目竣工环境保护验收意见，文号为：巴环验【2015】16号（见附件4），于2018年完成了排污许可的申请，证书编号为：</w:t>
            </w:r>
            <w:r>
              <w:rPr>
                <w:color w:val="auto"/>
                <w:highlight w:val="none"/>
              </w:rPr>
              <w:t>911508006900924235001P</w:t>
            </w:r>
            <w:r>
              <w:rPr>
                <w:rFonts w:hint="eastAsia"/>
                <w:color w:val="auto"/>
                <w:highlight w:val="none"/>
                <w:lang w:val="en-US" w:eastAsia="zh-CN"/>
              </w:rPr>
              <w:t>。</w:t>
            </w:r>
          </w:p>
          <w:p>
            <w:pPr>
              <w:bidi w:val="0"/>
              <w:rPr>
                <w:rFonts w:hint="default"/>
                <w:color w:val="auto"/>
                <w:highlight w:val="none"/>
                <w:lang w:val="en-US" w:eastAsia="zh-CN"/>
              </w:rPr>
            </w:pPr>
            <w:r>
              <w:rPr>
                <w:rFonts w:hint="eastAsia" w:cs="Times New Roman"/>
                <w:b w:val="0"/>
                <w:bCs w:val="0"/>
                <w:color w:val="auto"/>
                <w:sz w:val="24"/>
                <w:szCs w:val="24"/>
                <w:highlight w:val="none"/>
                <w:vertAlign w:val="baseline"/>
                <w:lang w:val="en-US" w:eastAsia="zh-CN"/>
              </w:rPr>
              <w:t>厂区共</w:t>
            </w:r>
            <w:r>
              <w:rPr>
                <w:rFonts w:hint="eastAsia"/>
                <w:color w:val="auto"/>
                <w:highlight w:val="none"/>
                <w:lang w:val="en-US" w:eastAsia="zh-CN"/>
              </w:rPr>
              <w:t>设置了1座锅炉房，用于</w:t>
            </w:r>
            <w:r>
              <w:rPr>
                <w:rFonts w:hint="eastAsia"/>
                <w:color w:val="auto"/>
                <w:highlight w:val="none"/>
              </w:rPr>
              <w:t>矿区及办公生活区</w:t>
            </w:r>
            <w:r>
              <w:rPr>
                <w:rFonts w:hint="eastAsia"/>
                <w:color w:val="auto"/>
                <w:highlight w:val="none"/>
                <w:lang w:val="en-US" w:eastAsia="zh-CN"/>
              </w:rPr>
              <w:t>供热。锅炉房占地面积为1100m</w:t>
            </w:r>
            <w:r>
              <w:rPr>
                <w:rFonts w:hint="eastAsia"/>
                <w:color w:val="auto"/>
                <w:highlight w:val="none"/>
                <w:vertAlign w:val="superscript"/>
                <w:lang w:val="en-US" w:eastAsia="zh-CN"/>
              </w:rPr>
              <w:t>2</w:t>
            </w:r>
            <w:r>
              <w:rPr>
                <w:rFonts w:hint="eastAsia"/>
                <w:color w:val="auto"/>
                <w:highlight w:val="none"/>
                <w:lang w:val="en-US" w:eastAsia="zh-CN"/>
              </w:rPr>
              <w:t>，房内设置了2</w:t>
            </w:r>
            <w:r>
              <w:rPr>
                <w:rFonts w:hint="eastAsia"/>
                <w:color w:val="auto"/>
                <w:highlight w:val="none"/>
              </w:rPr>
              <w:t>台</w:t>
            </w:r>
            <w:r>
              <w:rPr>
                <w:rFonts w:hint="eastAsia"/>
                <w:color w:val="auto"/>
                <w:highlight w:val="none"/>
                <w:lang w:val="en-US" w:eastAsia="zh-CN"/>
              </w:rPr>
              <w:t>10t/h的燃煤锅炉（一用一备）。现有工程主要建设内容包括主体工程、公辅工程、储运工程以及配套的环保工程。</w:t>
            </w:r>
          </w:p>
          <w:p>
            <w:pPr>
              <w:bidi w:val="0"/>
              <w:rPr>
                <w:rFonts w:hint="eastAsia"/>
                <w:color w:val="auto"/>
                <w:highlight w:val="none"/>
                <w:lang w:val="en-US" w:eastAsia="zh-CN"/>
              </w:rPr>
            </w:pPr>
            <w:r>
              <w:rPr>
                <w:rFonts w:hint="eastAsia"/>
                <w:color w:val="auto"/>
                <w:highlight w:val="none"/>
                <w:lang w:val="en-US" w:eastAsia="zh-CN"/>
              </w:rPr>
              <w:t>（2）现有工程组成内容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现有工程主要建设内容包括主体工程、公用工程、辅助工程、储运工程以及配套的环保工程。其项目组成情况见下表1。</w:t>
            </w:r>
          </w:p>
          <w:p>
            <w:pPr>
              <w:bidi w:val="0"/>
              <w:jc w:val="center"/>
              <w:rPr>
                <w:rFonts w:hint="default"/>
                <w:b/>
                <w:bCs/>
                <w:color w:val="auto"/>
                <w:highlight w:val="none"/>
                <w:lang w:val="en-US" w:eastAsia="zh-CN"/>
              </w:rPr>
            </w:pPr>
            <w:r>
              <w:rPr>
                <w:rFonts w:hint="eastAsia"/>
                <w:b/>
                <w:bCs/>
                <w:color w:val="auto"/>
                <w:highlight w:val="none"/>
                <w:lang w:val="en-US" w:eastAsia="zh-CN"/>
              </w:rPr>
              <w:t>表1  现有工程组成一览表</w:t>
            </w:r>
          </w:p>
          <w:tbl>
            <w:tblPr>
              <w:tblStyle w:val="18"/>
              <w:tblW w:w="7978"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29"/>
              <w:gridCol w:w="1039"/>
              <w:gridCol w:w="601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6" w:hRule="atLeast"/>
              </w:trPr>
              <w:tc>
                <w:tcPr>
                  <w:tcW w:w="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highlight w:val="none"/>
                      <w:lang w:eastAsia="zh-Hans"/>
                    </w:rPr>
                  </w:pPr>
                  <w:r>
                    <w:rPr>
                      <w:rFonts w:hint="default" w:ascii="Times New Roman" w:hAnsi="Times New Roman" w:cs="Times New Roman"/>
                      <w:b/>
                      <w:bCs/>
                      <w:color w:val="auto"/>
                      <w:sz w:val="21"/>
                      <w:szCs w:val="21"/>
                      <w:highlight w:val="none"/>
                      <w:lang w:eastAsia="zh-Hans"/>
                    </w:rPr>
                    <w:t>类别</w:t>
                  </w:r>
                </w:p>
              </w:tc>
              <w:tc>
                <w:tcPr>
                  <w:tcW w:w="10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eastAsia="zh-CN"/>
                    </w:rPr>
                    <w:t>名称</w:t>
                  </w:r>
                </w:p>
              </w:tc>
              <w:tc>
                <w:tcPr>
                  <w:tcW w:w="60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highlight w:val="none"/>
                      <w:lang w:eastAsia="zh-Hans"/>
                    </w:rPr>
                  </w:pPr>
                  <w:r>
                    <w:rPr>
                      <w:rFonts w:hint="default" w:ascii="Times New Roman" w:hAnsi="Times New Roman" w:cs="Times New Roman"/>
                      <w:b/>
                      <w:bCs/>
                      <w:color w:val="auto"/>
                      <w:sz w:val="21"/>
                      <w:szCs w:val="21"/>
                      <w:highlight w:val="none"/>
                      <w:lang w:eastAsia="zh-Hans"/>
                    </w:rPr>
                    <w:t>建设内容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8" w:hRule="atLeast"/>
              </w:trPr>
              <w:tc>
                <w:tcPr>
                  <w:tcW w:w="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主体工程</w:t>
                  </w:r>
                </w:p>
              </w:tc>
              <w:tc>
                <w:tcPr>
                  <w:tcW w:w="10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锅炉房</w:t>
                  </w:r>
                </w:p>
              </w:tc>
              <w:tc>
                <w:tcPr>
                  <w:tcW w:w="6010" w:type="dxa"/>
                  <w:tcBorders>
                    <w:tl2br w:val="nil"/>
                    <w:tr2bl w:val="nil"/>
                  </w:tcBorders>
                  <w:vAlign w:val="center"/>
                </w:tcPr>
                <w:p>
                  <w:pPr>
                    <w:bidi w:val="0"/>
                    <w:rPr>
                      <w:rFonts w:hint="eastAsia"/>
                      <w:color w:val="auto"/>
                      <w:sz w:val="21"/>
                      <w:szCs w:val="21"/>
                      <w:highlight w:val="none"/>
                      <w:lang w:val="en-US" w:eastAsia="zh-CN"/>
                    </w:rPr>
                  </w:pPr>
                  <w:r>
                    <w:rPr>
                      <w:rFonts w:hint="default"/>
                      <w:color w:val="auto"/>
                      <w:sz w:val="21"/>
                      <w:szCs w:val="21"/>
                      <w:highlight w:val="none"/>
                    </w:rPr>
                    <w:t>高6m，建筑面积1100m</w:t>
                  </w:r>
                  <w:r>
                    <w:rPr>
                      <w:rFonts w:hint="default"/>
                      <w:color w:val="auto"/>
                      <w:sz w:val="21"/>
                      <w:szCs w:val="21"/>
                      <w:highlight w:val="none"/>
                      <w:vertAlign w:val="superscript"/>
                    </w:rPr>
                    <w:t>2</w:t>
                  </w:r>
                  <w:r>
                    <w:rPr>
                      <w:rFonts w:hint="default"/>
                      <w:color w:val="auto"/>
                      <w:sz w:val="21"/>
                      <w:szCs w:val="21"/>
                      <w:highlight w:val="none"/>
                    </w:rPr>
                    <w:t>，框架结构。</w:t>
                  </w:r>
                  <w:r>
                    <w:rPr>
                      <w:rFonts w:hint="eastAsia"/>
                      <w:color w:val="auto"/>
                      <w:sz w:val="21"/>
                      <w:szCs w:val="21"/>
                      <w:highlight w:val="none"/>
                      <w:lang w:val="en-US" w:eastAsia="zh-CN"/>
                    </w:rPr>
                    <w:t>内设置燃煤</w:t>
                  </w:r>
                  <w:r>
                    <w:rPr>
                      <w:rFonts w:hint="default"/>
                      <w:color w:val="auto"/>
                      <w:sz w:val="21"/>
                      <w:szCs w:val="21"/>
                      <w:highlight w:val="none"/>
                    </w:rPr>
                    <w:t>热水锅炉(10</w:t>
                  </w:r>
                  <w:r>
                    <w:rPr>
                      <w:rFonts w:hint="eastAsia"/>
                      <w:color w:val="auto"/>
                      <w:sz w:val="21"/>
                      <w:szCs w:val="21"/>
                      <w:highlight w:val="none"/>
                      <w:lang w:val="en-US" w:eastAsia="zh-CN"/>
                    </w:rPr>
                    <w:t>t</w:t>
                  </w:r>
                  <w:r>
                    <w:rPr>
                      <w:rFonts w:hint="default"/>
                      <w:color w:val="auto"/>
                      <w:sz w:val="21"/>
                      <w:szCs w:val="21"/>
                      <w:highlight w:val="none"/>
                    </w:rPr>
                    <w:t>/h)两台</w:t>
                  </w:r>
                  <w:r>
                    <w:rPr>
                      <w:rFonts w:hint="eastAsia"/>
                      <w:color w:val="auto"/>
                      <w:sz w:val="21"/>
                      <w:szCs w:val="21"/>
                      <w:highlight w:val="none"/>
                      <w:lang w:eastAsia="zh-CN"/>
                    </w:rPr>
                    <w:t>，</w:t>
                  </w:r>
                  <w:r>
                    <w:rPr>
                      <w:rFonts w:hint="eastAsia"/>
                      <w:color w:val="auto"/>
                      <w:sz w:val="21"/>
                      <w:szCs w:val="21"/>
                      <w:highlight w:val="none"/>
                      <w:lang w:val="en-US" w:eastAsia="zh-CN"/>
                    </w:rPr>
                    <w:t>为全封闭构筑物</w:t>
                  </w:r>
                  <w:r>
                    <w:rPr>
                      <w:rFonts w:hint="eastAsia"/>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1" w:hRule="atLeast"/>
              </w:trPr>
              <w:tc>
                <w:tcPr>
                  <w:tcW w:w="92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储运工程</w:t>
                  </w:r>
                </w:p>
              </w:tc>
              <w:tc>
                <w:tcPr>
                  <w:tcW w:w="10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储煤间</w:t>
                  </w:r>
                </w:p>
              </w:tc>
              <w:tc>
                <w:tcPr>
                  <w:tcW w:w="6010" w:type="dxa"/>
                  <w:tcBorders>
                    <w:tl2br w:val="nil"/>
                    <w:tr2bl w:val="nil"/>
                  </w:tcBorders>
                  <w:vAlign w:val="center"/>
                </w:tcPr>
                <w:p>
                  <w:pPr>
                    <w:bidi w:val="0"/>
                    <w:rPr>
                      <w:rFonts w:hint="default"/>
                      <w:color w:val="auto"/>
                      <w:sz w:val="21"/>
                      <w:szCs w:val="21"/>
                      <w:highlight w:val="none"/>
                      <w:lang w:val="en-US" w:eastAsia="zh-CN"/>
                    </w:rPr>
                  </w:pPr>
                  <w:r>
                    <w:rPr>
                      <w:rFonts w:hint="eastAsia"/>
                      <w:color w:val="auto"/>
                      <w:sz w:val="21"/>
                      <w:szCs w:val="21"/>
                      <w:highlight w:val="none"/>
                      <w:lang w:val="en-US" w:eastAsia="zh-CN"/>
                    </w:rPr>
                    <w:t>占地</w:t>
                  </w:r>
                  <w:r>
                    <w:rPr>
                      <w:rFonts w:hint="default"/>
                      <w:color w:val="auto"/>
                      <w:sz w:val="21"/>
                      <w:szCs w:val="21"/>
                      <w:highlight w:val="none"/>
                    </w:rPr>
                    <w:t>面积</w:t>
                  </w:r>
                  <w:r>
                    <w:rPr>
                      <w:rFonts w:hint="eastAsia"/>
                      <w:color w:val="auto"/>
                      <w:sz w:val="21"/>
                      <w:szCs w:val="21"/>
                      <w:highlight w:val="none"/>
                      <w:lang w:val="en-US" w:eastAsia="zh-CN"/>
                    </w:rPr>
                    <w:t>为</w:t>
                  </w:r>
                  <w:r>
                    <w:rPr>
                      <w:rFonts w:hint="default"/>
                      <w:color w:val="auto"/>
                      <w:sz w:val="21"/>
                      <w:szCs w:val="21"/>
                      <w:highlight w:val="none"/>
                    </w:rPr>
                    <w:t>480 m</w:t>
                  </w:r>
                  <w:r>
                    <w:rPr>
                      <w:rFonts w:hint="default"/>
                      <w:color w:val="auto"/>
                      <w:sz w:val="21"/>
                      <w:szCs w:val="21"/>
                      <w:highlight w:val="none"/>
                      <w:vertAlign w:val="superscript"/>
                    </w:rPr>
                    <w:t>2</w:t>
                  </w:r>
                  <w:r>
                    <w:rPr>
                      <w:rFonts w:hint="eastAsia"/>
                      <w:color w:val="auto"/>
                      <w:sz w:val="21"/>
                      <w:szCs w:val="21"/>
                      <w:highlight w:val="none"/>
                      <w:lang w:eastAsia="zh-CN"/>
                    </w:rPr>
                    <w:t>，</w:t>
                  </w:r>
                  <w:r>
                    <w:rPr>
                      <w:rFonts w:hint="eastAsia"/>
                      <w:color w:val="auto"/>
                      <w:sz w:val="21"/>
                      <w:szCs w:val="21"/>
                      <w:highlight w:val="none"/>
                      <w:lang w:val="en-US" w:eastAsia="zh-CN"/>
                    </w:rPr>
                    <w:t>为半封闭式储煤间。用于储存煤炭。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8" w:hRule="atLeast"/>
              </w:trPr>
              <w:tc>
                <w:tcPr>
                  <w:tcW w:w="9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p>
              </w:tc>
              <w:tc>
                <w:tcPr>
                  <w:tcW w:w="10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灰渣库</w:t>
                  </w:r>
                </w:p>
              </w:tc>
              <w:tc>
                <w:tcPr>
                  <w:tcW w:w="6010" w:type="dxa"/>
                  <w:tcBorders>
                    <w:tl2br w:val="nil"/>
                    <w:tr2bl w:val="nil"/>
                  </w:tcBorders>
                  <w:vAlign w:val="center"/>
                </w:tcPr>
                <w:p>
                  <w:pPr>
                    <w:bidi w:val="0"/>
                    <w:rPr>
                      <w:rFonts w:hint="default"/>
                      <w:color w:val="auto"/>
                      <w:sz w:val="21"/>
                      <w:szCs w:val="21"/>
                      <w:highlight w:val="none"/>
                      <w:lang w:val="en-US" w:eastAsia="zh-Hans"/>
                    </w:rPr>
                  </w:pPr>
                  <w:r>
                    <w:rPr>
                      <w:rFonts w:hint="eastAsia"/>
                      <w:color w:val="auto"/>
                      <w:sz w:val="21"/>
                      <w:szCs w:val="21"/>
                      <w:highlight w:val="none"/>
                      <w:lang w:val="en-US" w:eastAsia="zh-CN"/>
                    </w:rPr>
                    <w:t>占地面积为</w:t>
                  </w:r>
                  <w:r>
                    <w:rPr>
                      <w:rFonts w:hint="default"/>
                      <w:color w:val="auto"/>
                      <w:sz w:val="21"/>
                      <w:szCs w:val="21"/>
                      <w:highlight w:val="none"/>
                    </w:rPr>
                    <w:t>150m</w:t>
                  </w:r>
                  <w:r>
                    <w:rPr>
                      <w:rFonts w:hint="default"/>
                      <w:color w:val="auto"/>
                      <w:sz w:val="21"/>
                      <w:szCs w:val="21"/>
                      <w:highlight w:val="none"/>
                      <w:vertAlign w:val="superscript"/>
                    </w:rPr>
                    <w:t>2</w:t>
                  </w:r>
                  <w:r>
                    <w:rPr>
                      <w:rFonts w:hint="default"/>
                      <w:color w:val="auto"/>
                      <w:sz w:val="21"/>
                      <w:szCs w:val="21"/>
                      <w:highlight w:val="none"/>
                    </w:rPr>
                    <w:t>，</w:t>
                  </w:r>
                  <w:r>
                    <w:rPr>
                      <w:rFonts w:hint="eastAsia"/>
                      <w:color w:val="auto"/>
                      <w:sz w:val="21"/>
                      <w:szCs w:val="21"/>
                      <w:highlight w:val="none"/>
                      <w:lang w:val="en-US" w:eastAsia="zh-CN"/>
                    </w:rPr>
                    <w:t>为半封闭构筑物，地面采用抗渗混凝土</w:t>
                  </w:r>
                  <w:r>
                    <w:rPr>
                      <w:rFonts w:hint="default"/>
                      <w:color w:val="auto"/>
                      <w:sz w:val="21"/>
                      <w:szCs w:val="21"/>
                      <w:highlight w:val="none"/>
                    </w:rPr>
                    <w:t>，</w:t>
                  </w:r>
                  <w:r>
                    <w:rPr>
                      <w:rFonts w:hint="eastAsia"/>
                      <w:color w:val="auto"/>
                      <w:sz w:val="21"/>
                      <w:szCs w:val="21"/>
                      <w:highlight w:val="none"/>
                      <w:lang w:val="en-US" w:eastAsia="zh-CN"/>
                    </w:rPr>
                    <w:t>主要用于储存煤炭燃烧后的灰渣及除尘灰。</w:t>
                  </w:r>
                  <w:r>
                    <w:rPr>
                      <w:rFonts w:hint="default"/>
                      <w:color w:val="auto"/>
                      <w:sz w:val="21"/>
                      <w:szCs w:val="21"/>
                      <w:highlight w:val="none"/>
                    </w:rPr>
                    <w:t>运输车辆可进出。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2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公辅工程</w:t>
                  </w:r>
                </w:p>
              </w:tc>
              <w:tc>
                <w:tcPr>
                  <w:tcW w:w="10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供电</w:t>
                  </w:r>
                </w:p>
              </w:tc>
              <w:tc>
                <w:tcPr>
                  <w:tcW w:w="6010" w:type="dxa"/>
                  <w:tcBorders>
                    <w:tl2br w:val="nil"/>
                    <w:tr2bl w:val="nil"/>
                  </w:tcBorders>
                  <w:vAlign w:val="center"/>
                </w:tcPr>
                <w:p>
                  <w:pPr>
                    <w:bidi w:val="0"/>
                    <w:rPr>
                      <w:rFonts w:hint="default"/>
                      <w:color w:val="auto"/>
                      <w:sz w:val="21"/>
                      <w:szCs w:val="21"/>
                      <w:highlight w:val="none"/>
                      <w:lang w:val="en-US" w:eastAsia="zh-CN"/>
                    </w:rPr>
                  </w:pPr>
                  <w:r>
                    <w:rPr>
                      <w:rFonts w:hint="default"/>
                      <w:color w:val="auto"/>
                      <w:sz w:val="21"/>
                      <w:szCs w:val="21"/>
                      <w:highlight w:val="none"/>
                    </w:rPr>
                    <w:t>用电由小佘太</w:t>
                  </w:r>
                  <w:r>
                    <w:rPr>
                      <w:rFonts w:hint="eastAsia"/>
                      <w:color w:val="auto"/>
                      <w:sz w:val="21"/>
                      <w:szCs w:val="21"/>
                      <w:highlight w:val="none"/>
                      <w:lang w:val="en-US" w:eastAsia="zh-CN"/>
                    </w:rPr>
                    <w:t>镇</w:t>
                  </w:r>
                  <w:r>
                    <w:rPr>
                      <w:rFonts w:hint="default"/>
                      <w:color w:val="auto"/>
                      <w:sz w:val="21"/>
                      <w:szCs w:val="21"/>
                      <w:highlight w:val="none"/>
                    </w:rPr>
                    <w:t>电网接入</w:t>
                  </w:r>
                  <w:r>
                    <w:rPr>
                      <w:rFonts w:hint="default"/>
                      <w:color w:val="auto"/>
                      <w:sz w:val="21"/>
                      <w:szCs w:val="21"/>
                      <w:highlight w:val="none"/>
                      <w:lang w:eastAsia="zh-CN"/>
                    </w:rPr>
                    <w:t>，</w:t>
                  </w:r>
                  <w:r>
                    <w:rPr>
                      <w:rFonts w:hint="default"/>
                      <w:color w:val="auto"/>
                      <w:sz w:val="21"/>
                      <w:szCs w:val="21"/>
                      <w:highlight w:val="none"/>
                      <w:lang w:val="en-US" w:eastAsia="zh-CN"/>
                    </w:rPr>
                    <w:t>年用电量为</w:t>
                  </w:r>
                  <w:r>
                    <w:rPr>
                      <w:rFonts w:hint="eastAsia"/>
                      <w:color w:val="auto"/>
                      <w:sz w:val="21"/>
                      <w:szCs w:val="21"/>
                      <w:highlight w:val="none"/>
                      <w:lang w:val="en-US" w:eastAsia="zh-CN"/>
                    </w:rPr>
                    <w:t>360万kWh。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p>
              </w:tc>
              <w:tc>
                <w:tcPr>
                  <w:tcW w:w="10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供水</w:t>
                  </w:r>
                </w:p>
              </w:tc>
              <w:tc>
                <w:tcPr>
                  <w:tcW w:w="6010" w:type="dxa"/>
                  <w:tcBorders>
                    <w:tl2br w:val="nil"/>
                    <w:tr2bl w:val="nil"/>
                  </w:tcBorders>
                  <w:vAlign w:val="center"/>
                </w:tcPr>
                <w:p>
                  <w:pPr>
                    <w:bidi w:val="0"/>
                    <w:rPr>
                      <w:rFonts w:hint="default"/>
                      <w:color w:val="auto"/>
                      <w:sz w:val="21"/>
                      <w:szCs w:val="21"/>
                      <w:highlight w:val="none"/>
                      <w:lang w:val="en-US" w:eastAsia="zh-CN"/>
                    </w:rPr>
                  </w:pPr>
                  <w:r>
                    <w:rPr>
                      <w:rFonts w:hint="default"/>
                      <w:color w:val="auto"/>
                      <w:sz w:val="21"/>
                      <w:szCs w:val="21"/>
                      <w:highlight w:val="none"/>
                    </w:rPr>
                    <w:t>锅炉用水由铁矿的矿井涌水提供</w:t>
                  </w:r>
                  <w:r>
                    <w:rPr>
                      <w:rFonts w:hint="default"/>
                      <w:color w:val="auto"/>
                      <w:sz w:val="21"/>
                      <w:szCs w:val="21"/>
                      <w:highlight w:val="none"/>
                      <w:lang w:eastAsia="zh-CN"/>
                    </w:rPr>
                    <w:t>，</w:t>
                  </w:r>
                  <w:r>
                    <w:rPr>
                      <w:rFonts w:hint="default"/>
                      <w:color w:val="auto"/>
                      <w:sz w:val="21"/>
                      <w:szCs w:val="21"/>
                      <w:highlight w:val="none"/>
                      <w:lang w:val="en-US" w:eastAsia="zh-CN"/>
                    </w:rPr>
                    <w:t>年用水量为</w:t>
                  </w:r>
                  <w:r>
                    <w:rPr>
                      <w:rFonts w:hint="eastAsia"/>
                      <w:color w:val="auto"/>
                      <w:sz w:val="21"/>
                      <w:szCs w:val="21"/>
                      <w:highlight w:val="none"/>
                      <w:lang w:val="en-US" w:eastAsia="zh-CN"/>
                    </w:rPr>
                    <w:t>3535.2m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/a。</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31" w:hRule="atLeast"/>
              </w:trPr>
              <w:tc>
                <w:tcPr>
                  <w:tcW w:w="9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p>
              </w:tc>
              <w:tc>
                <w:tcPr>
                  <w:tcW w:w="10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排水</w:t>
                  </w:r>
                </w:p>
              </w:tc>
              <w:tc>
                <w:tcPr>
                  <w:tcW w:w="6010" w:type="dxa"/>
                  <w:tcBorders>
                    <w:tl2br w:val="nil"/>
                    <w:tr2bl w:val="nil"/>
                  </w:tcBorders>
                  <w:vAlign w:val="center"/>
                </w:tcPr>
                <w:p>
                  <w:pPr>
                    <w:bidi w:val="0"/>
                    <w:rPr>
                      <w:rFonts w:hint="default"/>
                      <w:color w:val="auto"/>
                      <w:sz w:val="21"/>
                      <w:szCs w:val="21"/>
                      <w:highlight w:val="none"/>
                      <w:lang w:val="en-US" w:eastAsia="zh-CN"/>
                    </w:rPr>
                  </w:pPr>
                  <w:r>
                    <w:rPr>
                      <w:rFonts w:hint="default"/>
                      <w:color w:val="auto"/>
                      <w:sz w:val="21"/>
                      <w:szCs w:val="21"/>
                      <w:highlight w:val="none"/>
                      <w:lang w:val="en-US" w:eastAsia="zh-CN"/>
                    </w:rPr>
                    <w:t>项目排水主要为锅炉排水和锅炉软化水系统排水，排水量为670m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/a</w:t>
                  </w:r>
                  <w:r>
                    <w:rPr>
                      <w:rFonts w:hint="default"/>
                      <w:color w:val="auto"/>
                      <w:sz w:val="21"/>
                      <w:szCs w:val="21"/>
                      <w:highlight w:val="none"/>
                      <w:lang w:val="en-US" w:eastAsia="zh-CN"/>
                    </w:rPr>
                    <w:t>，锅炉排水回用于除尘系统补水，软化水系统排水用于灰渣和煤的加湿。</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46" w:hRule="atLeast"/>
              </w:trPr>
              <w:tc>
                <w:tcPr>
                  <w:tcW w:w="92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环保工程</w:t>
                  </w:r>
                </w:p>
              </w:tc>
              <w:tc>
                <w:tcPr>
                  <w:tcW w:w="103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废气</w:t>
                  </w:r>
                </w:p>
              </w:tc>
              <w:tc>
                <w:tcPr>
                  <w:tcW w:w="6010" w:type="dxa"/>
                  <w:tcBorders>
                    <w:tl2br w:val="nil"/>
                    <w:tr2bl w:val="nil"/>
                  </w:tcBorders>
                  <w:vAlign w:val="center"/>
                </w:tcPr>
                <w:p>
                  <w:pPr>
                    <w:bidi w:val="0"/>
                    <w:rPr>
                      <w:rFonts w:hint="default"/>
                      <w:color w:val="auto"/>
                      <w:sz w:val="21"/>
                      <w:szCs w:val="21"/>
                      <w:highlight w:val="none"/>
                      <w:lang w:val="en-US" w:eastAsia="zh-CN"/>
                    </w:rPr>
                  </w:pPr>
                  <w:r>
                    <w:rPr>
                      <w:rFonts w:hint="eastAsia"/>
                      <w:color w:val="auto"/>
                      <w:sz w:val="21"/>
                      <w:szCs w:val="21"/>
                      <w:highlight w:val="none"/>
                      <w:lang w:val="en-US" w:eastAsia="zh-CN"/>
                    </w:rPr>
                    <w:t>项目有组织废气主要为热水锅炉废气。两台燃煤锅炉共用一套布袋除尘器+双碱法</w:t>
                  </w:r>
                  <w:r>
                    <w:rPr>
                      <w:rFonts w:hint="default"/>
                      <w:color w:val="auto"/>
                      <w:sz w:val="21"/>
                      <w:szCs w:val="21"/>
                      <w:highlight w:val="none"/>
                    </w:rPr>
                    <w:t>脱硫</w:t>
                  </w:r>
                  <w:r>
                    <w:rPr>
                      <w:rFonts w:hint="eastAsia"/>
                      <w:color w:val="auto"/>
                      <w:sz w:val="21"/>
                      <w:szCs w:val="21"/>
                      <w:highlight w:val="none"/>
                      <w:lang w:val="en-US" w:eastAsia="zh-CN"/>
                    </w:rPr>
                    <w:t>除尘系统</w:t>
                  </w:r>
                  <w:r>
                    <w:rPr>
                      <w:rFonts w:hint="default"/>
                      <w:color w:val="auto"/>
                      <w:sz w:val="21"/>
                      <w:szCs w:val="21"/>
                      <w:highlight w:val="none"/>
                    </w:rPr>
                    <w:t>，脱硫效率</w:t>
                  </w:r>
                  <w:r>
                    <w:rPr>
                      <w:rFonts w:hint="eastAsia"/>
                      <w:color w:val="auto"/>
                      <w:sz w:val="21"/>
                      <w:szCs w:val="21"/>
                      <w:highlight w:val="none"/>
                      <w:lang w:val="en-US" w:eastAsia="zh-CN"/>
                    </w:rPr>
                    <w:t>80</w:t>
                  </w:r>
                  <w:r>
                    <w:rPr>
                      <w:rFonts w:hint="default"/>
                      <w:color w:val="auto"/>
                      <w:sz w:val="21"/>
                      <w:szCs w:val="21"/>
                      <w:highlight w:val="none"/>
                    </w:rPr>
                    <w:t>%，除尘效率</w:t>
                  </w:r>
                  <w:r>
                    <w:rPr>
                      <w:rFonts w:hint="eastAsia"/>
                      <w:color w:val="auto"/>
                      <w:sz w:val="21"/>
                      <w:szCs w:val="21"/>
                      <w:highlight w:val="none"/>
                      <w:lang w:val="en-US" w:eastAsia="zh-CN"/>
                    </w:rPr>
                    <w:t>90</w:t>
                  </w:r>
                  <w:r>
                    <w:rPr>
                      <w:rFonts w:hint="default"/>
                      <w:color w:val="auto"/>
                      <w:sz w:val="21"/>
                      <w:szCs w:val="21"/>
                      <w:highlight w:val="none"/>
                    </w:rPr>
                    <w:t>%</w:t>
                  </w:r>
                  <w:r>
                    <w:rPr>
                      <w:rFonts w:hint="default"/>
                      <w:color w:val="auto"/>
                      <w:sz w:val="21"/>
                      <w:szCs w:val="21"/>
                      <w:highlight w:val="none"/>
                      <w:lang w:eastAsia="zh-CN"/>
                    </w:rPr>
                    <w:t>。</w:t>
                  </w:r>
                  <w:r>
                    <w:rPr>
                      <w:rFonts w:hint="eastAsia"/>
                      <w:color w:val="auto"/>
                      <w:sz w:val="21"/>
                      <w:szCs w:val="21"/>
                      <w:highlight w:val="none"/>
                      <w:lang w:val="en-US" w:eastAsia="zh-CN"/>
                    </w:rPr>
                    <w:t>锅炉废气经过处理后由1根45m高的排气筒进行排放。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7" w:hRule="atLeast"/>
              </w:trPr>
              <w:tc>
                <w:tcPr>
                  <w:tcW w:w="9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p>
              </w:tc>
              <w:tc>
                <w:tcPr>
                  <w:tcW w:w="10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auto"/>
                      <w:sz w:val="21"/>
                      <w:szCs w:val="21"/>
                      <w:highlight w:val="none"/>
                      <w:lang w:val="en-US" w:eastAsia="zh-CN"/>
                    </w:rPr>
                  </w:pPr>
                </w:p>
              </w:tc>
              <w:tc>
                <w:tcPr>
                  <w:tcW w:w="6010" w:type="dxa"/>
                  <w:tcBorders>
                    <w:tl2br w:val="nil"/>
                    <w:tr2bl w:val="nil"/>
                  </w:tcBorders>
                  <w:vAlign w:val="center"/>
                </w:tcPr>
                <w:p>
                  <w:pPr>
                    <w:bidi w:val="0"/>
                    <w:rPr>
                      <w:rFonts w:hint="eastAsia"/>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燃煤和</w:t>
                  </w:r>
                  <w:r>
                    <w:rPr>
                      <w:rFonts w:hint="default" w:ascii="Times New Roman" w:hAnsi="Times New Roman" w:eastAsia="宋体" w:cs="Times New Roman"/>
                      <w:color w:val="auto"/>
                      <w:sz w:val="21"/>
                      <w:szCs w:val="21"/>
                      <w:highlight w:val="none"/>
                    </w:rPr>
                    <w:t>灰渣卸载</w:t>
                  </w:r>
                  <w:r>
                    <w:rPr>
                      <w:rFonts w:hint="default" w:ascii="Times New Roman" w:hAnsi="Times New Roman" w:eastAsia="宋体" w:cs="Times New Roman"/>
                      <w:color w:val="auto"/>
                      <w:sz w:val="21"/>
                      <w:szCs w:val="21"/>
                      <w:highlight w:val="none"/>
                      <w:lang w:eastAsia="zh-CN"/>
                    </w:rPr>
                    <w:t>、储存</w:t>
                  </w:r>
                  <w:r>
                    <w:rPr>
                      <w:rFonts w:hint="default" w:ascii="Times New Roman" w:hAnsi="Times New Roman" w:eastAsia="宋体" w:cs="Times New Roman"/>
                      <w:color w:val="auto"/>
                      <w:sz w:val="21"/>
                      <w:szCs w:val="21"/>
                      <w:highlight w:val="none"/>
                    </w:rPr>
                    <w:t>过程中产生的颗粒物经封闭</w:t>
                  </w:r>
                  <w:r>
                    <w:rPr>
                      <w:rFonts w:hint="default" w:ascii="Times New Roman" w:hAnsi="Times New Roman" w:eastAsia="宋体" w:cs="Times New Roman"/>
                      <w:color w:val="auto"/>
                      <w:sz w:val="21"/>
                      <w:szCs w:val="21"/>
                      <w:highlight w:val="none"/>
                      <w:lang w:val="en-US" w:eastAsia="zh-CN"/>
                    </w:rPr>
                    <w:t>库房</w:t>
                  </w:r>
                  <w:r>
                    <w:rPr>
                      <w:rFonts w:hint="default" w:ascii="Times New Roman" w:hAnsi="Times New Roman" w:eastAsia="宋体" w:cs="Times New Roman"/>
                      <w:color w:val="auto"/>
                      <w:sz w:val="21"/>
                      <w:szCs w:val="21"/>
                      <w:highlight w:val="none"/>
                    </w:rPr>
                    <w:t>沉降和洒水抑尘后，以无组织形式排放。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trPr>
              <w:tc>
                <w:tcPr>
                  <w:tcW w:w="9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p>
              </w:tc>
              <w:tc>
                <w:tcPr>
                  <w:tcW w:w="10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废水</w:t>
                  </w:r>
                </w:p>
              </w:tc>
              <w:tc>
                <w:tcPr>
                  <w:tcW w:w="6010" w:type="dxa"/>
                  <w:tcBorders>
                    <w:tl2br w:val="nil"/>
                    <w:tr2bl w:val="nil"/>
                  </w:tcBorders>
                  <w:vAlign w:val="center"/>
                </w:tcPr>
                <w:p>
                  <w:pPr>
                    <w:bidi w:val="0"/>
                    <w:rPr>
                      <w:rFonts w:hint="default"/>
                      <w:color w:val="auto"/>
                      <w:sz w:val="21"/>
                      <w:szCs w:val="21"/>
                      <w:highlight w:val="none"/>
                      <w:lang w:val="en-US" w:eastAsia="zh-CN"/>
                    </w:rPr>
                  </w:pPr>
                  <w:r>
                    <w:rPr>
                      <w:rFonts w:hint="eastAsia"/>
                      <w:color w:val="auto"/>
                      <w:sz w:val="21"/>
                      <w:szCs w:val="21"/>
                      <w:highlight w:val="none"/>
                      <w:lang w:val="en-US" w:eastAsia="zh-CN"/>
                    </w:rPr>
                    <w:t>项目产生的废水主要为生产废水。其包括锅炉排水和软化水系统排水，</w:t>
                  </w:r>
                  <w:r>
                    <w:rPr>
                      <w:rFonts w:hint="default"/>
                      <w:color w:val="auto"/>
                      <w:sz w:val="21"/>
                      <w:szCs w:val="21"/>
                      <w:highlight w:val="none"/>
                      <w:lang w:val="en-US" w:eastAsia="zh-CN"/>
                    </w:rPr>
                    <w:t>锅炉排水回用于除尘系统补水，软化水系统排水用于灰渣和煤的加湿</w:t>
                  </w:r>
                  <w:r>
                    <w:rPr>
                      <w:rFonts w:hint="eastAsia"/>
                      <w:color w:val="auto"/>
                      <w:sz w:val="21"/>
                      <w:szCs w:val="21"/>
                      <w:highlight w:val="none"/>
                      <w:lang w:val="en-US" w:eastAsia="zh-CN"/>
                    </w:rPr>
                    <w:t>，不外排。</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8" w:hRule="atLeast"/>
              </w:trPr>
              <w:tc>
                <w:tcPr>
                  <w:tcW w:w="9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p>
              </w:tc>
              <w:tc>
                <w:tcPr>
                  <w:tcW w:w="10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噪声</w:t>
                  </w:r>
                </w:p>
              </w:tc>
              <w:tc>
                <w:tcPr>
                  <w:tcW w:w="6010" w:type="dxa"/>
                  <w:tcBorders>
                    <w:tl2br w:val="nil"/>
                    <w:tr2bl w:val="nil"/>
                  </w:tcBorders>
                  <w:vAlign w:val="center"/>
                </w:tcPr>
                <w:p>
                  <w:pPr>
                    <w:bidi w:val="0"/>
                    <w:rPr>
                      <w:rFonts w:hint="default"/>
                      <w:color w:val="auto"/>
                      <w:sz w:val="21"/>
                      <w:szCs w:val="21"/>
                      <w:highlight w:val="none"/>
                      <w:lang w:val="en-US" w:eastAsia="zh-CN"/>
                    </w:rPr>
                  </w:pPr>
                  <w:r>
                    <w:rPr>
                      <w:rFonts w:hint="eastAsia"/>
                      <w:color w:val="auto"/>
                      <w:sz w:val="21"/>
                      <w:szCs w:val="21"/>
                      <w:highlight w:val="none"/>
                      <w:lang w:val="en-US" w:eastAsia="zh-CN"/>
                    </w:rPr>
                    <w:t>项目产生的噪声主要为锅炉运行时的噪声，通过封闭锅炉房和减振等措施降噪</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7" w:hRule="atLeast"/>
              </w:trPr>
              <w:tc>
                <w:tcPr>
                  <w:tcW w:w="9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p>
              </w:tc>
              <w:tc>
                <w:tcPr>
                  <w:tcW w:w="10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固废</w:t>
                  </w:r>
                </w:p>
              </w:tc>
              <w:tc>
                <w:tcPr>
                  <w:tcW w:w="6010" w:type="dxa"/>
                  <w:tcBorders>
                    <w:tl2br w:val="nil"/>
                    <w:tr2bl w:val="nil"/>
                  </w:tcBorders>
                  <w:vAlign w:val="center"/>
                </w:tcPr>
                <w:p>
                  <w:pPr>
                    <w:bidi w:val="0"/>
                    <w:rPr>
                      <w:rFonts w:hint="eastAsia"/>
                      <w:color w:val="auto"/>
                      <w:sz w:val="21"/>
                      <w:szCs w:val="21"/>
                      <w:highlight w:val="none"/>
                      <w:lang w:val="en-US" w:eastAsia="zh-CN"/>
                    </w:rPr>
                  </w:pPr>
                  <w:r>
                    <w:rPr>
                      <w:rFonts w:hint="eastAsia"/>
                      <w:color w:val="auto"/>
                      <w:sz w:val="21"/>
                      <w:szCs w:val="21"/>
                      <w:highlight w:val="none"/>
                      <w:lang w:val="en-US" w:eastAsia="zh-CN"/>
                    </w:rPr>
                    <w:t>项目产生的固废主要为生活垃圾、炉渣、除尘灰、脱硫渣和废饱和树脂。</w:t>
                  </w:r>
                </w:p>
                <w:p>
                  <w:pPr>
                    <w:bidi w:val="0"/>
                    <w:rPr>
                      <w:rFonts w:hint="default"/>
                      <w:color w:val="auto"/>
                      <w:sz w:val="21"/>
                      <w:szCs w:val="21"/>
                      <w:highlight w:val="none"/>
                      <w:lang w:val="en-US" w:eastAsia="zh-CN"/>
                    </w:rPr>
                  </w:pPr>
                  <w:r>
                    <w:rPr>
                      <w:rFonts w:hint="eastAsia"/>
                      <w:color w:val="auto"/>
                      <w:sz w:val="21"/>
                      <w:szCs w:val="21"/>
                      <w:highlight w:val="none"/>
                      <w:lang w:val="en-US" w:eastAsia="zh-CN"/>
                    </w:rPr>
                    <w:t>炉渣和除尘灰用于厂区铺路，不外排；脱硫渣外售建材公司综合利用；废饱和树脂由厂家回收利用。生活垃圾委托环卫部门清运。</w:t>
                  </w:r>
                </w:p>
              </w:tc>
            </w:tr>
          </w:tbl>
          <w:p>
            <w:pPr>
              <w:bidi w:val="0"/>
              <w:rPr>
                <w:rFonts w:hint="eastAsia"/>
                <w:b/>
                <w:bCs/>
                <w:color w:val="auto"/>
                <w:highlight w:val="none"/>
                <w:lang w:val="en-US" w:eastAsia="zh-CN"/>
              </w:rPr>
            </w:pPr>
            <w:r>
              <w:rPr>
                <w:rFonts w:hint="eastAsia"/>
                <w:b/>
                <w:bCs/>
                <w:color w:val="auto"/>
                <w:highlight w:val="none"/>
                <w:lang w:val="en-US" w:eastAsia="zh-CN"/>
              </w:rPr>
              <w:t>1.2主要原辅材料、能源情况</w:t>
            </w:r>
          </w:p>
          <w:p>
            <w:pPr>
              <w:bidi w:val="0"/>
              <w:jc w:val="center"/>
              <w:rPr>
                <w:rFonts w:hint="default" w:eastAsia="宋体"/>
                <w:b/>
                <w:bCs/>
                <w:color w:val="auto"/>
                <w:highlight w:val="none"/>
                <w:lang w:val="en-US" w:eastAsia="zh-CN"/>
              </w:rPr>
            </w:pPr>
            <w:r>
              <w:rPr>
                <w:rFonts w:hint="eastAsia"/>
                <w:b/>
                <w:bCs/>
                <w:color w:val="auto"/>
                <w:highlight w:val="none"/>
                <w:lang w:eastAsia="zh-CN"/>
              </w:rPr>
              <w:t>表</w:t>
            </w:r>
            <w:r>
              <w:rPr>
                <w:rFonts w:hint="eastAsia"/>
                <w:b/>
                <w:bCs/>
                <w:color w:val="auto"/>
                <w:highlight w:val="none"/>
                <w:lang w:val="en-US" w:eastAsia="zh-CN"/>
              </w:rPr>
              <w:t>2   能源消耗一览表</w:t>
            </w:r>
          </w:p>
          <w:tbl>
            <w:tblPr>
              <w:tblStyle w:val="18"/>
              <w:tblW w:w="7961"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82"/>
              <w:gridCol w:w="1678"/>
              <w:gridCol w:w="2263"/>
              <w:gridCol w:w="323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bCs/>
                      <w:color w:val="auto"/>
                      <w:sz w:val="21"/>
                      <w:szCs w:val="21"/>
                      <w:highlight w:val="none"/>
                      <w:vertAlign w:val="baseline"/>
                      <w:lang w:eastAsia="zh-CN"/>
                    </w:rPr>
                  </w:pPr>
                  <w:r>
                    <w:rPr>
                      <w:rFonts w:hint="eastAsia"/>
                      <w:b/>
                      <w:bCs/>
                      <w:color w:val="auto"/>
                      <w:sz w:val="21"/>
                      <w:szCs w:val="21"/>
                      <w:highlight w:val="none"/>
                      <w:vertAlign w:val="baseline"/>
                      <w:lang w:eastAsia="zh-CN"/>
                    </w:rPr>
                    <w:t>序号</w:t>
                  </w:r>
                </w:p>
              </w:tc>
              <w:tc>
                <w:tcPr>
                  <w:tcW w:w="1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bCs/>
                      <w:color w:val="auto"/>
                      <w:sz w:val="21"/>
                      <w:szCs w:val="21"/>
                      <w:highlight w:val="none"/>
                      <w:vertAlign w:val="baseline"/>
                      <w:lang w:eastAsia="zh-CN"/>
                    </w:rPr>
                  </w:pPr>
                  <w:r>
                    <w:rPr>
                      <w:rFonts w:hint="eastAsia"/>
                      <w:b/>
                      <w:bCs/>
                      <w:color w:val="auto"/>
                      <w:sz w:val="21"/>
                      <w:szCs w:val="21"/>
                      <w:highlight w:val="none"/>
                      <w:vertAlign w:val="baseline"/>
                      <w:lang w:eastAsia="zh-CN"/>
                    </w:rPr>
                    <w:t>名称</w:t>
                  </w:r>
                </w:p>
              </w:tc>
              <w:tc>
                <w:tcPr>
                  <w:tcW w:w="2263" w:type="dxa"/>
                  <w:tcBorders>
                    <w:righ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bCs/>
                      <w:color w:val="auto"/>
                      <w:sz w:val="21"/>
                      <w:szCs w:val="21"/>
                      <w:highlight w:val="none"/>
                      <w:vertAlign w:val="baseline"/>
                      <w:lang w:eastAsia="zh-CN"/>
                    </w:rPr>
                  </w:pPr>
                  <w:r>
                    <w:rPr>
                      <w:rFonts w:hint="eastAsia"/>
                      <w:b/>
                      <w:bCs/>
                      <w:color w:val="auto"/>
                      <w:sz w:val="21"/>
                      <w:szCs w:val="21"/>
                      <w:highlight w:val="none"/>
                      <w:vertAlign w:val="baseline"/>
                      <w:lang w:eastAsia="zh-CN"/>
                    </w:rPr>
                    <w:t>单位</w:t>
                  </w:r>
                </w:p>
              </w:tc>
              <w:tc>
                <w:tcPr>
                  <w:tcW w:w="3238" w:type="dxa"/>
                  <w:tcBorders>
                    <w:lef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sz w:val="21"/>
                      <w:szCs w:val="21"/>
                      <w:highlight w:val="none"/>
                      <w:vertAlign w:val="baseline"/>
                      <w:lang w:eastAsia="zh-CN"/>
                    </w:rPr>
                  </w:pPr>
                  <w:r>
                    <w:rPr>
                      <w:rFonts w:hint="eastAsia"/>
                      <w:b/>
                      <w:bCs/>
                      <w:color w:val="auto"/>
                      <w:sz w:val="21"/>
                      <w:szCs w:val="21"/>
                      <w:highlight w:val="none"/>
                      <w:vertAlign w:val="baseline"/>
                      <w:lang w:eastAsia="zh-CN"/>
                    </w:rPr>
                    <w:t>消耗量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w:t>
                  </w:r>
                </w:p>
              </w:tc>
              <w:tc>
                <w:tcPr>
                  <w:tcW w:w="1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highlight w:val="none"/>
                      <w:vertAlign w:val="baseline"/>
                      <w:lang w:eastAsia="zh-CN"/>
                    </w:rPr>
                  </w:pPr>
                  <w:r>
                    <w:rPr>
                      <w:rFonts w:hint="eastAsia"/>
                      <w:b w:val="0"/>
                      <w:bCs w:val="0"/>
                      <w:color w:val="auto"/>
                      <w:sz w:val="21"/>
                      <w:szCs w:val="21"/>
                      <w:highlight w:val="none"/>
                      <w:vertAlign w:val="baseline"/>
                      <w:lang w:eastAsia="zh-CN"/>
                    </w:rPr>
                    <w:t>水</w:t>
                  </w:r>
                </w:p>
              </w:tc>
              <w:tc>
                <w:tcPr>
                  <w:tcW w:w="2263" w:type="dxa"/>
                  <w:tcBorders>
                    <w:righ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m</w:t>
                  </w:r>
                  <w:r>
                    <w:rPr>
                      <w:rFonts w:hint="eastAsia"/>
                      <w:b w:val="0"/>
                      <w:bCs w:val="0"/>
                      <w:color w:val="auto"/>
                      <w:sz w:val="21"/>
                      <w:szCs w:val="21"/>
                      <w:highlight w:val="none"/>
                      <w:vertAlign w:val="superscript"/>
                      <w:lang w:val="en-US" w:eastAsia="zh-CN"/>
                    </w:rPr>
                    <w:t>3</w:t>
                  </w:r>
                  <w:r>
                    <w:rPr>
                      <w:rFonts w:hint="eastAsia"/>
                      <w:b w:val="0"/>
                      <w:bCs w:val="0"/>
                      <w:color w:val="auto"/>
                      <w:sz w:val="21"/>
                      <w:szCs w:val="21"/>
                      <w:highlight w:val="none"/>
                      <w:vertAlign w:val="baseline"/>
                      <w:lang w:val="en-US" w:eastAsia="zh-CN"/>
                    </w:rPr>
                    <w:t>/a</w:t>
                  </w:r>
                </w:p>
              </w:tc>
              <w:tc>
                <w:tcPr>
                  <w:tcW w:w="3238" w:type="dxa"/>
                  <w:tcBorders>
                    <w:lef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b w:val="0"/>
                      <w:bCs w:val="0"/>
                      <w:color w:val="auto"/>
                      <w:kern w:val="2"/>
                      <w:sz w:val="21"/>
                      <w:szCs w:val="21"/>
                      <w:highlight w:val="none"/>
                      <w:vertAlign w:val="baseline"/>
                      <w:lang w:val="en-US" w:eastAsia="zh-CN" w:bidi="ar-SA"/>
                    </w:rPr>
                  </w:pPr>
                  <w:r>
                    <w:rPr>
                      <w:rFonts w:hint="eastAsia" w:cstheme="minorBidi"/>
                      <w:b w:val="0"/>
                      <w:bCs w:val="0"/>
                      <w:color w:val="auto"/>
                      <w:kern w:val="2"/>
                      <w:sz w:val="21"/>
                      <w:szCs w:val="21"/>
                      <w:highlight w:val="none"/>
                      <w:vertAlign w:val="baseline"/>
                      <w:lang w:val="en-US" w:eastAsia="zh-CN" w:bidi="ar-SA"/>
                    </w:rPr>
                    <w:t>3535.2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 w:hRule="atLeast"/>
              </w:trPr>
              <w:tc>
                <w:tcPr>
                  <w:tcW w:w="7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w:t>
                  </w:r>
                </w:p>
              </w:tc>
              <w:tc>
                <w:tcPr>
                  <w:tcW w:w="1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highlight w:val="none"/>
                      <w:vertAlign w:val="baseline"/>
                      <w:lang w:eastAsia="zh-CN"/>
                    </w:rPr>
                  </w:pPr>
                  <w:r>
                    <w:rPr>
                      <w:rFonts w:hint="eastAsia"/>
                      <w:b w:val="0"/>
                      <w:bCs w:val="0"/>
                      <w:color w:val="auto"/>
                      <w:sz w:val="21"/>
                      <w:szCs w:val="21"/>
                      <w:highlight w:val="none"/>
                      <w:vertAlign w:val="baseline"/>
                      <w:lang w:eastAsia="zh-CN"/>
                    </w:rPr>
                    <w:t>电</w:t>
                  </w:r>
                </w:p>
              </w:tc>
              <w:tc>
                <w:tcPr>
                  <w:tcW w:w="2263" w:type="dxa"/>
                  <w:tcBorders>
                    <w:righ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万kwh</w:t>
                  </w:r>
                </w:p>
              </w:tc>
              <w:tc>
                <w:tcPr>
                  <w:tcW w:w="3238" w:type="dxa"/>
                  <w:tcBorders>
                    <w:lef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b w:val="0"/>
                      <w:bCs w:val="0"/>
                      <w:color w:val="auto"/>
                      <w:kern w:val="2"/>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360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w:t>
                  </w:r>
                </w:p>
              </w:tc>
              <w:tc>
                <w:tcPr>
                  <w:tcW w:w="1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煤炭</w:t>
                  </w:r>
                </w:p>
              </w:tc>
              <w:tc>
                <w:tcPr>
                  <w:tcW w:w="2263" w:type="dxa"/>
                  <w:tcBorders>
                    <w:righ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t/a</w:t>
                  </w:r>
                </w:p>
              </w:tc>
              <w:tc>
                <w:tcPr>
                  <w:tcW w:w="3238" w:type="dxa"/>
                  <w:tcBorders>
                    <w:lef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b w:val="0"/>
                      <w:bCs w:val="0"/>
                      <w:color w:val="auto"/>
                      <w:kern w:val="2"/>
                      <w:sz w:val="21"/>
                      <w:szCs w:val="21"/>
                      <w:highlight w:val="none"/>
                      <w:vertAlign w:val="baseline"/>
                      <w:lang w:val="en-US" w:eastAsia="zh-CN" w:bidi="ar-SA"/>
                    </w:rPr>
                  </w:pPr>
                  <w:r>
                    <w:rPr>
                      <w:rFonts w:hint="eastAsia" w:cstheme="minorBidi"/>
                      <w:b w:val="0"/>
                      <w:bCs w:val="0"/>
                      <w:color w:val="auto"/>
                      <w:kern w:val="2"/>
                      <w:sz w:val="21"/>
                      <w:szCs w:val="21"/>
                      <w:highlight w:val="none"/>
                      <w:vertAlign w:val="baseline"/>
                      <w:lang w:val="en-US" w:eastAsia="zh-CN" w:bidi="ar-SA"/>
                    </w:rPr>
                    <w:t>1600</w:t>
                  </w:r>
                </w:p>
              </w:tc>
            </w:tr>
          </w:tbl>
          <w:p>
            <w:pPr>
              <w:bidi w:val="0"/>
              <w:rPr>
                <w:rFonts w:hint="eastAsia"/>
                <w:b/>
                <w:bCs/>
                <w:color w:val="auto"/>
                <w:highlight w:val="none"/>
                <w:lang w:eastAsia="zh-CN"/>
              </w:rPr>
            </w:pPr>
            <w:r>
              <w:rPr>
                <w:rFonts w:hint="eastAsia"/>
                <w:b/>
                <w:bCs/>
                <w:color w:val="auto"/>
                <w:highlight w:val="none"/>
                <w:lang w:val="en-US" w:eastAsia="zh-CN"/>
              </w:rPr>
              <w:t>1.3</w:t>
            </w:r>
            <w:r>
              <w:rPr>
                <w:rFonts w:hint="eastAsia"/>
                <w:b/>
                <w:bCs/>
                <w:color w:val="auto"/>
                <w:highlight w:val="none"/>
                <w:lang w:eastAsia="zh-CN"/>
              </w:rPr>
              <w:t>现有工程生产设备</w:t>
            </w:r>
          </w:p>
          <w:p>
            <w:pPr>
              <w:bidi w:val="0"/>
              <w:rPr>
                <w:rFonts w:hint="default"/>
                <w:color w:val="auto"/>
                <w:highlight w:val="none"/>
                <w:lang w:val="en-US" w:eastAsia="zh-CN"/>
              </w:rPr>
            </w:pPr>
            <w:r>
              <w:rPr>
                <w:rFonts w:hint="eastAsia"/>
                <w:color w:val="auto"/>
                <w:highlight w:val="none"/>
                <w:lang w:eastAsia="zh-CN"/>
              </w:rPr>
              <w:t>现有工程主要生产设备见下表</w:t>
            </w:r>
            <w:r>
              <w:rPr>
                <w:rFonts w:hint="eastAsia"/>
                <w:color w:val="auto"/>
                <w:highlight w:val="none"/>
                <w:lang w:val="en-US" w:eastAsia="zh-CN"/>
              </w:rPr>
              <w:t>3。</w:t>
            </w:r>
          </w:p>
          <w:p>
            <w:pPr>
              <w:bidi w:val="0"/>
              <w:jc w:val="center"/>
              <w:rPr>
                <w:rFonts w:hint="default" w:eastAsia="宋体"/>
                <w:b/>
                <w:bCs/>
                <w:color w:val="auto"/>
                <w:highlight w:val="none"/>
                <w:lang w:val="en-US" w:eastAsia="zh-CN"/>
              </w:rPr>
            </w:pPr>
            <w:r>
              <w:rPr>
                <w:rFonts w:hint="eastAsia"/>
                <w:b/>
                <w:bCs/>
                <w:color w:val="auto"/>
                <w:highlight w:val="none"/>
                <w:lang w:eastAsia="zh-CN"/>
              </w:rPr>
              <w:t>表</w:t>
            </w:r>
            <w:r>
              <w:rPr>
                <w:rFonts w:hint="eastAsia"/>
                <w:b/>
                <w:bCs/>
                <w:color w:val="auto"/>
                <w:highlight w:val="none"/>
                <w:lang w:val="en-US" w:eastAsia="zh-CN"/>
              </w:rPr>
              <w:t>3 现有工程生产设备一览表</w:t>
            </w:r>
          </w:p>
          <w:tbl>
            <w:tblPr>
              <w:tblStyle w:val="18"/>
              <w:tblW w:w="7878"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72"/>
              <w:gridCol w:w="1831"/>
              <w:gridCol w:w="3585"/>
              <w:gridCol w:w="750"/>
              <w:gridCol w:w="94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7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序号</w:t>
                  </w:r>
                </w:p>
              </w:tc>
              <w:tc>
                <w:tcPr>
                  <w:tcW w:w="18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eastAsia="zh-CN"/>
                    </w:rPr>
                    <w:t>设备名称</w:t>
                  </w:r>
                </w:p>
              </w:tc>
              <w:tc>
                <w:tcPr>
                  <w:tcW w:w="35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eastAsia="zh-CN"/>
                    </w:rPr>
                    <w:t>型号或尺寸</w:t>
                  </w:r>
                </w:p>
              </w:tc>
              <w:tc>
                <w:tcPr>
                  <w:tcW w:w="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b/>
                      <w:bCs/>
                      <w:color w:val="auto"/>
                      <w:kern w:val="2"/>
                      <w:sz w:val="21"/>
                      <w:szCs w:val="21"/>
                      <w:highlight w:val="none"/>
                      <w:vertAlign w:val="baseline"/>
                      <w:lang w:val="en-US" w:eastAsia="zh-CN" w:bidi="ar-SA"/>
                    </w:rPr>
                  </w:pPr>
                  <w:r>
                    <w:rPr>
                      <w:rFonts w:hint="eastAsia" w:cstheme="minorBidi"/>
                      <w:b/>
                      <w:bCs/>
                      <w:color w:val="auto"/>
                      <w:kern w:val="2"/>
                      <w:sz w:val="21"/>
                      <w:szCs w:val="21"/>
                      <w:highlight w:val="none"/>
                      <w:vertAlign w:val="baseline"/>
                      <w:lang w:val="en-US" w:eastAsia="zh-CN" w:bidi="ar-SA"/>
                    </w:rPr>
                    <w:t>单位</w:t>
                  </w:r>
                </w:p>
              </w:tc>
              <w:tc>
                <w:tcPr>
                  <w:tcW w:w="9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sz w:val="21"/>
                      <w:szCs w:val="21"/>
                      <w:highlight w:val="none"/>
                      <w:vertAlign w:val="baseline"/>
                      <w:lang w:eastAsia="zh-CN"/>
                    </w:rPr>
                  </w:pPr>
                  <w:r>
                    <w:rPr>
                      <w:rFonts w:hint="eastAsia"/>
                      <w:b/>
                      <w:bCs/>
                      <w:color w:val="auto"/>
                      <w:sz w:val="21"/>
                      <w:szCs w:val="21"/>
                      <w:highlight w:val="none"/>
                      <w:vertAlign w:val="baseline"/>
                      <w:lang w:eastAsia="zh-CN"/>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7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1</w:t>
                  </w:r>
                </w:p>
              </w:tc>
              <w:tc>
                <w:tcPr>
                  <w:tcW w:w="18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鼓风机</w:t>
                  </w:r>
                </w:p>
              </w:tc>
              <w:tc>
                <w:tcPr>
                  <w:tcW w:w="35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Q=9639m</w:t>
                  </w:r>
                  <w:r>
                    <w:rPr>
                      <w:rFonts w:hint="eastAsia"/>
                      <w:color w:val="auto"/>
                      <w:sz w:val="21"/>
                      <w:szCs w:val="21"/>
                      <w:highlight w:val="none"/>
                      <w:vertAlign w:val="superscript"/>
                    </w:rPr>
                    <w:t>3</w:t>
                  </w:r>
                  <w:r>
                    <w:rPr>
                      <w:rFonts w:hint="eastAsia"/>
                      <w:color w:val="auto"/>
                      <w:sz w:val="21"/>
                      <w:szCs w:val="21"/>
                      <w:highlight w:val="none"/>
                    </w:rPr>
                    <w:t>/h，H=1842Pa，N=35kw</w:t>
                  </w:r>
                </w:p>
              </w:tc>
              <w:tc>
                <w:tcPr>
                  <w:tcW w:w="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台</w:t>
                  </w:r>
                </w:p>
              </w:tc>
              <w:tc>
                <w:tcPr>
                  <w:tcW w:w="9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7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2</w:t>
                  </w:r>
                </w:p>
              </w:tc>
              <w:tc>
                <w:tcPr>
                  <w:tcW w:w="18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引风机</w:t>
                  </w:r>
                </w:p>
              </w:tc>
              <w:tc>
                <w:tcPr>
                  <w:tcW w:w="35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Q=24467m</w:t>
                  </w:r>
                  <w:r>
                    <w:rPr>
                      <w:rFonts w:hint="eastAsia"/>
                      <w:color w:val="auto"/>
                      <w:sz w:val="21"/>
                      <w:szCs w:val="21"/>
                      <w:highlight w:val="none"/>
                      <w:vertAlign w:val="superscript"/>
                    </w:rPr>
                    <w:t>3</w:t>
                  </w:r>
                  <w:r>
                    <w:rPr>
                      <w:rFonts w:hint="eastAsia"/>
                      <w:color w:val="auto"/>
                      <w:sz w:val="21"/>
                      <w:szCs w:val="21"/>
                      <w:highlight w:val="none"/>
                    </w:rPr>
                    <w:t>/h，H=3141Pa，N=135kw</w:t>
                  </w:r>
                </w:p>
              </w:tc>
              <w:tc>
                <w:tcPr>
                  <w:tcW w:w="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台</w:t>
                  </w:r>
                </w:p>
              </w:tc>
              <w:tc>
                <w:tcPr>
                  <w:tcW w:w="9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7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3</w:t>
                  </w:r>
                </w:p>
              </w:tc>
              <w:tc>
                <w:tcPr>
                  <w:tcW w:w="18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除渣机</w:t>
                  </w:r>
                </w:p>
              </w:tc>
              <w:tc>
                <w:tcPr>
                  <w:tcW w:w="35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GBG—4B</w:t>
                  </w:r>
                </w:p>
              </w:tc>
              <w:tc>
                <w:tcPr>
                  <w:tcW w:w="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台</w:t>
                  </w:r>
                </w:p>
              </w:tc>
              <w:tc>
                <w:tcPr>
                  <w:tcW w:w="9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77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4</w:t>
                  </w:r>
                </w:p>
              </w:tc>
              <w:tc>
                <w:tcPr>
                  <w:tcW w:w="183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全自动软水器</w:t>
                  </w:r>
                </w:p>
              </w:tc>
              <w:tc>
                <w:tcPr>
                  <w:tcW w:w="358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Q=8-16t/h</w:t>
                  </w:r>
                </w:p>
              </w:tc>
              <w:tc>
                <w:tcPr>
                  <w:tcW w:w="75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台</w:t>
                  </w:r>
                </w:p>
              </w:tc>
              <w:tc>
                <w:tcPr>
                  <w:tcW w:w="94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77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5</w:t>
                  </w:r>
                </w:p>
              </w:tc>
              <w:tc>
                <w:tcPr>
                  <w:tcW w:w="183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热网循环水泵</w:t>
                  </w:r>
                </w:p>
              </w:tc>
              <w:tc>
                <w:tcPr>
                  <w:tcW w:w="358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Q=280m</w:t>
                  </w:r>
                  <w:r>
                    <w:rPr>
                      <w:rFonts w:hint="eastAsia"/>
                      <w:color w:val="auto"/>
                      <w:sz w:val="21"/>
                      <w:szCs w:val="21"/>
                      <w:highlight w:val="none"/>
                      <w:vertAlign w:val="superscript"/>
                    </w:rPr>
                    <w:t>3</w:t>
                  </w:r>
                  <w:r>
                    <w:rPr>
                      <w:rFonts w:hint="eastAsia"/>
                      <w:color w:val="auto"/>
                      <w:sz w:val="21"/>
                      <w:szCs w:val="21"/>
                      <w:highlight w:val="none"/>
                    </w:rPr>
                    <w:t>/h，H=0.54MPa，N=160kw</w:t>
                  </w:r>
                </w:p>
              </w:tc>
              <w:tc>
                <w:tcPr>
                  <w:tcW w:w="75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台</w:t>
                  </w:r>
                </w:p>
              </w:tc>
              <w:tc>
                <w:tcPr>
                  <w:tcW w:w="94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77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6</w:t>
                  </w:r>
                </w:p>
              </w:tc>
              <w:tc>
                <w:tcPr>
                  <w:tcW w:w="183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变频除氧补水泵</w:t>
                  </w:r>
                </w:p>
              </w:tc>
              <w:tc>
                <w:tcPr>
                  <w:tcW w:w="358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Q=15m</w:t>
                  </w:r>
                  <w:r>
                    <w:rPr>
                      <w:rFonts w:hint="eastAsia"/>
                      <w:color w:val="auto"/>
                      <w:sz w:val="21"/>
                      <w:szCs w:val="21"/>
                      <w:highlight w:val="none"/>
                      <w:vertAlign w:val="superscript"/>
                    </w:rPr>
                    <w:t>3</w:t>
                  </w:r>
                  <w:r>
                    <w:rPr>
                      <w:rFonts w:hint="eastAsia"/>
                      <w:color w:val="auto"/>
                      <w:sz w:val="21"/>
                      <w:szCs w:val="21"/>
                      <w:highlight w:val="none"/>
                    </w:rPr>
                    <w:t>/h，H=50Pa，N=15kw</w:t>
                  </w:r>
                </w:p>
              </w:tc>
              <w:tc>
                <w:tcPr>
                  <w:tcW w:w="75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台</w:t>
                  </w:r>
                </w:p>
              </w:tc>
              <w:tc>
                <w:tcPr>
                  <w:tcW w:w="94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rPr>
                    <w:t>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77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7</w:t>
                  </w:r>
                </w:p>
              </w:tc>
              <w:tc>
                <w:tcPr>
                  <w:tcW w:w="183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lang w:val="en-US" w:eastAsia="zh-CN"/>
                    </w:rPr>
                    <w:t>布袋除尘器</w:t>
                  </w:r>
                </w:p>
              </w:tc>
              <w:tc>
                <w:tcPr>
                  <w:tcW w:w="35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olor w:val="auto"/>
                      <w:sz w:val="21"/>
                      <w:szCs w:val="21"/>
                      <w:highlight w:val="none"/>
                      <w:lang w:val="en-US" w:eastAsia="zh-CN"/>
                    </w:rPr>
                    <w:t>CMD480</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台</w:t>
                  </w:r>
                </w:p>
              </w:tc>
              <w:tc>
                <w:tcPr>
                  <w:tcW w:w="9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77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8</w:t>
                  </w:r>
                </w:p>
              </w:tc>
              <w:tc>
                <w:tcPr>
                  <w:tcW w:w="183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排气筒</w:t>
                  </w:r>
                </w:p>
              </w:tc>
              <w:tc>
                <w:tcPr>
                  <w:tcW w:w="35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高45m、内径1.2m</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根</w:t>
                  </w:r>
                </w:p>
              </w:tc>
              <w:tc>
                <w:tcPr>
                  <w:tcW w:w="9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9" w:hRule="atLeast"/>
              </w:trPr>
              <w:tc>
                <w:tcPr>
                  <w:tcW w:w="77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183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燃煤热水锅炉</w:t>
                  </w:r>
                </w:p>
              </w:tc>
              <w:tc>
                <w:tcPr>
                  <w:tcW w:w="35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QXX7-1.0/95/70-A</w:t>
                  </w:r>
                  <w:r>
                    <w:rPr>
                      <w:rFonts w:hint="eastAsia" w:ascii="宋体" w:hAnsi="宋体" w:eastAsia="宋体" w:cs="宋体"/>
                      <w:bCs/>
                      <w:color w:val="auto"/>
                      <w:kern w:val="2"/>
                      <w:sz w:val="21"/>
                      <w:szCs w:val="21"/>
                      <w:highlight w:val="none"/>
                      <w:lang w:val="en-US" w:eastAsia="zh-CN" w:bidi="ar-SA"/>
                    </w:rPr>
                    <w:t>Ⅱ</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台</w:t>
                  </w:r>
                </w:p>
              </w:tc>
              <w:tc>
                <w:tcPr>
                  <w:tcW w:w="9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2</w:t>
                  </w:r>
                </w:p>
              </w:tc>
            </w:tr>
          </w:tbl>
          <w:p>
            <w:pPr>
              <w:bidi w:val="0"/>
              <w:rPr>
                <w:rFonts w:hint="eastAsia"/>
                <w:b/>
                <w:bCs/>
                <w:color w:val="auto"/>
                <w:highlight w:val="none"/>
                <w:lang w:eastAsia="zh-CN"/>
              </w:rPr>
            </w:pPr>
            <w:r>
              <w:rPr>
                <w:rFonts w:hint="eastAsia"/>
                <w:b/>
                <w:bCs/>
                <w:color w:val="auto"/>
                <w:highlight w:val="none"/>
                <w:lang w:val="en-US" w:eastAsia="zh-CN"/>
              </w:rPr>
              <w:t>1.4</w:t>
            </w:r>
            <w:r>
              <w:rPr>
                <w:rFonts w:hint="eastAsia"/>
                <w:b/>
                <w:bCs/>
                <w:color w:val="auto"/>
                <w:highlight w:val="none"/>
                <w:lang w:eastAsia="zh-CN"/>
              </w:rPr>
              <w:t>公用工程</w:t>
            </w:r>
          </w:p>
          <w:p>
            <w:pPr>
              <w:bidi w:val="0"/>
              <w:rPr>
                <w:rFonts w:hint="default" w:eastAsia="宋体"/>
                <w:b/>
                <w:bCs/>
                <w:color w:val="auto"/>
                <w:highlight w:val="none"/>
                <w:lang w:val="en-US" w:eastAsia="zh-CN"/>
              </w:rPr>
            </w:pPr>
            <w:r>
              <w:rPr>
                <w:rFonts w:hint="eastAsia"/>
                <w:b/>
                <w:bCs/>
                <w:color w:val="auto"/>
                <w:highlight w:val="none"/>
                <w:lang w:val="en-US" w:eastAsia="zh-CN"/>
              </w:rPr>
              <w:t>1.4.1给水</w:t>
            </w:r>
          </w:p>
          <w:p>
            <w:pPr>
              <w:bidi w:val="0"/>
              <w:rPr>
                <w:rFonts w:hint="eastAsia"/>
                <w:color w:val="auto"/>
                <w:highlight w:val="none"/>
                <w:lang w:val="en-US" w:eastAsia="zh-CN"/>
              </w:rPr>
            </w:pPr>
            <w:r>
              <w:rPr>
                <w:rFonts w:hint="eastAsia"/>
                <w:color w:val="auto"/>
                <w:highlight w:val="none"/>
                <w:lang w:val="en-US" w:eastAsia="zh-CN"/>
              </w:rPr>
              <w:t>现有工程用水情况如下：</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锅炉用水</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本项目1台</w:t>
            </w:r>
            <w:r>
              <w:rPr>
                <w:rFonts w:hint="eastAsia" w:cs="Times New Roman"/>
                <w:color w:val="auto"/>
                <w:sz w:val="24"/>
                <w:szCs w:val="24"/>
                <w:highlight w:val="none"/>
                <w:lang w:val="en-US" w:eastAsia="zh-CN"/>
              </w:rPr>
              <w:t>10t/h的燃煤</w:t>
            </w:r>
            <w:r>
              <w:rPr>
                <w:rFonts w:hint="default" w:ascii="Times New Roman" w:hAnsi="Times New Roman" w:eastAsia="宋体" w:cs="Times New Roman"/>
                <w:color w:val="auto"/>
                <w:sz w:val="24"/>
                <w:szCs w:val="24"/>
                <w:highlight w:val="none"/>
                <w:lang w:eastAsia="zh-CN"/>
              </w:rPr>
              <w:t>热水锅炉</w:t>
            </w:r>
            <w:r>
              <w:rPr>
                <w:rFonts w:hint="default" w:ascii="Times New Roman" w:hAnsi="Times New Roman" w:eastAsia="宋体" w:cs="Times New Roman"/>
                <w:color w:val="auto"/>
                <w:sz w:val="24"/>
                <w:szCs w:val="24"/>
                <w:highlight w:val="none"/>
              </w:rPr>
              <w:t>产生的热水输送至用热部门后，最终返回</w:t>
            </w:r>
            <w:r>
              <w:rPr>
                <w:rFonts w:hint="eastAsia" w:cs="Times New Roman"/>
                <w:color w:val="auto"/>
                <w:sz w:val="24"/>
                <w:szCs w:val="24"/>
                <w:highlight w:val="none"/>
                <w:lang w:val="en-US" w:eastAsia="zh-CN"/>
              </w:rPr>
              <w:t>燃煤</w:t>
            </w:r>
            <w:r>
              <w:rPr>
                <w:rFonts w:hint="default" w:ascii="Times New Roman" w:hAnsi="Times New Roman" w:eastAsia="宋体" w:cs="Times New Roman"/>
                <w:color w:val="auto"/>
                <w:sz w:val="24"/>
                <w:szCs w:val="24"/>
                <w:highlight w:val="none"/>
                <w:lang w:eastAsia="zh-CN"/>
              </w:rPr>
              <w:t>热水锅炉</w:t>
            </w:r>
            <w:r>
              <w:rPr>
                <w:rFonts w:hint="default" w:ascii="Times New Roman" w:hAnsi="Times New Roman" w:eastAsia="宋体" w:cs="Times New Roman"/>
                <w:color w:val="auto"/>
                <w:sz w:val="24"/>
                <w:szCs w:val="24"/>
                <w:highlight w:val="none"/>
              </w:rPr>
              <w:t>。</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锅炉排污水按循环水量的2%计算，则锅炉排污水排放量为</w:t>
            </w:r>
            <w:r>
              <w:rPr>
                <w:rFonts w:hint="default" w:ascii="Times New Roman" w:hAnsi="Times New Roman" w:eastAsia="宋体" w:cs="Times New Roman"/>
                <w:color w:val="auto"/>
                <w:sz w:val="24"/>
                <w:szCs w:val="24"/>
                <w:highlight w:val="none"/>
                <w:lang w:val="en-US" w:eastAsia="zh-CN"/>
              </w:rPr>
              <w:t>0.2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4.8</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val="en-US" w:eastAsia="zh-CN"/>
              </w:rPr>
              <w:t>864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/a）；锅炉内热水加热过程中，水分</w:t>
            </w:r>
            <w:r>
              <w:rPr>
                <w:rFonts w:hint="default" w:ascii="Times New Roman" w:hAnsi="Times New Roman" w:eastAsia="宋体" w:cs="Times New Roman"/>
                <w:color w:val="auto"/>
                <w:sz w:val="24"/>
                <w:szCs w:val="24"/>
                <w:highlight w:val="none"/>
                <w:lang w:val="zh-CN"/>
              </w:rPr>
              <w:t>损失量</w:t>
            </w:r>
            <w:r>
              <w:rPr>
                <w:rFonts w:hint="default" w:ascii="Times New Roman" w:hAnsi="Times New Roman" w:eastAsia="宋体" w:cs="Times New Roman"/>
                <w:color w:val="auto"/>
                <w:sz w:val="24"/>
                <w:szCs w:val="24"/>
                <w:highlight w:val="none"/>
              </w:rPr>
              <w:t>按循环水量的3%计算，则锅炉循环水损失量为0.</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7.2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val="en-US" w:eastAsia="zh-CN"/>
              </w:rPr>
              <w:t>1296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锅炉用水通过软水制备装置补给，本项目1台</w:t>
            </w:r>
            <w:r>
              <w:rPr>
                <w:rFonts w:hint="eastAsia" w:cs="Times New Roman"/>
                <w:color w:val="auto"/>
                <w:sz w:val="24"/>
                <w:szCs w:val="24"/>
                <w:highlight w:val="none"/>
                <w:lang w:val="en-US" w:eastAsia="zh-CN"/>
              </w:rPr>
              <w:t>10t/h的燃煤</w:t>
            </w:r>
            <w:r>
              <w:rPr>
                <w:rFonts w:hint="default" w:ascii="Times New Roman" w:hAnsi="Times New Roman" w:eastAsia="宋体" w:cs="Times New Roman"/>
                <w:color w:val="auto"/>
                <w:sz w:val="24"/>
                <w:szCs w:val="24"/>
                <w:highlight w:val="none"/>
                <w:lang w:eastAsia="zh-CN"/>
              </w:rPr>
              <w:t>热水锅炉</w:t>
            </w:r>
            <w:r>
              <w:rPr>
                <w:rFonts w:hint="default" w:ascii="Times New Roman" w:hAnsi="Times New Roman" w:eastAsia="宋体" w:cs="Times New Roman"/>
                <w:color w:val="auto"/>
                <w:sz w:val="24"/>
                <w:szCs w:val="24"/>
                <w:highlight w:val="none"/>
              </w:rPr>
              <w:t>软水消耗量为0.</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val="en-US" w:eastAsia="zh-CN"/>
              </w:rPr>
              <w:t>2160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/a），软水制备装置的软水产出率按80%计算，因此，软水制备装置消耗的新鲜水量为</w:t>
            </w:r>
            <w:r>
              <w:rPr>
                <w:rFonts w:hint="default" w:ascii="Times New Roman" w:hAnsi="Times New Roman" w:eastAsia="宋体" w:cs="Times New Roman"/>
                <w:color w:val="auto"/>
                <w:sz w:val="24"/>
                <w:szCs w:val="24"/>
                <w:highlight w:val="none"/>
                <w:lang w:val="en-US" w:eastAsia="zh-CN"/>
              </w:rPr>
              <w:t>0.625</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15</w:t>
            </w:r>
            <w:r>
              <w:rPr>
                <w:rFonts w:hint="default" w:ascii="Times New Roman" w:hAnsi="Times New Roman" w:eastAsia="宋体" w:cs="Times New Roman"/>
                <w:color w:val="auto"/>
                <w:sz w:val="24"/>
                <w:szCs w:val="24"/>
                <w:highlight w:val="none"/>
                <w:lang w:eastAsia="zh-CN"/>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2700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p>
          <w:p>
            <w:pPr>
              <w:pStyle w:val="10"/>
              <w:keepNext w:val="0"/>
              <w:keepLines w:val="0"/>
              <w:pageBreakBefore w:val="0"/>
              <w:kinsoku/>
              <w:wordWrap/>
              <w:overflowPunct/>
              <w:topLinePunct w:val="0"/>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出渣机补水</w:t>
            </w:r>
          </w:p>
          <w:p>
            <w:pPr>
              <w:pStyle w:val="10"/>
              <w:keepNext w:val="0"/>
              <w:keepLines w:val="0"/>
              <w:pageBreakBefore w:val="0"/>
              <w:kinsoku/>
              <w:wordWrap/>
              <w:overflowPunct/>
              <w:topLinePunct w:val="0"/>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szCs w:val="24"/>
                <w:highlight w:val="none"/>
                <w:lang w:eastAsia="zh-CN"/>
              </w:rPr>
              <w:t>生物质热水锅炉</w:t>
            </w:r>
            <w:r>
              <w:rPr>
                <w:rFonts w:hint="default" w:ascii="Times New Roman" w:hAnsi="Times New Roman" w:eastAsia="宋体" w:cs="Times New Roman"/>
                <w:color w:val="auto"/>
                <w:sz w:val="24"/>
                <w:szCs w:val="24"/>
                <w:highlight w:val="none"/>
              </w:rPr>
              <w:t>出渣采用湿出渣方式，由于出渣过程中温度较高，水与锅炉炉渣直接接触时，出渣废水由于炉渣热量的作用成为水蒸汽外排</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出渣废水循环使用，不外排。出渣废水蒸发损失量按锅炉炉渣量的30%计算</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本项目生物质热水</w:t>
            </w:r>
            <w:r>
              <w:rPr>
                <w:rFonts w:hint="default" w:ascii="Times New Roman" w:hAnsi="Times New Roman" w:eastAsia="宋体" w:cs="Times New Roman"/>
                <w:color w:val="auto"/>
                <w:sz w:val="24"/>
                <w:szCs w:val="24"/>
                <w:highlight w:val="none"/>
              </w:rPr>
              <w:t>锅炉炉渣量</w:t>
            </w:r>
            <w:r>
              <w:rPr>
                <w:rFonts w:hint="default" w:ascii="Times New Roman" w:hAnsi="Times New Roman" w:eastAsia="宋体" w:cs="Times New Roman"/>
                <w:color w:val="auto"/>
                <w:sz w:val="24"/>
                <w:szCs w:val="24"/>
                <w:highlight w:val="none"/>
                <w:lang w:eastAsia="zh-CN"/>
              </w:rPr>
              <w:t>为216.4</w:t>
            </w:r>
            <w:r>
              <w:rPr>
                <w:rFonts w:hint="default" w:ascii="Times New Roman" w:hAnsi="Times New Roman" w:eastAsia="宋体" w:cs="Times New Roman"/>
                <w:color w:val="auto"/>
                <w:sz w:val="24"/>
                <w:szCs w:val="24"/>
                <w:highlight w:val="none"/>
                <w:lang w:val="en-US" w:eastAsia="zh-CN"/>
              </w:rPr>
              <w:t>t/a，则</w:t>
            </w:r>
            <w:r>
              <w:rPr>
                <w:rFonts w:hint="default" w:ascii="Times New Roman" w:hAnsi="Times New Roman" w:eastAsia="宋体" w:cs="Times New Roman"/>
                <w:color w:val="auto"/>
                <w:sz w:val="24"/>
                <w:szCs w:val="24"/>
                <w:highlight w:val="none"/>
              </w:rPr>
              <w:t>出渣机补水量为</w:t>
            </w:r>
            <w:r>
              <w:rPr>
                <w:rFonts w:hint="default" w:ascii="Times New Roman" w:hAnsi="Times New Roman" w:eastAsia="宋体" w:cs="Times New Roman"/>
                <w:color w:val="auto"/>
                <w:sz w:val="24"/>
                <w:szCs w:val="24"/>
                <w:highlight w:val="none"/>
                <w:lang w:val="en-US" w:eastAsia="zh-CN"/>
              </w:rPr>
              <w:t>0.36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64.8</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由</w:t>
            </w:r>
            <w:r>
              <w:rPr>
                <w:rFonts w:hint="default" w:ascii="Times New Roman" w:hAnsi="Times New Roman" w:eastAsia="宋体" w:cs="Times New Roman"/>
                <w:color w:val="auto"/>
                <w:sz w:val="24"/>
                <w:szCs w:val="24"/>
                <w:highlight w:val="none"/>
                <w:lang w:eastAsia="zh-CN"/>
              </w:rPr>
              <w:t>软水制备废水和锅炉排污水</w:t>
            </w:r>
            <w:r>
              <w:rPr>
                <w:rFonts w:hint="default" w:ascii="Times New Roman" w:hAnsi="Times New Roman" w:eastAsia="宋体" w:cs="Times New Roman"/>
                <w:color w:val="auto"/>
                <w:sz w:val="24"/>
                <w:szCs w:val="24"/>
                <w:highlight w:val="none"/>
                <w:lang w:val="en-US" w:eastAsia="zh-CN"/>
              </w:rPr>
              <w:t>供给</w:t>
            </w:r>
            <w:r>
              <w:rPr>
                <w:rFonts w:hint="default" w:ascii="Times New Roman" w:hAnsi="Times New Roman" w:eastAsia="宋体" w:cs="Times New Roman"/>
                <w:color w:val="auto"/>
                <w:sz w:val="24"/>
                <w:szCs w:val="24"/>
                <w:highlight w:val="none"/>
                <w:lang w:eastAsia="zh-CN"/>
              </w:rPr>
              <w:t>，不消耗新鲜水</w:t>
            </w:r>
            <w:r>
              <w:rPr>
                <w:rFonts w:hint="default" w:ascii="Times New Roman" w:hAnsi="Times New Roman" w:eastAsia="宋体" w:cs="Times New Roman"/>
                <w:color w:val="auto"/>
                <w:sz w:val="24"/>
                <w:szCs w:val="24"/>
                <w:highlight w:val="none"/>
              </w:rPr>
              <w:t>。</w:t>
            </w:r>
          </w:p>
          <w:p>
            <w:pPr>
              <w:keepNext w:val="0"/>
              <w:keepLines w:val="0"/>
              <w:pageBreakBefore w:val="0"/>
              <w:widowControl w:val="0"/>
              <w:suppressLineNumbers w:val="0"/>
              <w:kinsoku/>
              <w:wordWrap/>
              <w:overflowPunct/>
              <w:topLinePunct w:val="0"/>
              <w:autoSpaceDN/>
              <w:bidi w:val="0"/>
              <w:spacing w:before="0" w:beforeAutospacing="0" w:afterAutospacing="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灰渣</w:t>
            </w:r>
            <w:r>
              <w:rPr>
                <w:rFonts w:hint="default" w:ascii="Times New Roman" w:hAnsi="Times New Roman" w:eastAsia="宋体" w:cs="Times New Roman"/>
                <w:color w:val="auto"/>
                <w:sz w:val="24"/>
                <w:szCs w:val="24"/>
                <w:highlight w:val="none"/>
                <w:lang w:eastAsia="zh-CN"/>
              </w:rPr>
              <w:t>间抑尘用水</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本项目灰渣间</w:t>
            </w:r>
            <w:r>
              <w:rPr>
                <w:rFonts w:hint="default" w:ascii="Times New Roman" w:hAnsi="Times New Roman" w:eastAsia="宋体" w:cs="Times New Roman"/>
                <w:color w:val="auto"/>
                <w:sz w:val="24"/>
                <w:szCs w:val="24"/>
                <w:highlight w:val="none"/>
              </w:rPr>
              <w:t>面积为</w:t>
            </w:r>
            <w:r>
              <w:rPr>
                <w:rFonts w:hint="default" w:ascii="Times New Roman" w:hAnsi="Times New Roman" w:eastAsia="宋体" w:cs="Times New Roman"/>
                <w:color w:val="auto"/>
                <w:sz w:val="24"/>
                <w:szCs w:val="24"/>
                <w:highlight w:val="none"/>
                <w:lang w:val="en-US" w:eastAsia="zh-CN"/>
              </w:rPr>
              <w:t>400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，根据《内蒙古自治区行业用水定额标准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2019版）》</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内水资[2019]165号），场地喷洒用水定额按1.3L/</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·次）计，运营期共</w:t>
            </w:r>
            <w:r>
              <w:rPr>
                <w:rFonts w:hint="default" w:ascii="Times New Roman" w:hAnsi="Times New Roman" w:eastAsia="宋体" w:cs="Times New Roman"/>
                <w:color w:val="auto"/>
                <w:sz w:val="24"/>
                <w:szCs w:val="24"/>
                <w:highlight w:val="none"/>
                <w:lang w:val="en-US" w:eastAsia="zh-CN"/>
              </w:rPr>
              <w:t>180</w:t>
            </w:r>
            <w:r>
              <w:rPr>
                <w:rFonts w:hint="default" w:ascii="Times New Roman" w:hAnsi="Times New Roman" w:eastAsia="宋体" w:cs="Times New Roman"/>
                <w:color w:val="auto"/>
                <w:sz w:val="24"/>
                <w:szCs w:val="24"/>
                <w:highlight w:val="none"/>
              </w:rPr>
              <w:t>天，则</w:t>
            </w:r>
            <w:r>
              <w:rPr>
                <w:rFonts w:hint="default" w:ascii="Times New Roman" w:hAnsi="Times New Roman" w:eastAsia="宋体" w:cs="Times New Roman"/>
                <w:color w:val="auto"/>
                <w:sz w:val="24"/>
                <w:szCs w:val="24"/>
                <w:highlight w:val="none"/>
                <w:lang w:val="en-US" w:eastAsia="zh-CN"/>
              </w:rPr>
              <w:t>灰渣</w:t>
            </w:r>
            <w:r>
              <w:rPr>
                <w:rFonts w:hint="default" w:ascii="Times New Roman" w:hAnsi="Times New Roman" w:eastAsia="宋体" w:cs="Times New Roman"/>
                <w:color w:val="auto"/>
                <w:sz w:val="24"/>
                <w:szCs w:val="24"/>
                <w:highlight w:val="none"/>
                <w:lang w:eastAsia="zh-CN"/>
              </w:rPr>
              <w:t>间</w:t>
            </w:r>
            <w:r>
              <w:rPr>
                <w:rFonts w:hint="default" w:ascii="Times New Roman" w:hAnsi="Times New Roman" w:eastAsia="宋体" w:cs="Times New Roman"/>
                <w:color w:val="auto"/>
                <w:sz w:val="24"/>
                <w:szCs w:val="24"/>
                <w:highlight w:val="none"/>
                <w:lang w:val="en-US" w:eastAsia="zh-CN"/>
              </w:rPr>
              <w:t>降尘用水</w:t>
            </w:r>
            <w:r>
              <w:rPr>
                <w:rFonts w:hint="default" w:ascii="Times New Roman" w:hAnsi="Times New Roman" w:eastAsia="宋体" w:cs="Times New Roman"/>
                <w:color w:val="auto"/>
                <w:sz w:val="24"/>
                <w:szCs w:val="24"/>
                <w:highlight w:val="none"/>
              </w:rPr>
              <w:t>量约</w:t>
            </w:r>
            <w:r>
              <w:rPr>
                <w:rFonts w:hint="default" w:ascii="Times New Roman" w:hAnsi="Times New Roman" w:eastAsia="宋体" w:cs="Times New Roman"/>
                <w:color w:val="auto"/>
                <w:sz w:val="24"/>
                <w:szCs w:val="24"/>
                <w:highlight w:val="none"/>
                <w:lang w:val="en-US" w:eastAsia="zh-CN"/>
              </w:rPr>
              <w:t>0.52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93.6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由</w:t>
            </w:r>
            <w:r>
              <w:rPr>
                <w:rFonts w:hint="default" w:ascii="Times New Roman" w:hAnsi="Times New Roman" w:eastAsia="宋体" w:cs="Times New Roman"/>
                <w:color w:val="auto"/>
                <w:sz w:val="24"/>
                <w:szCs w:val="24"/>
                <w:highlight w:val="none"/>
                <w:lang w:eastAsia="zh-CN"/>
              </w:rPr>
              <w:t>软水制备废水和锅炉排污水</w:t>
            </w:r>
            <w:r>
              <w:rPr>
                <w:rFonts w:hint="default" w:ascii="Times New Roman" w:hAnsi="Times New Roman" w:eastAsia="宋体" w:cs="Times New Roman"/>
                <w:color w:val="auto"/>
                <w:sz w:val="24"/>
                <w:szCs w:val="24"/>
                <w:highlight w:val="none"/>
                <w:lang w:val="en-US" w:eastAsia="zh-CN"/>
              </w:rPr>
              <w:t>供给</w:t>
            </w:r>
            <w:r>
              <w:rPr>
                <w:rFonts w:hint="default" w:ascii="Times New Roman" w:hAnsi="Times New Roman" w:eastAsia="宋体" w:cs="Times New Roman"/>
                <w:color w:val="auto"/>
                <w:sz w:val="24"/>
                <w:szCs w:val="24"/>
                <w:highlight w:val="none"/>
                <w:lang w:eastAsia="zh-CN"/>
              </w:rPr>
              <w:t>，不消耗新鲜水</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脱硫</w:t>
            </w:r>
            <w:r>
              <w:rPr>
                <w:rFonts w:hint="default" w:ascii="Times New Roman" w:hAnsi="Times New Roman" w:eastAsia="宋体" w:cs="Times New Roman"/>
                <w:color w:val="auto"/>
                <w:sz w:val="24"/>
                <w:szCs w:val="24"/>
                <w:highlight w:val="none"/>
              </w:rPr>
              <w:t>用水</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szCs w:val="24"/>
                <w:highlight w:val="none"/>
                <w:lang w:eastAsia="zh-CN"/>
              </w:rPr>
              <w:t>生物质热水锅炉</w:t>
            </w:r>
            <w:r>
              <w:rPr>
                <w:rFonts w:hint="default" w:ascii="Times New Roman" w:hAnsi="Times New Roman" w:eastAsia="宋体" w:cs="Times New Roman"/>
                <w:color w:val="auto"/>
                <w:sz w:val="24"/>
                <w:szCs w:val="24"/>
                <w:highlight w:val="none"/>
              </w:rPr>
              <w:t>设置1座</w:t>
            </w:r>
            <w:r>
              <w:rPr>
                <w:rFonts w:hint="eastAsia" w:ascii="Times New Roman" w:hAnsi="Times New Roman" w:cs="Times New Roman"/>
                <w:color w:val="auto"/>
                <w:sz w:val="24"/>
                <w:szCs w:val="24"/>
                <w:highlight w:val="none"/>
                <w:lang w:val="en-US" w:eastAsia="zh-CN"/>
              </w:rPr>
              <w:t>双</w:t>
            </w:r>
            <w:r>
              <w:rPr>
                <w:rFonts w:hint="default" w:ascii="Times New Roman" w:hAnsi="Times New Roman" w:eastAsia="宋体" w:cs="Times New Roman"/>
                <w:color w:val="auto"/>
                <w:sz w:val="24"/>
                <w:szCs w:val="24"/>
                <w:highlight w:val="none"/>
                <w:lang w:eastAsia="zh-CN"/>
              </w:rPr>
              <w:t>碱法脱硫塔</w:t>
            </w:r>
            <w:r>
              <w:rPr>
                <w:rFonts w:hint="default" w:ascii="Times New Roman" w:hAnsi="Times New Roman" w:eastAsia="宋体" w:cs="Times New Roman"/>
                <w:color w:val="auto"/>
                <w:sz w:val="24"/>
                <w:szCs w:val="24"/>
                <w:highlight w:val="none"/>
              </w:rPr>
              <w:t>，脱硫废水经三级沉淀池循环，不外排；由于生物质热风炉烟气温度较高，脱硫废水与生物质热风炉烟气直接接触时，脱硫废水由于烟气热量的作用成为水蒸汽随烟气外排。脱硫废水循环水量为</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0m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/d，蒸发损失量按</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%计，即</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则</w:t>
            </w:r>
            <w:r>
              <w:rPr>
                <w:rFonts w:hint="default" w:ascii="Times New Roman" w:hAnsi="Times New Roman" w:eastAsia="宋体" w:cs="Times New Roman"/>
                <w:color w:val="auto"/>
                <w:sz w:val="24"/>
                <w:szCs w:val="24"/>
                <w:highlight w:val="none"/>
              </w:rPr>
              <w:t>需补充水量为</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p>
          <w:p>
            <w:pPr>
              <w:numPr>
                <w:ilvl w:val="0"/>
                <w:numId w:val="2"/>
              </w:numPr>
              <w:bidi w:val="0"/>
              <w:rPr>
                <w:rFonts w:hint="eastAsia"/>
                <w:color w:val="auto"/>
                <w:highlight w:val="none"/>
                <w:lang w:val="en-US" w:eastAsia="zh-CN"/>
              </w:rPr>
            </w:pPr>
            <w:r>
              <w:rPr>
                <w:rFonts w:hint="eastAsia"/>
                <w:color w:val="auto"/>
                <w:highlight w:val="none"/>
                <w:lang w:val="en-US" w:eastAsia="zh-CN"/>
              </w:rPr>
              <w:t>生活用水</w:t>
            </w:r>
          </w:p>
          <w:p>
            <w:pP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现有工程</w:t>
            </w:r>
            <w:r>
              <w:rPr>
                <w:rFonts w:hint="default" w:ascii="Times New Roman" w:hAnsi="Times New Roman" w:eastAsia="宋体" w:cs="Times New Roman"/>
                <w:color w:val="auto"/>
                <w:sz w:val="24"/>
                <w:szCs w:val="24"/>
                <w:highlight w:val="none"/>
              </w:rPr>
              <w:t>，工作人员为</w:t>
            </w: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人，</w:t>
            </w:r>
            <w:r>
              <w:rPr>
                <w:rFonts w:hint="default" w:ascii="Times New Roman" w:hAnsi="Times New Roman" w:eastAsia="宋体" w:cs="Times New Roman"/>
                <w:color w:val="auto"/>
                <w:sz w:val="24"/>
                <w:szCs w:val="24"/>
                <w:highlight w:val="none"/>
                <w:lang w:bidi="ar"/>
              </w:rPr>
              <w:t>根据《内蒙古自治区行业用水定额》</w:t>
            </w:r>
            <w:r>
              <w:rPr>
                <w:rFonts w:hint="default" w:ascii="Times New Roman" w:hAnsi="Times New Roman" w:eastAsia="宋体" w:cs="Times New Roman"/>
                <w:color w:val="auto"/>
                <w:sz w:val="24"/>
                <w:szCs w:val="24"/>
                <w:highlight w:val="none"/>
                <w:lang w:eastAsia="zh-CN" w:bidi="ar"/>
              </w:rPr>
              <w:t>（</w:t>
            </w:r>
            <w:r>
              <w:rPr>
                <w:rFonts w:hint="default" w:ascii="Times New Roman" w:hAnsi="Times New Roman" w:eastAsia="宋体" w:cs="Times New Roman"/>
                <w:color w:val="auto"/>
                <w:sz w:val="24"/>
                <w:szCs w:val="24"/>
                <w:highlight w:val="none"/>
                <w:lang w:bidi="ar"/>
              </w:rPr>
              <w:t>DB15/T385-2019），用水量为80L/人.天，生活用水量为</w:t>
            </w:r>
            <w:r>
              <w:rPr>
                <w:rFonts w:hint="default" w:ascii="Times New Roman" w:hAnsi="Times New Roman" w:eastAsia="宋体" w:cs="Times New Roman"/>
                <w:color w:val="auto"/>
                <w:sz w:val="24"/>
                <w:szCs w:val="24"/>
                <w:highlight w:val="none"/>
                <w:lang w:val="en-US" w:eastAsia="zh-CN" w:bidi="ar"/>
              </w:rPr>
              <w:t>0.</w:t>
            </w:r>
            <w:r>
              <w:rPr>
                <w:rFonts w:hint="eastAsia" w:ascii="Times New Roman" w:hAnsi="Times New Roman" w:eastAsia="宋体" w:cs="Times New Roman"/>
                <w:color w:val="auto"/>
                <w:sz w:val="24"/>
                <w:szCs w:val="24"/>
                <w:highlight w:val="none"/>
                <w:lang w:val="en-US" w:eastAsia="zh-CN" w:bidi="ar"/>
              </w:rPr>
              <w:t>6</w:t>
            </w:r>
            <w:r>
              <w:rPr>
                <w:rFonts w:hint="default" w:ascii="Times New Roman" w:hAnsi="Times New Roman" w:eastAsia="宋体" w:cs="Times New Roman"/>
                <w:color w:val="auto"/>
                <w:sz w:val="24"/>
                <w:szCs w:val="24"/>
                <w:highlight w:val="none"/>
                <w:lang w:val="en-US" w:eastAsia="zh-CN" w:bidi="ar"/>
              </w:rPr>
              <w:t>4</w:t>
            </w:r>
            <w:r>
              <w:rPr>
                <w:rFonts w:hint="default" w:ascii="Times New Roman" w:hAnsi="Times New Roman" w:eastAsia="宋体" w:cs="Times New Roman"/>
                <w:color w:val="auto"/>
                <w:sz w:val="24"/>
                <w:szCs w:val="24"/>
                <w:highlight w:val="none"/>
                <w:lang w:bidi="ar"/>
              </w:rPr>
              <w:t>m</w:t>
            </w:r>
            <w:r>
              <w:rPr>
                <w:rFonts w:hint="default" w:ascii="Times New Roman" w:hAnsi="Times New Roman" w:eastAsia="宋体" w:cs="Times New Roman"/>
                <w:color w:val="auto"/>
                <w:sz w:val="24"/>
                <w:szCs w:val="24"/>
                <w:highlight w:val="none"/>
                <w:vertAlign w:val="superscript"/>
                <w:lang w:bidi="ar"/>
              </w:rPr>
              <w:t>3</w:t>
            </w:r>
            <w:r>
              <w:rPr>
                <w:rFonts w:hint="default" w:ascii="Times New Roman" w:hAnsi="Times New Roman" w:eastAsia="宋体" w:cs="Times New Roman"/>
                <w:color w:val="auto"/>
                <w:sz w:val="24"/>
                <w:szCs w:val="24"/>
                <w:highlight w:val="none"/>
                <w:lang w:bidi="ar"/>
              </w:rPr>
              <w:t>/d</w:t>
            </w:r>
            <w:r>
              <w:rPr>
                <w:rFonts w:hint="default" w:ascii="Times New Roman" w:hAnsi="Times New Roman" w:eastAsia="宋体" w:cs="Times New Roman"/>
                <w:color w:val="auto"/>
                <w:sz w:val="24"/>
                <w:szCs w:val="24"/>
                <w:highlight w:val="none"/>
                <w:lang w:eastAsia="zh-CN" w:bidi="ar"/>
              </w:rPr>
              <w:t>（</w:t>
            </w:r>
            <w:r>
              <w:rPr>
                <w:rFonts w:hint="eastAsia" w:ascii="Times New Roman" w:hAnsi="Times New Roman" w:eastAsia="宋体" w:cs="Times New Roman"/>
                <w:color w:val="auto"/>
                <w:sz w:val="24"/>
                <w:szCs w:val="24"/>
                <w:highlight w:val="none"/>
                <w:lang w:val="en-US" w:eastAsia="zh-CN" w:bidi="ar"/>
              </w:rPr>
              <w:t>115.2</w:t>
            </w:r>
            <w:r>
              <w:rPr>
                <w:rFonts w:hint="default" w:ascii="Times New Roman" w:hAnsi="Times New Roman" w:eastAsia="宋体" w:cs="Times New Roman"/>
                <w:color w:val="auto"/>
                <w:sz w:val="24"/>
                <w:szCs w:val="24"/>
                <w:highlight w:val="none"/>
                <w:lang w:bidi="ar"/>
              </w:rPr>
              <w:t>m</w:t>
            </w:r>
            <w:r>
              <w:rPr>
                <w:rFonts w:hint="default" w:ascii="Times New Roman" w:hAnsi="Times New Roman" w:eastAsia="宋体" w:cs="Times New Roman"/>
                <w:color w:val="auto"/>
                <w:sz w:val="24"/>
                <w:szCs w:val="24"/>
                <w:highlight w:val="none"/>
                <w:vertAlign w:val="superscript"/>
                <w:lang w:bidi="ar"/>
              </w:rPr>
              <w:t>3</w:t>
            </w:r>
            <w:r>
              <w:rPr>
                <w:rFonts w:hint="default" w:ascii="Times New Roman" w:hAnsi="Times New Roman" w:eastAsia="宋体" w:cs="Times New Roman"/>
                <w:color w:val="auto"/>
                <w:sz w:val="24"/>
                <w:szCs w:val="24"/>
                <w:highlight w:val="none"/>
                <w:lang w:bidi="ar"/>
              </w:rPr>
              <w:t>/a</w:t>
            </w:r>
            <w:r>
              <w:rPr>
                <w:rFonts w:hint="default" w:ascii="Times New Roman" w:hAnsi="Times New Roman" w:eastAsia="宋体" w:cs="Times New Roman"/>
                <w:color w:val="auto"/>
                <w:sz w:val="24"/>
                <w:szCs w:val="24"/>
                <w:highlight w:val="none"/>
                <w:lang w:eastAsia="zh-CN" w:bidi="ar"/>
              </w:rPr>
              <w:t>）</w:t>
            </w:r>
            <w:r>
              <w:rPr>
                <w:rFonts w:hint="default" w:ascii="Times New Roman" w:hAnsi="Times New Roman" w:eastAsia="宋体" w:cs="Times New Roman"/>
                <w:color w:val="auto"/>
                <w:sz w:val="24"/>
                <w:szCs w:val="24"/>
                <w:highlight w:val="none"/>
                <w:lang w:bidi="ar"/>
              </w:rPr>
              <w:t>。</w:t>
            </w:r>
          </w:p>
          <w:p>
            <w:pPr>
              <w:tabs>
                <w:tab w:val="left" w:pos="640"/>
              </w:tabs>
              <w:bidi w:val="0"/>
              <w:rPr>
                <w:rFonts w:hint="default" w:eastAsia="宋体"/>
                <w:b/>
                <w:bCs/>
                <w:color w:val="auto"/>
                <w:highlight w:val="none"/>
                <w:lang w:val="en-US" w:eastAsia="zh-CN"/>
              </w:rPr>
            </w:pPr>
            <w:r>
              <w:rPr>
                <w:rFonts w:hint="eastAsia"/>
                <w:b/>
                <w:bCs/>
                <w:color w:val="auto"/>
                <w:highlight w:val="none"/>
                <w:lang w:val="en-US" w:eastAsia="zh-CN"/>
              </w:rPr>
              <w:tab/>
            </w:r>
            <w:r>
              <w:rPr>
                <w:rFonts w:hint="eastAsia"/>
                <w:b/>
                <w:bCs/>
                <w:color w:val="auto"/>
                <w:highlight w:val="none"/>
                <w:lang w:val="en-US" w:eastAsia="zh-CN"/>
              </w:rPr>
              <w:t>1.4.2排水</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锅炉定期排污水</w:t>
            </w:r>
          </w:p>
          <w:p>
            <w:pPr>
              <w:pStyle w:val="10"/>
              <w:keepNext w:val="0"/>
              <w:keepLines w:val="0"/>
              <w:pageBreakBefore w:val="0"/>
              <w:kinsoku/>
              <w:wordWrap/>
              <w:overflowPunct/>
              <w:topLinePunct w:val="0"/>
              <w:bidi w:val="0"/>
              <w:spacing w:line="360" w:lineRule="auto"/>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现有工程</w:t>
            </w:r>
            <w:r>
              <w:rPr>
                <w:rFonts w:hint="default" w:ascii="Times New Roman" w:hAnsi="Times New Roman" w:eastAsia="宋体" w:cs="Times New Roman"/>
                <w:color w:val="auto"/>
                <w:sz w:val="24"/>
                <w:szCs w:val="24"/>
                <w:highlight w:val="none"/>
              </w:rPr>
              <w:t>1台</w:t>
            </w:r>
            <w:r>
              <w:rPr>
                <w:rFonts w:hint="default" w:ascii="Times New Roman" w:hAnsi="Times New Roman" w:cs="Times New Roman"/>
                <w:color w:val="auto"/>
                <w:sz w:val="24"/>
                <w:szCs w:val="24"/>
                <w:highlight w:val="none"/>
                <w:lang w:val="en-US" w:eastAsia="zh-CN"/>
              </w:rPr>
              <w:t>10t/h的燃煤</w:t>
            </w:r>
            <w:r>
              <w:rPr>
                <w:rFonts w:hint="default" w:ascii="Times New Roman" w:hAnsi="Times New Roman" w:eastAsia="宋体" w:cs="Times New Roman"/>
                <w:color w:val="auto"/>
                <w:sz w:val="24"/>
                <w:szCs w:val="24"/>
                <w:highlight w:val="none"/>
                <w:lang w:eastAsia="zh-CN"/>
              </w:rPr>
              <w:t>热水锅炉</w:t>
            </w:r>
            <w:r>
              <w:rPr>
                <w:rFonts w:hint="default" w:ascii="Times New Roman" w:hAnsi="Times New Roman" w:eastAsia="宋体" w:cs="Times New Roman"/>
                <w:color w:val="auto"/>
                <w:sz w:val="24"/>
                <w:szCs w:val="24"/>
                <w:highlight w:val="none"/>
              </w:rPr>
              <w:t>排污水按循环水量的2%计算，则锅炉排污水排放量为0.</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4.8</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val="en-US" w:eastAsia="zh-CN"/>
              </w:rPr>
              <w:t>864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/a），用于</w:t>
            </w:r>
            <w:r>
              <w:rPr>
                <w:rFonts w:hint="default" w:ascii="Times New Roman" w:hAnsi="Times New Roman" w:eastAsia="宋体" w:cs="Times New Roman"/>
                <w:color w:val="auto"/>
                <w:sz w:val="24"/>
                <w:szCs w:val="24"/>
                <w:highlight w:val="none"/>
                <w:lang w:eastAsia="zh-CN"/>
              </w:rPr>
              <w:t>灰渣间</w:t>
            </w:r>
            <w:r>
              <w:rPr>
                <w:rFonts w:hint="default" w:ascii="Times New Roman" w:hAnsi="Times New Roman" w:eastAsia="宋体" w:cs="Times New Roman"/>
                <w:color w:val="auto"/>
                <w:sz w:val="24"/>
                <w:szCs w:val="24"/>
                <w:highlight w:val="none"/>
              </w:rPr>
              <w:t>抑尘、出渣机补水、空地降尘洒水，不外排</w:t>
            </w:r>
            <w:r>
              <w:rPr>
                <w:rFonts w:hint="default" w:ascii="Times New Roman" w:hAnsi="Times New Roman" w:eastAsia="宋体" w:cs="Times New Roman"/>
                <w:color w:val="auto"/>
                <w:kern w:val="2"/>
                <w:sz w:val="24"/>
                <w:szCs w:val="24"/>
                <w:highlight w:val="none"/>
                <w:lang w:eastAsia="zh-CN" w:bidi="ar"/>
              </w:rPr>
              <w:t>。</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软水制备废水</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本项目软水制备</w:t>
            </w:r>
            <w:r>
              <w:rPr>
                <w:rFonts w:hint="default" w:ascii="Times New Roman" w:hAnsi="Times New Roman" w:eastAsia="宋体" w:cs="Times New Roman"/>
                <w:color w:val="auto"/>
                <w:sz w:val="24"/>
                <w:szCs w:val="24"/>
                <w:highlight w:val="none"/>
                <w:lang w:eastAsia="zh-CN"/>
              </w:rPr>
              <w:t>废水</w:t>
            </w:r>
            <w:r>
              <w:rPr>
                <w:rFonts w:hint="default" w:ascii="Times New Roman" w:hAnsi="Times New Roman" w:eastAsia="宋体" w:cs="Times New Roman"/>
                <w:color w:val="auto"/>
                <w:sz w:val="24"/>
                <w:szCs w:val="24"/>
                <w:highlight w:val="none"/>
              </w:rPr>
              <w:t>排</w:t>
            </w:r>
            <w:r>
              <w:rPr>
                <w:rFonts w:hint="default" w:ascii="Times New Roman" w:hAnsi="Times New Roman" w:eastAsia="宋体" w:cs="Times New Roman"/>
                <w:color w:val="auto"/>
                <w:sz w:val="24"/>
                <w:szCs w:val="24"/>
                <w:highlight w:val="none"/>
                <w:lang w:eastAsia="zh-CN"/>
              </w:rPr>
              <w:t>放</w:t>
            </w:r>
            <w:r>
              <w:rPr>
                <w:rFonts w:hint="default" w:ascii="Times New Roman" w:hAnsi="Times New Roman" w:eastAsia="宋体" w:cs="Times New Roman"/>
                <w:color w:val="auto"/>
                <w:sz w:val="24"/>
                <w:szCs w:val="24"/>
                <w:highlight w:val="none"/>
              </w:rPr>
              <w:t>量为</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540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用于</w:t>
            </w:r>
            <w:r>
              <w:rPr>
                <w:rFonts w:hint="default" w:ascii="Times New Roman" w:hAnsi="Times New Roman" w:eastAsia="宋体" w:cs="Times New Roman"/>
                <w:color w:val="auto"/>
                <w:sz w:val="24"/>
                <w:szCs w:val="24"/>
                <w:highlight w:val="none"/>
                <w:lang w:eastAsia="zh-CN"/>
              </w:rPr>
              <w:t>灰渣间</w:t>
            </w:r>
            <w:r>
              <w:rPr>
                <w:rFonts w:hint="default" w:ascii="Times New Roman" w:hAnsi="Times New Roman" w:eastAsia="宋体" w:cs="Times New Roman"/>
                <w:color w:val="auto"/>
                <w:sz w:val="24"/>
                <w:szCs w:val="24"/>
                <w:highlight w:val="none"/>
              </w:rPr>
              <w:t>抑尘、出渣机补水、空地降尘洒水，不外排。</w:t>
            </w:r>
          </w:p>
          <w:p>
            <w:pPr>
              <w:keepNext w:val="0"/>
              <w:keepLines w:val="0"/>
              <w:pageBreakBefore w:val="0"/>
              <w:widowControl/>
              <w:kinsoku/>
              <w:wordWrap/>
              <w:overflowPunct/>
              <w:topLinePunct w:val="0"/>
              <w:bidi w:val="0"/>
              <w:spacing w:line="360" w:lineRule="auto"/>
              <w:ind w:left="0" w:leftChars="0" w:firstLine="480" w:firstLineChars="200"/>
              <w:textAlignment w:val="auto"/>
              <w:outlineLvl w:val="1"/>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出渣机废水</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出渣机废水循环使用，定期补水，不外排。</w:t>
            </w:r>
          </w:p>
          <w:p>
            <w:pPr>
              <w:keepNext w:val="0"/>
              <w:keepLines w:val="0"/>
              <w:pageBreakBefore w:val="0"/>
              <w:widowControl/>
              <w:kinsoku/>
              <w:wordWrap/>
              <w:overflowPunct/>
              <w:topLinePunct w:val="0"/>
              <w:bidi w:val="0"/>
              <w:spacing w:line="360" w:lineRule="auto"/>
              <w:ind w:left="0" w:leftChars="0" w:firstLine="480" w:firstLineChars="200"/>
              <w:textAlignment w:val="auto"/>
              <w:outlineLvl w:val="1"/>
              <w:rPr>
                <w:rFonts w:hint="default"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灰渣间抑尘废水</w:t>
            </w:r>
          </w:p>
          <w:p>
            <w:pPr>
              <w:keepNext w:val="0"/>
              <w:keepLines w:val="0"/>
              <w:pageBreakBefore w:val="0"/>
              <w:widowControl/>
              <w:kinsoku/>
              <w:wordWrap/>
              <w:overflowPunct/>
              <w:topLinePunct w:val="0"/>
              <w:bidi w:val="0"/>
              <w:spacing w:line="360" w:lineRule="auto"/>
              <w:ind w:left="0" w:leftChars="0" w:firstLine="480" w:firstLineChars="200"/>
              <w:textAlignment w:val="auto"/>
              <w:outlineLvl w:val="1"/>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灰渣间抑尘用水</w:t>
            </w:r>
            <w:r>
              <w:rPr>
                <w:rFonts w:hint="default" w:ascii="Times New Roman" w:hAnsi="Times New Roman" w:eastAsia="宋体" w:cs="Times New Roman"/>
                <w:color w:val="auto"/>
                <w:sz w:val="24"/>
                <w:szCs w:val="24"/>
                <w:highlight w:val="none"/>
              </w:rPr>
              <w:t>全部被灰渣吸收，通过自然蒸发，无废水产生</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kinsoku/>
              <w:wordWrap/>
              <w:overflowPunct/>
              <w:topLinePunct w:val="0"/>
              <w:bidi w:val="0"/>
              <w:spacing w:line="360" w:lineRule="auto"/>
              <w:ind w:left="0" w:leftChars="0" w:firstLine="480" w:firstLineChars="200"/>
              <w:textAlignment w:val="auto"/>
              <w:outlineLvl w:val="1"/>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脱硫塔废</w:t>
            </w:r>
            <w:r>
              <w:rPr>
                <w:rFonts w:hint="default" w:ascii="Times New Roman" w:hAnsi="Times New Roman" w:eastAsia="宋体" w:cs="Times New Roman"/>
                <w:color w:val="auto"/>
                <w:sz w:val="24"/>
                <w:szCs w:val="24"/>
                <w:highlight w:val="none"/>
              </w:rPr>
              <w:t>水</w:t>
            </w:r>
          </w:p>
          <w:p>
            <w:pPr>
              <w:keepNext w:val="0"/>
              <w:keepLines w:val="0"/>
              <w:pageBreakBefore w:val="0"/>
              <w:widowControl/>
              <w:kinsoku/>
              <w:wordWrap/>
              <w:overflowPunct/>
              <w:topLinePunct w:val="0"/>
              <w:bidi w:val="0"/>
              <w:spacing w:line="360" w:lineRule="auto"/>
              <w:ind w:left="0" w:leftChars="0" w:firstLine="480" w:firstLineChars="200"/>
              <w:textAlignment w:val="auto"/>
              <w:outlineLvl w:val="1"/>
              <w:rPr>
                <w:rFonts w:hint="default"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双</w:t>
            </w:r>
            <w:r>
              <w:rPr>
                <w:rFonts w:hint="default" w:ascii="Times New Roman" w:hAnsi="Times New Roman" w:eastAsia="宋体" w:cs="Times New Roman"/>
                <w:color w:val="auto"/>
                <w:sz w:val="24"/>
                <w:szCs w:val="24"/>
                <w:highlight w:val="none"/>
                <w:lang w:eastAsia="zh-CN"/>
              </w:rPr>
              <w:t>碱法脱硫塔内脱硫废水</w:t>
            </w:r>
            <w:r>
              <w:rPr>
                <w:rFonts w:hint="default" w:ascii="Times New Roman" w:hAnsi="Times New Roman" w:eastAsia="宋体" w:cs="Times New Roman"/>
                <w:color w:val="auto"/>
                <w:sz w:val="24"/>
                <w:szCs w:val="24"/>
                <w:highlight w:val="none"/>
              </w:rPr>
              <w:t>循环使用，不外排</w:t>
            </w:r>
            <w:r>
              <w:rPr>
                <w:rFonts w:hint="default" w:ascii="Times New Roman" w:hAnsi="Times New Roman" w:eastAsia="宋体" w:cs="Times New Roman"/>
                <w:color w:val="auto"/>
                <w:sz w:val="24"/>
                <w:szCs w:val="24"/>
                <w:highlight w:val="none"/>
                <w:lang w:eastAsia="zh-CN"/>
              </w:rPr>
              <w:t>。</w:t>
            </w:r>
          </w:p>
          <w:p>
            <w:pPr>
              <w:bidi w:val="0"/>
              <w:rPr>
                <w:rFonts w:hint="default"/>
                <w:color w:val="auto"/>
                <w:highlight w:val="none"/>
                <w:lang w:val="en-US" w:eastAsia="zh-CN"/>
              </w:rPr>
            </w:pPr>
            <w:r>
              <w:rPr>
                <w:rFonts w:hint="eastAsia"/>
                <w:color w:val="auto"/>
                <w:highlight w:val="none"/>
                <w:lang w:val="en-US" w:eastAsia="zh-CN"/>
              </w:rPr>
              <w:t>（6）生活污水</w:t>
            </w:r>
          </w:p>
          <w:p>
            <w:pPr>
              <w:keepNext w:val="0"/>
              <w:keepLines w:val="0"/>
              <w:pageBreakBefore w:val="0"/>
              <w:kinsoku/>
              <w:wordWrap/>
              <w:overflowPunct/>
              <w:topLinePunct w:val="0"/>
              <w:bidi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生活污水产生量按用水量的80%计算，全厂生活污水产生量为</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512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lang w:eastAsia="zh-CN"/>
              </w:rPr>
              <w:t>/d（</w:t>
            </w:r>
            <w:r>
              <w:rPr>
                <w:rFonts w:hint="eastAsia" w:ascii="Times New Roman" w:hAnsi="Times New Roman" w:eastAsia="宋体" w:cs="Times New Roman"/>
                <w:color w:val="auto"/>
                <w:sz w:val="24"/>
                <w:szCs w:val="24"/>
                <w:highlight w:val="none"/>
                <w:lang w:val="en-US" w:eastAsia="zh-CN"/>
              </w:rPr>
              <w:t>92.16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lang w:eastAsia="zh-CN"/>
              </w:rPr>
              <w:t>/a）</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object>
                <v:shape id="_x0000_i1025" o:spt="75" type="#_x0000_t75" style="height:341.25pt;width:396.9pt;" o:ole="t" filled="f" o:preferrelative="t" stroked="f" coordsize="21600,21600">
                  <v:path/>
                  <v:fill on="f" focussize="0,0"/>
                  <v:stroke on="f"/>
                  <v:imagedata r:id="rId11" o:title=""/>
                  <o:lock v:ext="edit" aspectratio="f"/>
                  <w10:wrap type="none"/>
                  <w10:anchorlock/>
                </v:shape>
                <o:OLEObject Type="Embed" ProgID="Visio.Drawing.11" ShapeID="_x0000_i1025" DrawAspect="Content" ObjectID="_1468075725" r:id="rId10">
                  <o:LockedField>false</o:LockedField>
                </o:OLEObject>
              </w:object>
            </w:r>
          </w:p>
          <w:p>
            <w:pPr>
              <w:bidi w:val="0"/>
              <w:jc w:val="center"/>
              <w:rPr>
                <w:rFonts w:hint="default"/>
                <w:b/>
                <w:bCs/>
                <w:color w:val="auto"/>
                <w:highlight w:val="none"/>
                <w:lang w:val="en-US" w:eastAsia="zh-CN"/>
              </w:rPr>
            </w:pPr>
            <w:r>
              <w:rPr>
                <w:rFonts w:hint="eastAsia"/>
                <w:b/>
                <w:bCs/>
                <w:color w:val="auto"/>
                <w:highlight w:val="none"/>
                <w:lang w:val="en-US" w:eastAsia="zh-CN"/>
              </w:rPr>
              <w:t>图1  现有工程水平衡图   单位m</w:t>
            </w:r>
            <w:r>
              <w:rPr>
                <w:rFonts w:hint="eastAsia"/>
                <w:b/>
                <w:bCs/>
                <w:color w:val="auto"/>
                <w:highlight w:val="none"/>
                <w:vertAlign w:val="superscript"/>
                <w:lang w:val="en-US" w:eastAsia="zh-CN"/>
              </w:rPr>
              <w:t>3</w:t>
            </w:r>
            <w:r>
              <w:rPr>
                <w:rFonts w:hint="eastAsia"/>
                <w:b/>
                <w:bCs/>
                <w:color w:val="auto"/>
                <w:highlight w:val="none"/>
                <w:lang w:val="en-US" w:eastAsia="zh-CN"/>
              </w:rPr>
              <w:t>/d</w:t>
            </w:r>
          </w:p>
          <w:p>
            <w:pPr>
              <w:bidi w:val="0"/>
              <w:rPr>
                <w:rFonts w:hint="default" w:eastAsia="宋体"/>
                <w:b/>
                <w:bCs/>
                <w:color w:val="auto"/>
                <w:highlight w:val="none"/>
                <w:lang w:val="en-US" w:eastAsia="zh-CN"/>
              </w:rPr>
            </w:pPr>
            <w:r>
              <w:rPr>
                <w:rFonts w:hint="eastAsia"/>
                <w:b/>
                <w:bCs/>
                <w:color w:val="auto"/>
                <w:highlight w:val="none"/>
                <w:lang w:val="en-US" w:eastAsia="zh-CN"/>
              </w:rPr>
              <w:t>1.4.3供电</w:t>
            </w:r>
          </w:p>
          <w:p>
            <w:pPr>
              <w:bidi w:val="0"/>
              <w:rPr>
                <w:color w:val="auto"/>
                <w:highlight w:val="none"/>
              </w:rPr>
            </w:pPr>
            <w:r>
              <w:rPr>
                <w:color w:val="auto"/>
                <w:highlight w:val="none"/>
              </w:rPr>
              <w:t xml:space="preserve">本项目年用电量约为 </w:t>
            </w:r>
            <w:r>
              <w:rPr>
                <w:rFonts w:hint="eastAsia"/>
                <w:color w:val="auto"/>
                <w:highlight w:val="none"/>
                <w:lang w:val="en-US" w:eastAsia="zh-CN"/>
              </w:rPr>
              <w:t>360</w:t>
            </w:r>
            <w:r>
              <w:rPr>
                <w:color w:val="auto"/>
                <w:highlight w:val="none"/>
              </w:rPr>
              <w:t>万kWh 。电源由</w:t>
            </w:r>
            <w:r>
              <w:rPr>
                <w:rFonts w:hint="eastAsia"/>
                <w:color w:val="auto"/>
                <w:highlight w:val="none"/>
                <w:lang w:val="en-US" w:eastAsia="zh-CN"/>
              </w:rPr>
              <w:t>小佘太镇</w:t>
            </w:r>
            <w:r>
              <w:rPr>
                <w:color w:val="auto"/>
                <w:highlight w:val="none"/>
              </w:rPr>
              <w:t>供电网络引入。</w:t>
            </w:r>
          </w:p>
          <w:p>
            <w:pPr>
              <w:bidi w:val="0"/>
              <w:rPr>
                <w:rFonts w:hint="default" w:eastAsia="宋体"/>
                <w:b/>
                <w:bCs/>
                <w:color w:val="auto"/>
                <w:highlight w:val="none"/>
                <w:lang w:val="en-US" w:eastAsia="zh-CN"/>
              </w:rPr>
            </w:pPr>
            <w:r>
              <w:rPr>
                <w:rFonts w:hint="eastAsia"/>
                <w:b/>
                <w:bCs/>
                <w:color w:val="auto"/>
                <w:highlight w:val="none"/>
                <w:lang w:val="en-US" w:eastAsia="zh-CN"/>
              </w:rPr>
              <w:t>1.4.4供暖</w:t>
            </w:r>
          </w:p>
          <w:p>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jc w:val="left"/>
              <w:textAlignment w:val="auto"/>
              <w:rPr>
                <w:rFonts w:ascii="Times New Roman" w:hAnsi="Times New Roman"/>
                <w:bCs/>
                <w:color w:val="auto"/>
                <w:sz w:val="24"/>
                <w:szCs w:val="24"/>
                <w:highlight w:val="none"/>
              </w:rPr>
            </w:pPr>
            <w:r>
              <w:rPr>
                <w:rFonts w:hint="eastAsia"/>
                <w:color w:val="auto"/>
                <w:kern w:val="0"/>
                <w:sz w:val="24"/>
                <w:szCs w:val="24"/>
                <w:highlight w:val="none"/>
                <w:lang w:val="en-US" w:eastAsia="zh-CN"/>
              </w:rPr>
              <w:t>现有工程</w:t>
            </w:r>
            <w:r>
              <w:rPr>
                <w:rFonts w:hint="eastAsia" w:ascii="Times New Roman" w:hAnsi="Times New Roman"/>
                <w:color w:val="auto"/>
                <w:kern w:val="0"/>
                <w:sz w:val="24"/>
                <w:szCs w:val="24"/>
                <w:highlight w:val="none"/>
              </w:rPr>
              <w:t>冬季</w:t>
            </w:r>
            <w:r>
              <w:rPr>
                <w:rFonts w:hint="eastAsia"/>
                <w:color w:val="auto"/>
                <w:kern w:val="0"/>
                <w:sz w:val="24"/>
                <w:szCs w:val="24"/>
                <w:highlight w:val="none"/>
                <w:lang w:eastAsia="zh-CN"/>
              </w:rPr>
              <w:t>生活区</w:t>
            </w:r>
            <w:r>
              <w:rPr>
                <w:rFonts w:hint="eastAsia"/>
                <w:color w:val="auto"/>
                <w:kern w:val="0"/>
                <w:sz w:val="24"/>
                <w:szCs w:val="24"/>
                <w:highlight w:val="none"/>
                <w:lang w:val="en-US" w:eastAsia="zh-CN"/>
              </w:rPr>
              <w:t>和厂区</w:t>
            </w:r>
            <w:r>
              <w:rPr>
                <w:rFonts w:ascii="Times New Roman" w:hAnsi="Times New Roman"/>
                <w:color w:val="auto"/>
                <w:kern w:val="0"/>
                <w:sz w:val="24"/>
                <w:szCs w:val="24"/>
                <w:highlight w:val="none"/>
              </w:rPr>
              <w:t>取暖</w:t>
            </w:r>
            <w:r>
              <w:rPr>
                <w:rFonts w:hint="eastAsia" w:ascii="Times New Roman" w:hAnsi="Times New Roman"/>
                <w:color w:val="auto"/>
                <w:kern w:val="0"/>
                <w:sz w:val="24"/>
                <w:szCs w:val="24"/>
                <w:highlight w:val="none"/>
              </w:rPr>
              <w:t>采</w:t>
            </w:r>
            <w:r>
              <w:rPr>
                <w:rFonts w:ascii="Times New Roman" w:hAnsi="Times New Roman"/>
                <w:color w:val="auto"/>
                <w:kern w:val="0"/>
                <w:sz w:val="24"/>
                <w:szCs w:val="24"/>
                <w:highlight w:val="none"/>
              </w:rPr>
              <w:t>用</w:t>
            </w:r>
            <w:r>
              <w:rPr>
                <w:rFonts w:hint="eastAsia"/>
                <w:color w:val="auto"/>
                <w:kern w:val="0"/>
                <w:sz w:val="24"/>
                <w:szCs w:val="24"/>
                <w:highlight w:val="none"/>
                <w:lang w:val="en-US" w:eastAsia="zh-CN"/>
              </w:rPr>
              <w:t>燃煤锅炉</w:t>
            </w:r>
            <w:r>
              <w:rPr>
                <w:rFonts w:ascii="Times New Roman" w:hAnsi="Times New Roman"/>
                <w:color w:val="auto"/>
                <w:kern w:val="0"/>
                <w:sz w:val="24"/>
                <w:szCs w:val="24"/>
                <w:highlight w:val="none"/>
              </w:rPr>
              <w:t>。</w:t>
            </w:r>
          </w:p>
          <w:p>
            <w:pPr>
              <w:bidi w:val="0"/>
              <w:rPr>
                <w:rFonts w:hint="default" w:eastAsia="宋体"/>
                <w:b/>
                <w:bCs/>
                <w:color w:val="auto"/>
                <w:highlight w:val="none"/>
                <w:lang w:val="en-US" w:eastAsia="zh-CN"/>
              </w:rPr>
            </w:pPr>
            <w:r>
              <w:rPr>
                <w:rFonts w:hint="eastAsia"/>
                <w:b/>
                <w:bCs/>
                <w:color w:val="auto"/>
                <w:highlight w:val="none"/>
                <w:lang w:val="en-US" w:eastAsia="zh-CN"/>
              </w:rPr>
              <w:t>1.5现有工程生产工艺流程及产排污环节</w:t>
            </w:r>
          </w:p>
          <w:p>
            <w:pPr>
              <w:bidi w:val="0"/>
              <w:rPr>
                <w:rFonts w:hint="eastAsia"/>
                <w:color w:val="auto"/>
                <w:highlight w:val="none"/>
              </w:rPr>
            </w:pPr>
            <w:r>
              <w:rPr>
                <w:rFonts w:hint="eastAsia"/>
                <w:color w:val="auto"/>
                <w:highlight w:val="none"/>
              </w:rPr>
              <w:t>煤经手推车运至锅炉内燃烧；矿井涌水通过软化水系统软化后，软水由锅炉加热经热力管网输送至取暖用户，热水循环使用。锅炉</w:t>
            </w:r>
            <w:r>
              <w:rPr>
                <w:rFonts w:hint="eastAsia"/>
                <w:color w:val="auto"/>
                <w:highlight w:val="none"/>
                <w:lang w:val="en-US" w:eastAsia="zh-CN"/>
              </w:rPr>
              <w:t>烟气经布袋除尘器+双碱法</w:t>
            </w:r>
            <w:r>
              <w:rPr>
                <w:rFonts w:hint="eastAsia"/>
                <w:color w:val="auto"/>
                <w:highlight w:val="none"/>
              </w:rPr>
              <w:t>脱硫除尘设备处理后通过内径1.2m，高45m的烟囱排入大气环境。</w:t>
            </w:r>
          </w:p>
          <w:p>
            <w:pPr>
              <w:bidi w:val="0"/>
              <w:rPr>
                <w:rFonts w:hint="default"/>
                <w:color w:val="auto"/>
                <w:highlight w:val="none"/>
                <w:lang w:val="en-US" w:eastAsia="zh-CN"/>
              </w:rPr>
            </w:pPr>
            <w:r>
              <w:rPr>
                <w:rFonts w:hint="eastAsia"/>
                <w:color w:val="auto"/>
                <w:highlight w:val="none"/>
                <w:lang w:val="en-US" w:eastAsia="zh-CN"/>
              </w:rPr>
              <w:t>工艺流程图见下图</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highlight w:val="none"/>
                <w:lang w:val="en-US" w:eastAsia="zh-CN"/>
              </w:rPr>
            </w:pPr>
            <w:r>
              <w:rPr>
                <w:rFonts w:hint="eastAsia"/>
                <w:b/>
                <w:bCs/>
                <w:color w:val="auto"/>
                <w:highlight w:val="none"/>
                <w:lang w:val="en-US" w:eastAsia="zh-CN"/>
              </w:rPr>
              <w:object>
                <v:shape id="_x0000_i1026" o:spt="75" type="#_x0000_t75" style="height:202.2pt;width:398pt;" o:ole="t" filled="f" o:preferrelative="t" stroked="f" coordsize="21600,21600">
                  <v:path/>
                  <v:fill on="f" focussize="0,0"/>
                  <v:stroke on="f"/>
                  <v:imagedata r:id="rId13" o:title=""/>
                  <o:lock v:ext="edit" aspectratio="f"/>
                  <w10:wrap type="none"/>
                  <w10:anchorlock/>
                </v:shape>
                <o:OLEObject Type="Embed" ProgID="Visio.Drawing.11" ShapeID="_x0000_i1026" DrawAspect="Content" ObjectID="_1468075726" r:id="rId12">
                  <o:LockedField>false</o:LockedField>
                </o:OLEObject>
              </w:object>
            </w:r>
            <w:r>
              <w:rPr>
                <w:rFonts w:hint="eastAsia"/>
                <w:b/>
                <w:bCs/>
                <w:color w:val="auto"/>
                <w:highlight w:val="none"/>
                <w:lang w:val="en-US" w:eastAsia="zh-CN"/>
              </w:rPr>
              <w:t>图2  现有工程工艺流程及产排污节点图</w:t>
            </w:r>
          </w:p>
          <w:p>
            <w:pPr>
              <w:bidi w:val="0"/>
              <w:rPr>
                <w:rFonts w:hint="eastAsia" w:eastAsia="宋体"/>
                <w:b/>
                <w:bCs/>
                <w:color w:val="auto"/>
                <w:highlight w:val="none"/>
                <w:lang w:eastAsia="zh-CN"/>
              </w:rPr>
            </w:pPr>
            <w:r>
              <w:rPr>
                <w:rFonts w:hint="eastAsia"/>
                <w:b/>
                <w:bCs/>
                <w:color w:val="auto"/>
                <w:highlight w:val="none"/>
                <w:lang w:val="en-US" w:eastAsia="zh-CN"/>
              </w:rPr>
              <w:t>2、改建</w:t>
            </w:r>
            <w:r>
              <w:rPr>
                <w:rFonts w:hint="eastAsia"/>
                <w:b/>
                <w:bCs/>
                <w:color w:val="auto"/>
                <w:highlight w:val="none"/>
                <w:lang w:eastAsia="zh-CN"/>
              </w:rPr>
              <w:t>项目基本情况</w:t>
            </w:r>
          </w:p>
          <w:p>
            <w:pPr>
              <w:bidi w:val="0"/>
              <w:rPr>
                <w:rFonts w:hint="default"/>
                <w:b/>
                <w:bCs/>
                <w:color w:val="auto"/>
                <w:highlight w:val="none"/>
                <w:lang w:val="en-US" w:eastAsia="zh-CN"/>
              </w:rPr>
            </w:pPr>
            <w:r>
              <w:rPr>
                <w:rFonts w:hint="eastAsia"/>
                <w:b/>
                <w:bCs/>
                <w:color w:val="auto"/>
                <w:highlight w:val="none"/>
                <w:lang w:val="en-US" w:eastAsia="zh-CN"/>
              </w:rPr>
              <w:t>2.1改建项目建设内容及规模</w:t>
            </w:r>
          </w:p>
          <w:p>
            <w:pPr>
              <w:bidi w:val="0"/>
              <w:rPr>
                <w:rFonts w:hint="default" w:eastAsia="宋体"/>
                <w:color w:val="auto"/>
                <w:highlight w:val="none"/>
                <w:lang w:val="en-US" w:eastAsia="zh-CN"/>
              </w:rPr>
            </w:pPr>
            <w:r>
              <w:rPr>
                <w:rFonts w:hint="eastAsia"/>
                <w:color w:val="auto"/>
                <w:highlight w:val="none"/>
                <w:lang w:val="en-US" w:eastAsia="zh-CN"/>
              </w:rPr>
              <w:t>（1）建设内容</w:t>
            </w:r>
          </w:p>
          <w:p>
            <w:pPr>
              <w:bidi w:val="0"/>
              <w:rPr>
                <w:rFonts w:hint="eastAsia"/>
                <w:color w:val="auto"/>
                <w:highlight w:val="none"/>
                <w:lang w:val="en-US" w:eastAsia="zh-CN"/>
              </w:rPr>
            </w:pPr>
            <w:r>
              <w:rPr>
                <w:rFonts w:hint="eastAsia"/>
                <w:color w:val="auto"/>
                <w:highlight w:val="none"/>
                <w:lang w:val="en-US" w:eastAsia="zh-CN"/>
              </w:rPr>
              <w:t>本项目位于内蒙古大中矿业股份有限公司现有厂区锅炉房内，不新增占地，项目建设性质为改建，改建内容主要包括拆除原锅炉房内1台10t/h的燃煤锅炉，保留1台10t/h的燃煤热水锅炉；新建1台8t/h的生物质燃料锅炉，生物质燃料热水锅炉为主设备，燃煤热水锅炉作为备用设备。</w:t>
            </w:r>
          </w:p>
          <w:p>
            <w:pPr>
              <w:bidi w:val="0"/>
              <w:rPr>
                <w:rFonts w:hint="eastAsia"/>
                <w:color w:val="auto"/>
                <w:highlight w:val="none"/>
                <w:lang w:val="en-US" w:eastAsia="zh-CN"/>
              </w:rPr>
            </w:pPr>
            <w:r>
              <w:rPr>
                <w:rFonts w:hint="eastAsia"/>
                <w:color w:val="auto"/>
                <w:highlight w:val="none"/>
                <w:lang w:val="en-US" w:eastAsia="zh-CN"/>
              </w:rPr>
              <w:t>锅炉房的总装机容量为18t，可将原有的45m高的排气筒改为40m高的排气筒，排气筒的建设符合现行要求。</w:t>
            </w:r>
          </w:p>
          <w:p>
            <w:pPr>
              <w:bidi w:val="0"/>
              <w:rPr>
                <w:rFonts w:hint="default" w:eastAsia="宋体"/>
                <w:color w:val="auto"/>
                <w:highlight w:val="none"/>
                <w:lang w:val="en-US" w:eastAsia="zh-CN"/>
              </w:rPr>
            </w:pPr>
            <w:r>
              <w:rPr>
                <w:rFonts w:hint="eastAsia"/>
                <w:color w:val="auto"/>
                <w:highlight w:val="none"/>
                <w:lang w:val="en-US" w:eastAsia="zh-CN"/>
              </w:rPr>
              <w:t>改建项目的储运工程、公辅工程及环保工程依托现有工程。项目组成内容见下表5。</w:t>
            </w:r>
          </w:p>
          <w:p>
            <w:pPr>
              <w:tabs>
                <w:tab w:val="left" w:pos="0"/>
                <w:tab w:val="left" w:pos="1784"/>
              </w:tabs>
              <w:adjustRightInd w:val="0"/>
              <w:snapToGrid w:val="0"/>
              <w:ind w:firstLine="0" w:firstLineChars="0"/>
              <w:jc w:val="center"/>
              <w:rPr>
                <w:rFonts w:hint="default" w:ascii="Times New Roman" w:hAnsi="Times New Roman" w:eastAsia="宋体" w:cs="Times New Roman"/>
                <w:b/>
                <w:bCs/>
                <w:color w:val="auto"/>
                <w:sz w:val="24"/>
                <w:szCs w:val="32"/>
                <w:highlight w:val="none"/>
                <w:lang w:val="en-US" w:eastAsia="zh-CN"/>
              </w:rPr>
            </w:pPr>
            <w:r>
              <w:rPr>
                <w:rFonts w:hint="eastAsia" w:ascii="Times New Roman" w:hAnsi="Times New Roman" w:eastAsia="宋体" w:cs="Times New Roman"/>
                <w:b/>
                <w:bCs/>
                <w:color w:val="auto"/>
                <w:sz w:val="24"/>
                <w:szCs w:val="32"/>
                <w:highlight w:val="none"/>
                <w:lang w:val="en-US" w:eastAsia="zh-CN"/>
              </w:rPr>
              <w:t>表</w:t>
            </w:r>
            <w:r>
              <w:rPr>
                <w:rFonts w:hint="eastAsia" w:cs="Times New Roman"/>
                <w:b/>
                <w:bCs/>
                <w:color w:val="auto"/>
                <w:sz w:val="24"/>
                <w:szCs w:val="32"/>
                <w:highlight w:val="none"/>
                <w:lang w:val="en-US" w:eastAsia="zh-CN"/>
              </w:rPr>
              <w:t>5</w:t>
            </w:r>
            <w:r>
              <w:rPr>
                <w:rFonts w:hint="eastAsia" w:ascii="Times New Roman" w:hAnsi="Times New Roman" w:eastAsia="宋体" w:cs="Times New Roman"/>
                <w:b/>
                <w:bCs/>
                <w:color w:val="auto"/>
                <w:sz w:val="24"/>
                <w:szCs w:val="32"/>
                <w:highlight w:val="none"/>
                <w:lang w:val="en-US" w:eastAsia="zh-CN"/>
              </w:rPr>
              <w:t xml:space="preserve"> 本项目组成一览表</w:t>
            </w:r>
          </w:p>
          <w:tbl>
            <w:tblPr>
              <w:tblStyle w:val="18"/>
              <w:tblW w:w="807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07"/>
              <w:gridCol w:w="479"/>
              <w:gridCol w:w="2137"/>
              <w:gridCol w:w="2125"/>
              <w:gridCol w:w="1812"/>
              <w:gridCol w:w="111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eastAsia="zh-Hans"/>
                    </w:rPr>
                  </w:pPr>
                  <w:r>
                    <w:rPr>
                      <w:rFonts w:hint="default"/>
                      <w:b/>
                      <w:bCs/>
                      <w:color w:val="auto"/>
                      <w:sz w:val="21"/>
                      <w:szCs w:val="21"/>
                      <w:highlight w:val="none"/>
                      <w:lang w:eastAsia="zh-Hans"/>
                    </w:rPr>
                    <w:t>类别</w:t>
                  </w:r>
                </w:p>
              </w:tc>
              <w:tc>
                <w:tcPr>
                  <w:tcW w:w="4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color w:val="auto"/>
                      <w:sz w:val="21"/>
                      <w:szCs w:val="21"/>
                      <w:highlight w:val="none"/>
                      <w:lang w:eastAsia="zh-CN"/>
                    </w:rPr>
                  </w:pPr>
                  <w:r>
                    <w:rPr>
                      <w:rFonts w:hint="eastAsia"/>
                      <w:b/>
                      <w:bCs/>
                      <w:color w:val="auto"/>
                      <w:sz w:val="21"/>
                      <w:szCs w:val="21"/>
                      <w:highlight w:val="none"/>
                      <w:lang w:eastAsia="zh-CN"/>
                    </w:rPr>
                    <w:t>名称</w:t>
                  </w:r>
                </w:p>
              </w:tc>
              <w:tc>
                <w:tcPr>
                  <w:tcW w:w="21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color w:val="auto"/>
                      <w:sz w:val="21"/>
                      <w:szCs w:val="21"/>
                      <w:highlight w:val="none"/>
                      <w:lang w:eastAsia="zh-CN"/>
                    </w:rPr>
                  </w:pPr>
                  <w:r>
                    <w:rPr>
                      <w:rFonts w:hint="eastAsia"/>
                      <w:b/>
                      <w:bCs/>
                      <w:color w:val="auto"/>
                      <w:sz w:val="21"/>
                      <w:szCs w:val="21"/>
                      <w:highlight w:val="none"/>
                      <w:lang w:eastAsia="zh-CN"/>
                    </w:rPr>
                    <w:t>现有工程建设内容</w:t>
                  </w:r>
                </w:p>
              </w:tc>
              <w:tc>
                <w:tcPr>
                  <w:tcW w:w="21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color w:val="auto"/>
                      <w:sz w:val="21"/>
                      <w:szCs w:val="21"/>
                      <w:highlight w:val="none"/>
                      <w:lang w:eastAsia="zh-CN"/>
                    </w:rPr>
                  </w:pPr>
                  <w:r>
                    <w:rPr>
                      <w:rFonts w:hint="eastAsia"/>
                      <w:b/>
                      <w:bCs/>
                      <w:color w:val="auto"/>
                      <w:sz w:val="21"/>
                      <w:szCs w:val="21"/>
                      <w:highlight w:val="none"/>
                      <w:lang w:eastAsia="zh-CN"/>
                    </w:rPr>
                    <w:t>改建工程建设内容</w:t>
                  </w:r>
                </w:p>
              </w:tc>
              <w:tc>
                <w:tcPr>
                  <w:tcW w:w="1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color w:val="auto"/>
                      <w:sz w:val="21"/>
                      <w:szCs w:val="21"/>
                      <w:highlight w:val="none"/>
                      <w:lang w:eastAsia="zh-CN"/>
                    </w:rPr>
                  </w:pPr>
                  <w:r>
                    <w:rPr>
                      <w:rFonts w:hint="eastAsia"/>
                      <w:b/>
                      <w:bCs/>
                      <w:color w:val="auto"/>
                      <w:sz w:val="21"/>
                      <w:szCs w:val="21"/>
                      <w:highlight w:val="none"/>
                      <w:lang w:eastAsia="zh-CN"/>
                    </w:rPr>
                    <w:t>改建后全厂建设内容</w:t>
                  </w:r>
                </w:p>
              </w:tc>
              <w:tc>
                <w:tcPr>
                  <w:tcW w:w="1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1"/>
                      <w:szCs w:val="21"/>
                      <w:highlight w:val="none"/>
                      <w:lang w:val="en-US" w:eastAsia="zh-CN"/>
                    </w:rPr>
                  </w:pPr>
                  <w:r>
                    <w:rPr>
                      <w:rFonts w:hint="eastAsia"/>
                      <w:b/>
                      <w:bCs/>
                      <w:color w:val="auto"/>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17" w:hRule="atLeast"/>
                <w:jc w:val="center"/>
              </w:trPr>
              <w:tc>
                <w:tcPr>
                  <w:tcW w:w="4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主体工程</w:t>
                  </w:r>
                </w:p>
              </w:tc>
              <w:tc>
                <w:tcPr>
                  <w:tcW w:w="4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锅炉房</w:t>
                  </w:r>
                </w:p>
              </w:tc>
              <w:tc>
                <w:tcPr>
                  <w:tcW w:w="21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高6m，建筑面积1100m</w:t>
                  </w:r>
                  <w:r>
                    <w:rPr>
                      <w:rFonts w:hint="default"/>
                      <w:b w:val="0"/>
                      <w:bCs w:val="0"/>
                      <w:color w:val="auto"/>
                      <w:sz w:val="21"/>
                      <w:szCs w:val="21"/>
                      <w:highlight w:val="none"/>
                      <w:vertAlign w:val="superscript"/>
                      <w:lang w:val="en-US" w:eastAsia="zh-CN"/>
                    </w:rPr>
                    <w:t>2</w:t>
                  </w:r>
                  <w:r>
                    <w:rPr>
                      <w:rFonts w:hint="default"/>
                      <w:b w:val="0"/>
                      <w:bCs w:val="0"/>
                      <w:color w:val="auto"/>
                      <w:sz w:val="21"/>
                      <w:szCs w:val="21"/>
                      <w:highlight w:val="none"/>
                      <w:lang w:val="en-US" w:eastAsia="zh-CN"/>
                    </w:rPr>
                    <w:t>，框架结构。</w:t>
                  </w:r>
                  <w:r>
                    <w:rPr>
                      <w:rFonts w:hint="eastAsia"/>
                      <w:b w:val="0"/>
                      <w:bCs w:val="0"/>
                      <w:color w:val="auto"/>
                      <w:sz w:val="21"/>
                      <w:szCs w:val="21"/>
                      <w:highlight w:val="none"/>
                      <w:lang w:val="en-US" w:eastAsia="zh-CN"/>
                    </w:rPr>
                    <w:t>内设置</w:t>
                  </w:r>
                  <w:r>
                    <w:rPr>
                      <w:rFonts w:hint="default"/>
                      <w:b w:val="0"/>
                      <w:bCs w:val="0"/>
                      <w:color w:val="auto"/>
                      <w:sz w:val="21"/>
                      <w:szCs w:val="21"/>
                      <w:highlight w:val="none"/>
                      <w:lang w:val="en-US" w:eastAsia="zh-CN"/>
                    </w:rPr>
                    <w:t>热水锅炉(10t/h)两台</w:t>
                  </w:r>
                  <w:r>
                    <w:rPr>
                      <w:rFonts w:hint="eastAsia"/>
                      <w:b w:val="0"/>
                      <w:bCs w:val="0"/>
                      <w:color w:val="auto"/>
                      <w:sz w:val="21"/>
                      <w:szCs w:val="21"/>
                      <w:highlight w:val="none"/>
                      <w:lang w:val="en-US" w:eastAsia="zh-CN"/>
                    </w:rPr>
                    <w:t>，为全封闭构筑物。</w:t>
                  </w:r>
                </w:p>
              </w:tc>
              <w:tc>
                <w:tcPr>
                  <w:tcW w:w="21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新建1台8t/h的生物质燃料热水锅炉，锅炉的安放位置不变，仍位于原锅炉房内。</w:t>
                  </w:r>
                </w:p>
              </w:tc>
              <w:tc>
                <w:tcPr>
                  <w:tcW w:w="1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项目改建后，锅炉房内共设置了2台热水锅炉，分别为8t/h生物质燃料热水锅炉（主要设备）和10t/h燃煤热水锅炉（备用设备）。</w:t>
                  </w:r>
                </w:p>
              </w:tc>
              <w:tc>
                <w:tcPr>
                  <w:tcW w:w="1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锅炉房依托，新建1台生物质燃料热水锅炉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0" w:hRule="atLeast"/>
                <w:jc w:val="center"/>
              </w:trPr>
              <w:tc>
                <w:tcPr>
                  <w:tcW w:w="40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储运工程</w:t>
                  </w:r>
                </w:p>
              </w:tc>
              <w:tc>
                <w:tcPr>
                  <w:tcW w:w="4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b w:val="0"/>
                      <w:bCs w:val="0"/>
                      <w:color w:val="auto"/>
                      <w:sz w:val="21"/>
                      <w:szCs w:val="21"/>
                      <w:highlight w:val="none"/>
                      <w:lang w:eastAsia="zh-CN"/>
                    </w:rPr>
                  </w:pPr>
                  <w:r>
                    <w:rPr>
                      <w:rFonts w:hint="eastAsia"/>
                      <w:b w:val="0"/>
                      <w:bCs w:val="0"/>
                      <w:color w:val="auto"/>
                      <w:sz w:val="21"/>
                      <w:szCs w:val="21"/>
                      <w:highlight w:val="none"/>
                      <w:lang w:val="en-US" w:eastAsia="zh-CN"/>
                    </w:rPr>
                    <w:t>储料间</w:t>
                  </w:r>
                </w:p>
              </w:tc>
              <w:tc>
                <w:tcPr>
                  <w:tcW w:w="2137"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b w:val="0"/>
                      <w:bCs w:val="0"/>
                      <w:color w:val="auto"/>
                      <w:sz w:val="21"/>
                      <w:szCs w:val="21"/>
                      <w:highlight w:val="none"/>
                      <w:lang w:val="en-US" w:eastAsia="zh-CN"/>
                    </w:rPr>
                  </w:pPr>
                  <w:r>
                    <w:rPr>
                      <w:rFonts w:hint="eastAsia" w:ascii="Times New Roman" w:hAnsi="Times New Roman" w:cs="Times New Roman"/>
                      <w:color w:val="auto"/>
                      <w:highlight w:val="none"/>
                      <w:lang w:val="en-US" w:eastAsia="zh-CN"/>
                    </w:rPr>
                    <w:t>占地</w:t>
                  </w:r>
                  <w:r>
                    <w:rPr>
                      <w:rFonts w:hint="default" w:ascii="Times New Roman" w:hAnsi="Times New Roman" w:cs="Times New Roman"/>
                      <w:color w:val="auto"/>
                      <w:highlight w:val="none"/>
                    </w:rPr>
                    <w:t>面积</w:t>
                  </w:r>
                  <w:r>
                    <w:rPr>
                      <w:rFonts w:hint="eastAsia" w:ascii="Times New Roman" w:hAnsi="Times New Roman" w:cs="Times New Roman"/>
                      <w:color w:val="auto"/>
                      <w:highlight w:val="none"/>
                      <w:lang w:val="en-US" w:eastAsia="zh-CN"/>
                    </w:rPr>
                    <w:t>为</w:t>
                  </w:r>
                  <w:r>
                    <w:rPr>
                      <w:rFonts w:hint="default" w:ascii="Times New Roman" w:hAnsi="Times New Roman" w:cs="Times New Roman"/>
                      <w:color w:val="auto"/>
                      <w:highlight w:val="none"/>
                    </w:rPr>
                    <w:t>480 m</w:t>
                  </w:r>
                  <w:r>
                    <w:rPr>
                      <w:rFonts w:hint="default" w:ascii="Times New Roman" w:hAnsi="Times New Roman" w:cs="Times New Roman"/>
                      <w:color w:val="auto"/>
                      <w:highlight w:val="none"/>
                      <w:vertAlign w:val="superscript"/>
                    </w:rPr>
                    <w:t>2</w:t>
                  </w:r>
                  <w:r>
                    <w:rPr>
                      <w:rFonts w:hint="eastAsia" w:ascii="Times New Roman" w:hAnsi="Times New Roman" w:cs="Times New Roman"/>
                      <w:color w:val="auto"/>
                      <w:highlight w:val="none"/>
                      <w:vertAlign w:val="baseline"/>
                      <w:lang w:eastAsia="zh-CN"/>
                    </w:rPr>
                    <w:t>，</w:t>
                  </w:r>
                  <w:r>
                    <w:rPr>
                      <w:rFonts w:hint="eastAsia" w:ascii="Times New Roman" w:hAnsi="Times New Roman" w:cs="Times New Roman"/>
                      <w:color w:val="auto"/>
                      <w:highlight w:val="none"/>
                      <w:vertAlign w:val="baseline"/>
                      <w:lang w:val="en-US" w:eastAsia="zh-CN"/>
                    </w:rPr>
                    <w:t>为半封闭式储煤间。用于储存煤炭。</w:t>
                  </w:r>
                </w:p>
              </w:tc>
              <w:tc>
                <w:tcPr>
                  <w:tcW w:w="21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生物质燃料堆存在现有工程设置的储料间内，可以满足改建项目的储存需求。</w:t>
                  </w:r>
                </w:p>
              </w:tc>
              <w:tc>
                <w:tcPr>
                  <w:tcW w:w="1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占地</w:t>
                  </w:r>
                  <w:r>
                    <w:rPr>
                      <w:rFonts w:hint="default"/>
                      <w:b w:val="0"/>
                      <w:bCs w:val="0"/>
                      <w:color w:val="auto"/>
                      <w:sz w:val="21"/>
                      <w:szCs w:val="21"/>
                      <w:highlight w:val="none"/>
                      <w:lang w:val="en-US" w:eastAsia="zh-CN"/>
                    </w:rPr>
                    <w:t>面积480 m</w:t>
                  </w:r>
                  <w:r>
                    <w:rPr>
                      <w:rFonts w:hint="default"/>
                      <w:b w:val="0"/>
                      <w:bCs w:val="0"/>
                      <w:color w:val="auto"/>
                      <w:sz w:val="21"/>
                      <w:szCs w:val="21"/>
                      <w:highlight w:val="none"/>
                      <w:vertAlign w:val="superscript"/>
                      <w:lang w:val="en-US" w:eastAsia="zh-CN"/>
                    </w:rPr>
                    <w:t>2</w:t>
                  </w:r>
                  <w:r>
                    <w:rPr>
                      <w:rFonts w:hint="eastAsia"/>
                      <w:b w:val="0"/>
                      <w:bCs w:val="0"/>
                      <w:color w:val="auto"/>
                      <w:sz w:val="21"/>
                      <w:szCs w:val="21"/>
                      <w:highlight w:val="none"/>
                      <w:vertAlign w:val="baseline"/>
                      <w:lang w:val="en-US" w:eastAsia="zh-CN"/>
                    </w:rPr>
                    <w:t>，为全封闭式构筑物，主要</w:t>
                  </w:r>
                  <w:r>
                    <w:rPr>
                      <w:rFonts w:hint="eastAsia"/>
                      <w:b w:val="0"/>
                      <w:bCs w:val="0"/>
                      <w:color w:val="auto"/>
                      <w:sz w:val="21"/>
                      <w:szCs w:val="21"/>
                      <w:highlight w:val="none"/>
                      <w:lang w:val="en-US" w:eastAsia="zh-CN"/>
                    </w:rPr>
                    <w:t>用于储存生物质燃料。</w:t>
                  </w:r>
                </w:p>
              </w:tc>
              <w:tc>
                <w:tcPr>
                  <w:tcW w:w="1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17" w:hRule="atLeast"/>
                <w:jc w:val="center"/>
              </w:trPr>
              <w:tc>
                <w:tcPr>
                  <w:tcW w:w="4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lang w:eastAsia="zh-Hans"/>
                    </w:rPr>
                  </w:pPr>
                </w:p>
              </w:tc>
              <w:tc>
                <w:tcPr>
                  <w:tcW w:w="4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灰渣库</w:t>
                  </w:r>
                </w:p>
              </w:tc>
              <w:tc>
                <w:tcPr>
                  <w:tcW w:w="21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占地面积为</w:t>
                  </w:r>
                  <w:r>
                    <w:rPr>
                      <w:rFonts w:hint="default"/>
                      <w:b w:val="0"/>
                      <w:bCs w:val="0"/>
                      <w:color w:val="auto"/>
                      <w:sz w:val="21"/>
                      <w:szCs w:val="21"/>
                      <w:highlight w:val="none"/>
                      <w:lang w:val="en-US" w:eastAsia="zh-CN"/>
                    </w:rPr>
                    <w:t>150m</w:t>
                  </w:r>
                  <w:r>
                    <w:rPr>
                      <w:rFonts w:hint="default"/>
                      <w:b w:val="0"/>
                      <w:bCs w:val="0"/>
                      <w:color w:val="auto"/>
                      <w:sz w:val="21"/>
                      <w:szCs w:val="21"/>
                      <w:highlight w:val="none"/>
                      <w:vertAlign w:val="superscript"/>
                      <w:lang w:val="en-US" w:eastAsia="zh-CN"/>
                    </w:rPr>
                    <w:t>2</w:t>
                  </w:r>
                  <w:r>
                    <w:rPr>
                      <w:rFonts w:hint="default"/>
                      <w:b w:val="0"/>
                      <w:bCs w:val="0"/>
                      <w:color w:val="auto"/>
                      <w:sz w:val="21"/>
                      <w:szCs w:val="21"/>
                      <w:highlight w:val="none"/>
                      <w:lang w:val="en-US" w:eastAsia="zh-CN"/>
                    </w:rPr>
                    <w:t>，</w:t>
                  </w:r>
                  <w:r>
                    <w:rPr>
                      <w:rFonts w:hint="eastAsia"/>
                      <w:b w:val="0"/>
                      <w:bCs w:val="0"/>
                      <w:color w:val="auto"/>
                      <w:sz w:val="21"/>
                      <w:szCs w:val="21"/>
                      <w:highlight w:val="none"/>
                      <w:lang w:val="en-US" w:eastAsia="zh-CN"/>
                    </w:rPr>
                    <w:t>为半封闭构筑物，地面采用抗渗混凝土</w:t>
                  </w:r>
                  <w:r>
                    <w:rPr>
                      <w:rFonts w:hint="default"/>
                      <w:b w:val="0"/>
                      <w:bCs w:val="0"/>
                      <w:color w:val="auto"/>
                      <w:sz w:val="21"/>
                      <w:szCs w:val="21"/>
                      <w:highlight w:val="none"/>
                      <w:lang w:val="en-US" w:eastAsia="zh-CN"/>
                    </w:rPr>
                    <w:t>，</w:t>
                  </w:r>
                  <w:r>
                    <w:rPr>
                      <w:rFonts w:hint="eastAsia"/>
                      <w:b w:val="0"/>
                      <w:bCs w:val="0"/>
                      <w:color w:val="auto"/>
                      <w:sz w:val="21"/>
                      <w:szCs w:val="21"/>
                      <w:highlight w:val="none"/>
                      <w:lang w:val="en-US" w:eastAsia="zh-CN"/>
                    </w:rPr>
                    <w:t>主要用于储存煤炭燃烧后的灰渣及除尘灰。</w:t>
                  </w:r>
                  <w:r>
                    <w:rPr>
                      <w:rFonts w:hint="default"/>
                      <w:b w:val="0"/>
                      <w:bCs w:val="0"/>
                      <w:color w:val="auto"/>
                      <w:sz w:val="21"/>
                      <w:szCs w:val="21"/>
                      <w:highlight w:val="none"/>
                      <w:lang w:val="en-US" w:eastAsia="zh-CN"/>
                    </w:rPr>
                    <w:t>运输车辆可进出。</w:t>
                  </w:r>
                </w:p>
              </w:tc>
              <w:tc>
                <w:tcPr>
                  <w:tcW w:w="21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依托，改建项目产生的灰渣和除尘灰，暂存至现有工程设置的灰渣库内。</w:t>
                  </w:r>
                </w:p>
              </w:tc>
              <w:tc>
                <w:tcPr>
                  <w:tcW w:w="1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占地</w:t>
                  </w:r>
                  <w:r>
                    <w:rPr>
                      <w:rFonts w:hint="default"/>
                      <w:b w:val="0"/>
                      <w:bCs w:val="0"/>
                      <w:color w:val="auto"/>
                      <w:sz w:val="21"/>
                      <w:szCs w:val="21"/>
                      <w:highlight w:val="none"/>
                      <w:lang w:val="en-US" w:eastAsia="zh-CN"/>
                    </w:rPr>
                    <w:t>面积</w:t>
                  </w:r>
                  <w:r>
                    <w:rPr>
                      <w:rFonts w:hint="eastAsia"/>
                      <w:b w:val="0"/>
                      <w:bCs w:val="0"/>
                      <w:color w:val="auto"/>
                      <w:sz w:val="21"/>
                      <w:szCs w:val="21"/>
                      <w:highlight w:val="none"/>
                      <w:lang w:val="en-US" w:eastAsia="zh-CN"/>
                    </w:rPr>
                    <w:t>为</w:t>
                  </w:r>
                  <w:r>
                    <w:rPr>
                      <w:rFonts w:hint="default"/>
                      <w:b w:val="0"/>
                      <w:bCs w:val="0"/>
                      <w:color w:val="auto"/>
                      <w:sz w:val="21"/>
                      <w:szCs w:val="21"/>
                      <w:highlight w:val="none"/>
                      <w:lang w:val="en-US" w:eastAsia="zh-CN"/>
                    </w:rPr>
                    <w:t>150m</w:t>
                  </w:r>
                  <w:r>
                    <w:rPr>
                      <w:rFonts w:hint="default"/>
                      <w:b w:val="0"/>
                      <w:bCs w:val="0"/>
                      <w:color w:val="auto"/>
                      <w:sz w:val="21"/>
                      <w:szCs w:val="21"/>
                      <w:highlight w:val="none"/>
                      <w:vertAlign w:val="superscript"/>
                      <w:lang w:val="en-US" w:eastAsia="zh-CN"/>
                    </w:rPr>
                    <w:t>2</w:t>
                  </w:r>
                  <w:r>
                    <w:rPr>
                      <w:rFonts w:hint="default"/>
                      <w:b w:val="0"/>
                      <w:bCs w:val="0"/>
                      <w:color w:val="auto"/>
                      <w:sz w:val="21"/>
                      <w:szCs w:val="21"/>
                      <w:highlight w:val="none"/>
                      <w:lang w:val="en-US" w:eastAsia="zh-CN"/>
                    </w:rPr>
                    <w:t>，</w:t>
                  </w:r>
                  <w:r>
                    <w:rPr>
                      <w:rFonts w:hint="eastAsia"/>
                      <w:b w:val="0"/>
                      <w:bCs w:val="0"/>
                      <w:color w:val="auto"/>
                      <w:sz w:val="21"/>
                      <w:szCs w:val="21"/>
                      <w:highlight w:val="none"/>
                      <w:lang w:val="en-US" w:eastAsia="zh-CN"/>
                    </w:rPr>
                    <w:t>为全封闭构筑物，地面采用抗渗混凝土</w:t>
                  </w:r>
                  <w:r>
                    <w:rPr>
                      <w:rFonts w:hint="default"/>
                      <w:b w:val="0"/>
                      <w:bCs w:val="0"/>
                      <w:color w:val="auto"/>
                      <w:sz w:val="21"/>
                      <w:szCs w:val="21"/>
                      <w:highlight w:val="none"/>
                      <w:lang w:val="en-US" w:eastAsia="zh-CN"/>
                    </w:rPr>
                    <w:t>，</w:t>
                  </w:r>
                  <w:r>
                    <w:rPr>
                      <w:rFonts w:hint="eastAsia"/>
                      <w:b w:val="0"/>
                      <w:bCs w:val="0"/>
                      <w:color w:val="auto"/>
                      <w:sz w:val="21"/>
                      <w:szCs w:val="21"/>
                      <w:highlight w:val="none"/>
                      <w:lang w:val="en-US" w:eastAsia="zh-CN"/>
                    </w:rPr>
                    <w:t>主要用于储存灰渣、炉渣和除尘灰。</w:t>
                  </w:r>
                </w:p>
              </w:tc>
              <w:tc>
                <w:tcPr>
                  <w:tcW w:w="1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99" w:hRule="atLeast"/>
                <w:jc w:val="center"/>
              </w:trPr>
              <w:tc>
                <w:tcPr>
                  <w:tcW w:w="40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lang w:eastAsia="zh-Hans"/>
                    </w:rPr>
                  </w:pPr>
                  <w:r>
                    <w:rPr>
                      <w:rFonts w:hint="eastAsia"/>
                      <w:b w:val="0"/>
                      <w:bCs w:val="0"/>
                      <w:color w:val="auto"/>
                      <w:sz w:val="21"/>
                      <w:szCs w:val="21"/>
                      <w:highlight w:val="none"/>
                      <w:lang w:val="en-US" w:eastAsia="zh-CN"/>
                    </w:rPr>
                    <w:t>公辅工程</w:t>
                  </w:r>
                </w:p>
              </w:tc>
              <w:tc>
                <w:tcPr>
                  <w:tcW w:w="4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供电</w:t>
                  </w:r>
                </w:p>
              </w:tc>
              <w:tc>
                <w:tcPr>
                  <w:tcW w:w="2137" w:type="dxa"/>
                  <w:tcBorders>
                    <w:tl2br w:val="nil"/>
                    <w:tr2bl w:val="nil"/>
                  </w:tcBorders>
                  <w:noWrap w:val="0"/>
                  <w:vAlign w:val="center"/>
                </w:tcPr>
                <w:p>
                  <w:pPr>
                    <w:bidi w:val="0"/>
                    <w:rPr>
                      <w:rFonts w:hint="default"/>
                      <w:color w:val="auto"/>
                      <w:sz w:val="21"/>
                      <w:szCs w:val="21"/>
                      <w:highlight w:val="none"/>
                      <w:lang w:val="en-US" w:eastAsia="zh-CN"/>
                    </w:rPr>
                  </w:pPr>
                  <w:r>
                    <w:rPr>
                      <w:rFonts w:hint="default"/>
                      <w:color w:val="auto"/>
                      <w:sz w:val="21"/>
                      <w:szCs w:val="21"/>
                      <w:highlight w:val="none"/>
                    </w:rPr>
                    <w:t>用电由</w:t>
                  </w:r>
                  <w:r>
                    <w:rPr>
                      <w:rFonts w:hint="eastAsia"/>
                      <w:color w:val="auto"/>
                      <w:sz w:val="21"/>
                      <w:szCs w:val="21"/>
                      <w:highlight w:val="none"/>
                      <w:lang w:eastAsia="zh-CN"/>
                    </w:rPr>
                    <w:t>小佘太镇</w:t>
                  </w:r>
                  <w:r>
                    <w:rPr>
                      <w:rFonts w:hint="default"/>
                      <w:color w:val="auto"/>
                      <w:sz w:val="21"/>
                      <w:szCs w:val="21"/>
                      <w:highlight w:val="none"/>
                    </w:rPr>
                    <w:t>电网接入</w:t>
                  </w:r>
                  <w:r>
                    <w:rPr>
                      <w:rFonts w:hint="default"/>
                      <w:color w:val="auto"/>
                      <w:sz w:val="21"/>
                      <w:szCs w:val="21"/>
                      <w:highlight w:val="none"/>
                      <w:lang w:eastAsia="zh-CN"/>
                    </w:rPr>
                    <w:t>，</w:t>
                  </w:r>
                  <w:r>
                    <w:rPr>
                      <w:rFonts w:hint="default"/>
                      <w:color w:val="auto"/>
                      <w:sz w:val="21"/>
                      <w:szCs w:val="21"/>
                      <w:highlight w:val="none"/>
                      <w:lang w:val="en-US" w:eastAsia="zh-CN"/>
                    </w:rPr>
                    <w:t>年用电量为</w:t>
                  </w:r>
                  <w:r>
                    <w:rPr>
                      <w:rFonts w:hint="eastAsia"/>
                      <w:color w:val="auto"/>
                      <w:sz w:val="21"/>
                      <w:szCs w:val="21"/>
                      <w:highlight w:val="none"/>
                      <w:lang w:val="en-US" w:eastAsia="zh-CN"/>
                    </w:rPr>
                    <w:t>360万kWh。</w:t>
                  </w:r>
                </w:p>
              </w:tc>
              <w:tc>
                <w:tcPr>
                  <w:tcW w:w="2125" w:type="dxa"/>
                  <w:tcBorders>
                    <w:tl2br w:val="nil"/>
                    <w:tr2bl w:val="nil"/>
                  </w:tcBorders>
                  <w:noWrap w:val="0"/>
                  <w:vAlign w:val="center"/>
                </w:tcPr>
                <w:p>
                  <w:pPr>
                    <w:bidi w:val="0"/>
                    <w:rPr>
                      <w:rFonts w:hint="default"/>
                      <w:color w:val="auto"/>
                      <w:sz w:val="21"/>
                      <w:szCs w:val="21"/>
                      <w:highlight w:val="none"/>
                      <w:lang w:val="en-US" w:eastAsia="zh-CN"/>
                    </w:rPr>
                  </w:pPr>
                  <w:r>
                    <w:rPr>
                      <w:rFonts w:hint="eastAsia"/>
                      <w:color w:val="auto"/>
                      <w:sz w:val="21"/>
                      <w:szCs w:val="21"/>
                      <w:highlight w:val="none"/>
                      <w:lang w:val="en-US" w:eastAsia="zh-CN"/>
                    </w:rPr>
                    <w:t>维持原有不变。</w:t>
                  </w:r>
                </w:p>
              </w:tc>
              <w:tc>
                <w:tcPr>
                  <w:tcW w:w="1812" w:type="dxa"/>
                  <w:tcBorders>
                    <w:tl2br w:val="nil"/>
                    <w:tr2bl w:val="nil"/>
                  </w:tcBorders>
                  <w:noWrap w:val="0"/>
                  <w:vAlign w:val="center"/>
                </w:tcPr>
                <w:p>
                  <w:pPr>
                    <w:bidi w:val="0"/>
                    <w:rPr>
                      <w:rFonts w:hint="default"/>
                      <w:color w:val="auto"/>
                      <w:sz w:val="21"/>
                      <w:szCs w:val="21"/>
                      <w:highlight w:val="none"/>
                      <w:lang w:val="en-US" w:eastAsia="zh-CN"/>
                    </w:rPr>
                  </w:pPr>
                  <w:r>
                    <w:rPr>
                      <w:rFonts w:hint="default"/>
                      <w:color w:val="auto"/>
                      <w:sz w:val="21"/>
                      <w:szCs w:val="21"/>
                      <w:highlight w:val="none"/>
                    </w:rPr>
                    <w:t>用电由</w:t>
                  </w:r>
                  <w:r>
                    <w:rPr>
                      <w:rFonts w:hint="eastAsia"/>
                      <w:color w:val="auto"/>
                      <w:sz w:val="21"/>
                      <w:szCs w:val="21"/>
                      <w:highlight w:val="none"/>
                      <w:lang w:eastAsia="zh-CN"/>
                    </w:rPr>
                    <w:t>小佘太镇</w:t>
                  </w:r>
                  <w:r>
                    <w:rPr>
                      <w:rFonts w:hint="default"/>
                      <w:color w:val="auto"/>
                      <w:sz w:val="21"/>
                      <w:szCs w:val="21"/>
                      <w:highlight w:val="none"/>
                    </w:rPr>
                    <w:t>电网接入</w:t>
                  </w:r>
                  <w:r>
                    <w:rPr>
                      <w:rFonts w:hint="default"/>
                      <w:color w:val="auto"/>
                      <w:sz w:val="21"/>
                      <w:szCs w:val="21"/>
                      <w:highlight w:val="none"/>
                      <w:lang w:eastAsia="zh-CN"/>
                    </w:rPr>
                    <w:t>，</w:t>
                  </w:r>
                  <w:r>
                    <w:rPr>
                      <w:rFonts w:hint="default"/>
                      <w:color w:val="auto"/>
                      <w:sz w:val="21"/>
                      <w:szCs w:val="21"/>
                      <w:highlight w:val="none"/>
                      <w:lang w:val="en-US" w:eastAsia="zh-CN"/>
                    </w:rPr>
                    <w:t>年用电量为</w:t>
                  </w:r>
                  <w:r>
                    <w:rPr>
                      <w:rFonts w:hint="eastAsia"/>
                      <w:color w:val="auto"/>
                      <w:sz w:val="21"/>
                      <w:szCs w:val="21"/>
                      <w:highlight w:val="none"/>
                      <w:lang w:val="en-US" w:eastAsia="zh-CN"/>
                    </w:rPr>
                    <w:t>360万kWh。</w:t>
                  </w:r>
                </w:p>
              </w:tc>
              <w:tc>
                <w:tcPr>
                  <w:tcW w:w="1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olor w:val="auto"/>
                      <w:sz w:val="21"/>
                      <w:szCs w:val="21"/>
                      <w:highlight w:val="none"/>
                    </w:rPr>
                  </w:pPr>
                  <w:r>
                    <w:rPr>
                      <w:rFonts w:hint="eastAsia"/>
                      <w:b w:val="0"/>
                      <w:bCs w:val="0"/>
                      <w:color w:val="auto"/>
                      <w:sz w:val="21"/>
                      <w:szCs w:val="21"/>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5" w:hRule="atLeast"/>
                <w:jc w:val="center"/>
              </w:trPr>
              <w:tc>
                <w:tcPr>
                  <w:tcW w:w="4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auto"/>
                      <w:sz w:val="21"/>
                      <w:szCs w:val="21"/>
                      <w:highlight w:val="none"/>
                      <w:lang w:val="en-US" w:eastAsia="zh-CN"/>
                    </w:rPr>
                  </w:pPr>
                </w:p>
              </w:tc>
              <w:tc>
                <w:tcPr>
                  <w:tcW w:w="4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供水</w:t>
                  </w:r>
                </w:p>
              </w:tc>
              <w:tc>
                <w:tcPr>
                  <w:tcW w:w="2137" w:type="dxa"/>
                  <w:tcBorders>
                    <w:tl2br w:val="nil"/>
                    <w:tr2bl w:val="nil"/>
                  </w:tcBorders>
                  <w:noWrap w:val="0"/>
                  <w:vAlign w:val="center"/>
                </w:tcPr>
                <w:p>
                  <w:pPr>
                    <w:bidi w:val="0"/>
                    <w:rPr>
                      <w:rFonts w:hint="default"/>
                      <w:color w:val="auto"/>
                      <w:sz w:val="21"/>
                      <w:szCs w:val="21"/>
                      <w:highlight w:val="none"/>
                      <w:lang w:val="en-US" w:eastAsia="zh-CN"/>
                    </w:rPr>
                  </w:pPr>
                  <w:r>
                    <w:rPr>
                      <w:rFonts w:hint="default"/>
                      <w:color w:val="auto"/>
                      <w:sz w:val="21"/>
                      <w:szCs w:val="21"/>
                      <w:highlight w:val="none"/>
                    </w:rPr>
                    <w:t>用水由铁矿的矿井涌水提供</w:t>
                  </w:r>
                  <w:r>
                    <w:rPr>
                      <w:rFonts w:hint="default"/>
                      <w:color w:val="auto"/>
                      <w:sz w:val="21"/>
                      <w:szCs w:val="21"/>
                      <w:highlight w:val="none"/>
                      <w:lang w:eastAsia="zh-CN"/>
                    </w:rPr>
                    <w:t>，</w:t>
                  </w:r>
                  <w:r>
                    <w:rPr>
                      <w:rFonts w:hint="default"/>
                      <w:color w:val="auto"/>
                      <w:sz w:val="21"/>
                      <w:szCs w:val="21"/>
                      <w:highlight w:val="none"/>
                      <w:lang w:val="en-US" w:eastAsia="zh-CN"/>
                    </w:rPr>
                    <w:t>用水量为</w:t>
                  </w:r>
                  <w:r>
                    <w:rPr>
                      <w:rFonts w:hint="eastAsia"/>
                      <w:color w:val="auto"/>
                      <w:sz w:val="21"/>
                      <w:szCs w:val="21"/>
                      <w:highlight w:val="none"/>
                      <w:lang w:val="en-US" w:eastAsia="zh-CN"/>
                    </w:rPr>
                    <w:t>3535.2m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/a。</w:t>
                  </w:r>
                </w:p>
              </w:tc>
              <w:tc>
                <w:tcPr>
                  <w:tcW w:w="2125" w:type="dxa"/>
                  <w:tcBorders>
                    <w:tl2br w:val="nil"/>
                    <w:tr2bl w:val="nil"/>
                  </w:tcBorders>
                  <w:noWrap w:val="0"/>
                  <w:vAlign w:val="center"/>
                </w:tcPr>
                <w:p>
                  <w:pPr>
                    <w:bidi w:val="0"/>
                    <w:rPr>
                      <w:rFonts w:hint="default"/>
                      <w:color w:val="auto"/>
                      <w:sz w:val="21"/>
                      <w:szCs w:val="21"/>
                      <w:highlight w:val="none"/>
                      <w:lang w:val="en-US" w:eastAsia="zh-CN"/>
                    </w:rPr>
                  </w:pPr>
                  <w:r>
                    <w:rPr>
                      <w:rFonts w:hint="eastAsia"/>
                      <w:color w:val="auto"/>
                      <w:sz w:val="21"/>
                      <w:szCs w:val="21"/>
                      <w:highlight w:val="none"/>
                      <w:lang w:val="en-US" w:eastAsia="zh-CN"/>
                    </w:rPr>
                    <w:t>用水由矿井用水提供。用水量为3420m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/a</w:t>
                  </w:r>
                </w:p>
              </w:tc>
              <w:tc>
                <w:tcPr>
                  <w:tcW w:w="1812" w:type="dxa"/>
                  <w:tcBorders>
                    <w:tl2br w:val="nil"/>
                    <w:tr2bl w:val="nil"/>
                  </w:tcBorders>
                  <w:noWrap w:val="0"/>
                  <w:vAlign w:val="center"/>
                </w:tcPr>
                <w:p>
                  <w:pPr>
                    <w:bidi w:val="0"/>
                    <w:rPr>
                      <w:rFonts w:hint="default"/>
                      <w:color w:val="auto"/>
                      <w:sz w:val="21"/>
                      <w:szCs w:val="21"/>
                      <w:highlight w:val="none"/>
                      <w:lang w:val="en-US" w:eastAsia="zh-CN"/>
                    </w:rPr>
                  </w:pPr>
                  <w:r>
                    <w:rPr>
                      <w:rFonts w:hint="default"/>
                      <w:color w:val="auto"/>
                      <w:sz w:val="21"/>
                      <w:szCs w:val="21"/>
                      <w:highlight w:val="none"/>
                    </w:rPr>
                    <w:t>用水由铁矿的矿井涌水提供</w:t>
                  </w:r>
                  <w:r>
                    <w:rPr>
                      <w:rFonts w:hint="default"/>
                      <w:color w:val="auto"/>
                      <w:sz w:val="21"/>
                      <w:szCs w:val="21"/>
                      <w:highlight w:val="none"/>
                      <w:lang w:eastAsia="zh-CN"/>
                    </w:rPr>
                    <w:t>，</w:t>
                  </w:r>
                  <w:r>
                    <w:rPr>
                      <w:rFonts w:hint="default"/>
                      <w:color w:val="auto"/>
                      <w:sz w:val="21"/>
                      <w:szCs w:val="21"/>
                      <w:highlight w:val="none"/>
                      <w:lang w:val="en-US" w:eastAsia="zh-CN"/>
                    </w:rPr>
                    <w:t>年用水量为</w:t>
                  </w:r>
                  <w:r>
                    <w:rPr>
                      <w:rFonts w:hint="eastAsia"/>
                      <w:color w:val="auto"/>
                      <w:sz w:val="21"/>
                      <w:szCs w:val="21"/>
                      <w:highlight w:val="none"/>
                      <w:lang w:val="en-US" w:eastAsia="zh-CN"/>
                    </w:rPr>
                    <w:t>3420m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/a。</w:t>
                  </w:r>
                </w:p>
              </w:tc>
              <w:tc>
                <w:tcPr>
                  <w:tcW w:w="1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olor w:val="auto"/>
                      <w:sz w:val="21"/>
                      <w:szCs w:val="21"/>
                      <w:highlight w:val="none"/>
                    </w:rPr>
                  </w:pPr>
                  <w:r>
                    <w:rPr>
                      <w:rFonts w:hint="eastAsia"/>
                      <w:b w:val="0"/>
                      <w:bCs w:val="0"/>
                      <w:color w:val="auto"/>
                      <w:sz w:val="21"/>
                      <w:szCs w:val="21"/>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55" w:hRule="atLeast"/>
                <w:jc w:val="center"/>
              </w:trPr>
              <w:tc>
                <w:tcPr>
                  <w:tcW w:w="4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auto"/>
                      <w:sz w:val="21"/>
                      <w:szCs w:val="21"/>
                      <w:highlight w:val="none"/>
                      <w:lang w:val="en-US" w:eastAsia="zh-CN"/>
                    </w:rPr>
                  </w:pPr>
                </w:p>
              </w:tc>
              <w:tc>
                <w:tcPr>
                  <w:tcW w:w="4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排水</w:t>
                  </w:r>
                </w:p>
              </w:tc>
              <w:tc>
                <w:tcPr>
                  <w:tcW w:w="2137" w:type="dxa"/>
                  <w:tcBorders>
                    <w:tl2br w:val="nil"/>
                    <w:tr2bl w:val="nil"/>
                  </w:tcBorders>
                  <w:noWrap w:val="0"/>
                  <w:vAlign w:val="center"/>
                </w:tcPr>
                <w:p>
                  <w:pPr>
                    <w:bidi w:val="0"/>
                    <w:rPr>
                      <w:rFonts w:hint="default"/>
                      <w:color w:val="auto"/>
                      <w:sz w:val="21"/>
                      <w:szCs w:val="21"/>
                      <w:highlight w:val="none"/>
                      <w:lang w:val="en-US" w:eastAsia="zh-CN"/>
                    </w:rPr>
                  </w:pPr>
                  <w:r>
                    <w:rPr>
                      <w:rFonts w:hint="default"/>
                      <w:color w:val="auto"/>
                      <w:sz w:val="21"/>
                      <w:szCs w:val="21"/>
                      <w:highlight w:val="none"/>
                      <w:lang w:val="en-US" w:eastAsia="zh-CN"/>
                    </w:rPr>
                    <w:t>项目排水主要为锅炉排水和锅炉软化水系统排水，排水量为</w:t>
                  </w:r>
                  <w:r>
                    <w:rPr>
                      <w:rFonts w:hint="eastAsia"/>
                      <w:color w:val="auto"/>
                      <w:sz w:val="21"/>
                      <w:szCs w:val="21"/>
                      <w:highlight w:val="none"/>
                      <w:lang w:val="en-US" w:eastAsia="zh-CN"/>
                    </w:rPr>
                    <w:t>1496.16m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/a</w:t>
                  </w:r>
                  <w:r>
                    <w:rPr>
                      <w:rFonts w:hint="default"/>
                      <w:color w:val="auto"/>
                      <w:sz w:val="21"/>
                      <w:szCs w:val="21"/>
                      <w:highlight w:val="none"/>
                      <w:lang w:val="en-US" w:eastAsia="zh-CN"/>
                    </w:rPr>
                    <w:t>，锅炉排水回用于除尘系统补水，软化水系统排水用于灰渣和煤的加湿。</w:t>
                  </w:r>
                </w:p>
              </w:tc>
              <w:tc>
                <w:tcPr>
                  <w:tcW w:w="2125" w:type="dxa"/>
                  <w:tcBorders>
                    <w:tl2br w:val="nil"/>
                    <w:tr2bl w:val="nil"/>
                  </w:tcBorders>
                  <w:noWrap w:val="0"/>
                  <w:vAlign w:val="center"/>
                </w:tcPr>
                <w:p>
                  <w:pPr>
                    <w:bidi w:val="0"/>
                    <w:rPr>
                      <w:rFonts w:hint="eastAsia"/>
                      <w:color w:val="auto"/>
                      <w:sz w:val="21"/>
                      <w:szCs w:val="21"/>
                      <w:highlight w:val="none"/>
                      <w:lang w:val="en-US" w:eastAsia="zh-CN"/>
                    </w:rPr>
                  </w:pPr>
                  <w:r>
                    <w:rPr>
                      <w:rFonts w:hint="default"/>
                      <w:color w:val="auto"/>
                      <w:sz w:val="21"/>
                      <w:szCs w:val="21"/>
                      <w:highlight w:val="none"/>
                      <w:lang w:val="en-US" w:eastAsia="zh-CN"/>
                    </w:rPr>
                    <w:t>项目排水主要为锅炉排水</w:t>
                  </w:r>
                  <w:r>
                    <w:rPr>
                      <w:rFonts w:hint="eastAsia"/>
                      <w:color w:val="auto"/>
                      <w:sz w:val="21"/>
                      <w:szCs w:val="21"/>
                      <w:highlight w:val="none"/>
                      <w:lang w:val="en-US" w:eastAsia="zh-CN"/>
                    </w:rPr>
                    <w:t>、</w:t>
                  </w:r>
                  <w:r>
                    <w:rPr>
                      <w:rFonts w:hint="default"/>
                      <w:color w:val="auto"/>
                      <w:sz w:val="21"/>
                      <w:szCs w:val="21"/>
                      <w:highlight w:val="none"/>
                      <w:lang w:val="en-US" w:eastAsia="zh-CN"/>
                    </w:rPr>
                    <w:t>锅炉软化水系统排水，</w:t>
                  </w:r>
                  <w:r>
                    <w:rPr>
                      <w:rFonts w:hint="eastAsia"/>
                      <w:color w:val="auto"/>
                      <w:sz w:val="21"/>
                      <w:szCs w:val="21"/>
                      <w:highlight w:val="none"/>
                      <w:lang w:val="en-US" w:eastAsia="zh-CN"/>
                    </w:rPr>
                    <w:t>出渣机废水、脱硫塔废水和灰渣间抑尘废水。废</w:t>
                  </w:r>
                  <w:r>
                    <w:rPr>
                      <w:rFonts w:hint="default"/>
                      <w:color w:val="auto"/>
                      <w:sz w:val="21"/>
                      <w:szCs w:val="21"/>
                      <w:highlight w:val="none"/>
                      <w:lang w:val="en-US" w:eastAsia="zh-CN"/>
                    </w:rPr>
                    <w:t>水量为</w:t>
                  </w:r>
                  <w:r>
                    <w:rPr>
                      <w:rFonts w:hint="eastAsia"/>
                      <w:color w:val="auto"/>
                      <w:sz w:val="21"/>
                      <w:szCs w:val="21"/>
                      <w:highlight w:val="none"/>
                      <w:lang w:val="en-US" w:eastAsia="zh-CN"/>
                    </w:rPr>
                    <w:t>1404m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/a。</w:t>
                  </w:r>
                </w:p>
              </w:tc>
              <w:tc>
                <w:tcPr>
                  <w:tcW w:w="1812" w:type="dxa"/>
                  <w:tcBorders>
                    <w:tl2br w:val="nil"/>
                    <w:tr2bl w:val="nil"/>
                  </w:tcBorders>
                  <w:noWrap w:val="0"/>
                  <w:vAlign w:val="center"/>
                </w:tcPr>
                <w:p>
                  <w:pPr>
                    <w:bidi w:val="0"/>
                    <w:rPr>
                      <w:rFonts w:hint="eastAsia"/>
                      <w:color w:val="auto"/>
                      <w:sz w:val="21"/>
                      <w:szCs w:val="21"/>
                      <w:highlight w:val="none"/>
                      <w:lang w:val="en-US" w:eastAsia="zh-CN"/>
                    </w:rPr>
                  </w:pPr>
                  <w:r>
                    <w:rPr>
                      <w:rFonts w:hint="default"/>
                      <w:color w:val="auto"/>
                      <w:sz w:val="21"/>
                      <w:szCs w:val="21"/>
                      <w:highlight w:val="none"/>
                      <w:lang w:val="en-US" w:eastAsia="zh-CN"/>
                    </w:rPr>
                    <w:t>项目排水主要为锅炉排水</w:t>
                  </w:r>
                  <w:r>
                    <w:rPr>
                      <w:rFonts w:hint="eastAsia"/>
                      <w:color w:val="auto"/>
                      <w:sz w:val="21"/>
                      <w:szCs w:val="21"/>
                      <w:highlight w:val="none"/>
                      <w:lang w:val="en-US" w:eastAsia="zh-CN"/>
                    </w:rPr>
                    <w:t>、</w:t>
                  </w:r>
                  <w:r>
                    <w:rPr>
                      <w:rFonts w:hint="default"/>
                      <w:color w:val="auto"/>
                      <w:sz w:val="21"/>
                      <w:szCs w:val="21"/>
                      <w:highlight w:val="none"/>
                      <w:lang w:val="en-US" w:eastAsia="zh-CN"/>
                    </w:rPr>
                    <w:t>锅炉软化水系统排水，</w:t>
                  </w:r>
                  <w:r>
                    <w:rPr>
                      <w:rFonts w:hint="eastAsia"/>
                      <w:color w:val="auto"/>
                      <w:sz w:val="21"/>
                      <w:szCs w:val="21"/>
                      <w:highlight w:val="none"/>
                      <w:lang w:val="en-US" w:eastAsia="zh-CN"/>
                    </w:rPr>
                    <w:t>出渣机废水、脱硫塔废水和灰渣间抑尘废水。废</w:t>
                  </w:r>
                  <w:r>
                    <w:rPr>
                      <w:rFonts w:hint="default"/>
                      <w:color w:val="auto"/>
                      <w:sz w:val="21"/>
                      <w:szCs w:val="21"/>
                      <w:highlight w:val="none"/>
                      <w:lang w:val="en-US" w:eastAsia="zh-CN"/>
                    </w:rPr>
                    <w:t>水量为</w:t>
                  </w:r>
                  <w:r>
                    <w:rPr>
                      <w:rFonts w:hint="eastAsia"/>
                      <w:color w:val="auto"/>
                      <w:sz w:val="21"/>
                      <w:szCs w:val="21"/>
                      <w:highlight w:val="none"/>
                      <w:lang w:val="en-US" w:eastAsia="zh-CN"/>
                    </w:rPr>
                    <w:t>1404m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/a</w:t>
                  </w:r>
                  <w:r>
                    <w:rPr>
                      <w:rFonts w:hint="default"/>
                      <w:color w:val="auto"/>
                      <w:sz w:val="21"/>
                      <w:szCs w:val="21"/>
                      <w:highlight w:val="none"/>
                      <w:lang w:val="en-US" w:eastAsia="zh-CN"/>
                    </w:rPr>
                    <w:t>。</w:t>
                  </w:r>
                </w:p>
              </w:tc>
              <w:tc>
                <w:tcPr>
                  <w:tcW w:w="1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环保工程</w:t>
                  </w:r>
                </w:p>
              </w:tc>
              <w:tc>
                <w:tcPr>
                  <w:tcW w:w="47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废气</w:t>
                  </w:r>
                </w:p>
              </w:tc>
              <w:tc>
                <w:tcPr>
                  <w:tcW w:w="2137"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项目有组织废气主要为锅炉废气。</w:t>
                  </w:r>
                </w:p>
                <w:p>
                  <w:pPr>
                    <w:pStyle w:val="38"/>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两台燃煤锅炉共用一套脱硫除尘系统，为布袋除尘器+双碱法</w:t>
                  </w:r>
                  <w:r>
                    <w:rPr>
                      <w:rFonts w:hint="default" w:ascii="Times New Roman" w:hAnsi="Times New Roman" w:cs="Times New Roman"/>
                      <w:color w:val="auto"/>
                      <w:highlight w:val="none"/>
                      <w:lang w:val="en-US" w:eastAsia="zh-CN"/>
                    </w:rPr>
                    <w:t>脱硫除尘系统，</w:t>
                  </w:r>
                  <w:r>
                    <w:rPr>
                      <w:rFonts w:hint="eastAsia" w:ascii="Times New Roman" w:hAnsi="Times New Roman" w:cs="Times New Roman"/>
                      <w:color w:val="auto"/>
                      <w:highlight w:val="none"/>
                      <w:lang w:val="en-US" w:eastAsia="zh-CN"/>
                    </w:rPr>
                    <w:t>锅炉废气经过处理后由1根45m高的排气筒进行排放。</w:t>
                  </w:r>
                </w:p>
              </w:tc>
              <w:tc>
                <w:tcPr>
                  <w:tcW w:w="2125"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项目有组织废气主要为锅炉废气。</w:t>
                  </w:r>
                </w:p>
                <w:p>
                  <w:pPr>
                    <w:pStyle w:val="38"/>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b w:val="0"/>
                      <w:bCs w:val="0"/>
                      <w:color w:val="auto"/>
                      <w:sz w:val="21"/>
                      <w:szCs w:val="21"/>
                      <w:highlight w:val="none"/>
                      <w:lang w:eastAsia="zh-CN"/>
                    </w:rPr>
                  </w:pPr>
                  <w:r>
                    <w:rPr>
                      <w:rFonts w:hint="eastAsia" w:ascii="Times New Roman" w:hAnsi="Times New Roman" w:cs="Times New Roman"/>
                      <w:color w:val="auto"/>
                      <w:highlight w:val="none"/>
                      <w:lang w:val="en-US" w:eastAsia="zh-CN"/>
                    </w:rPr>
                    <w:t>锅炉废气经布袋除尘器+双碱法脱硫除尘系统处理</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由1根40m高的排气筒进行排。</w:t>
                  </w:r>
                </w:p>
              </w:tc>
              <w:tc>
                <w:tcPr>
                  <w:tcW w:w="181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锅炉废气通过布袋除尘器+双碱法</w:t>
                  </w:r>
                  <w:r>
                    <w:rPr>
                      <w:rFonts w:hint="default" w:ascii="Times New Roman" w:hAnsi="Times New Roman" w:cs="Times New Roman"/>
                      <w:color w:val="auto"/>
                      <w:highlight w:val="none"/>
                      <w:lang w:val="en-US" w:eastAsia="zh-CN"/>
                    </w:rPr>
                    <w:t>脱硫除尘系统</w:t>
                  </w:r>
                  <w:r>
                    <w:rPr>
                      <w:rFonts w:hint="eastAsia" w:ascii="Times New Roman" w:hAnsi="Times New Roman" w:cs="Times New Roman"/>
                      <w:color w:val="auto"/>
                      <w:highlight w:val="none"/>
                      <w:lang w:val="en-US" w:eastAsia="zh-CN"/>
                    </w:rPr>
                    <w:t>处理后，经过1根40m高的排气筒进行排放。</w:t>
                  </w:r>
                </w:p>
              </w:tc>
              <w:tc>
                <w:tcPr>
                  <w:tcW w:w="1117"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highlight w:val="none"/>
                      <w:lang w:val="en-US" w:eastAsia="zh-CN"/>
                    </w:rPr>
                  </w:pPr>
                  <w:r>
                    <w:rPr>
                      <w:rFonts w:hint="eastAsia"/>
                      <w:color w:val="auto"/>
                      <w:sz w:val="21"/>
                      <w:szCs w:val="21"/>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13" w:hRule="atLeast"/>
                <w:jc w:val="center"/>
              </w:trPr>
              <w:tc>
                <w:tcPr>
                  <w:tcW w:w="4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auto"/>
                      <w:sz w:val="21"/>
                      <w:szCs w:val="21"/>
                      <w:highlight w:val="none"/>
                      <w:lang w:val="en-US" w:eastAsia="zh-CN"/>
                    </w:rPr>
                  </w:pPr>
                </w:p>
              </w:tc>
              <w:tc>
                <w:tcPr>
                  <w:tcW w:w="47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auto"/>
                      <w:sz w:val="21"/>
                      <w:szCs w:val="21"/>
                      <w:highlight w:val="none"/>
                      <w:lang w:val="en-US" w:eastAsia="zh-CN"/>
                    </w:rPr>
                  </w:pPr>
                </w:p>
              </w:tc>
              <w:tc>
                <w:tcPr>
                  <w:tcW w:w="2137"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燃煤和</w:t>
                  </w:r>
                  <w:r>
                    <w:rPr>
                      <w:rFonts w:hint="default" w:ascii="Times New Roman" w:hAnsi="Times New Roman" w:eastAsia="宋体" w:cs="Times New Roman"/>
                      <w:color w:val="auto"/>
                      <w:sz w:val="21"/>
                      <w:szCs w:val="21"/>
                      <w:highlight w:val="none"/>
                    </w:rPr>
                    <w:t>灰渣卸载</w:t>
                  </w:r>
                  <w:r>
                    <w:rPr>
                      <w:rFonts w:hint="default" w:ascii="Times New Roman" w:hAnsi="Times New Roman" w:eastAsia="宋体" w:cs="Times New Roman"/>
                      <w:color w:val="auto"/>
                      <w:sz w:val="21"/>
                      <w:szCs w:val="21"/>
                      <w:highlight w:val="none"/>
                      <w:lang w:eastAsia="zh-CN"/>
                    </w:rPr>
                    <w:t>、储存</w:t>
                  </w:r>
                  <w:r>
                    <w:rPr>
                      <w:rFonts w:hint="default" w:ascii="Times New Roman" w:hAnsi="Times New Roman" w:eastAsia="宋体" w:cs="Times New Roman"/>
                      <w:color w:val="auto"/>
                      <w:sz w:val="21"/>
                      <w:szCs w:val="21"/>
                      <w:highlight w:val="none"/>
                    </w:rPr>
                    <w:t>过程中产生的颗粒物经封闭</w:t>
                  </w:r>
                  <w:r>
                    <w:rPr>
                      <w:rFonts w:hint="default" w:ascii="Times New Roman" w:hAnsi="Times New Roman" w:eastAsia="宋体" w:cs="Times New Roman"/>
                      <w:color w:val="auto"/>
                      <w:sz w:val="21"/>
                      <w:szCs w:val="21"/>
                      <w:highlight w:val="none"/>
                      <w:lang w:val="en-US" w:eastAsia="zh-CN"/>
                    </w:rPr>
                    <w:t>库房</w:t>
                  </w:r>
                  <w:r>
                    <w:rPr>
                      <w:rFonts w:hint="default" w:ascii="Times New Roman" w:hAnsi="Times New Roman" w:eastAsia="宋体" w:cs="Times New Roman"/>
                      <w:color w:val="auto"/>
                      <w:sz w:val="21"/>
                      <w:szCs w:val="21"/>
                      <w:highlight w:val="none"/>
                    </w:rPr>
                    <w:t>沉降和洒水抑尘后，以无组织形式排放</w:t>
                  </w:r>
                  <w:r>
                    <w:rPr>
                      <w:rFonts w:hint="eastAsia" w:ascii="Times New Roman" w:hAnsi="Times New Roman" w:cs="Times New Roman"/>
                      <w:color w:val="auto"/>
                      <w:sz w:val="21"/>
                      <w:szCs w:val="21"/>
                      <w:highlight w:val="none"/>
                      <w:lang w:val="en-US" w:eastAsia="zh-CN"/>
                    </w:rPr>
                    <w:t>.</w:t>
                  </w:r>
                </w:p>
              </w:tc>
              <w:tc>
                <w:tcPr>
                  <w:tcW w:w="2125"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sz w:val="21"/>
                      <w:szCs w:val="21"/>
                      <w:highlight w:val="none"/>
                      <w:lang w:val="en-US" w:eastAsia="zh-CN"/>
                    </w:rPr>
                    <w:t>生物质燃料</w:t>
                  </w:r>
                  <w:r>
                    <w:rPr>
                      <w:rFonts w:hint="default" w:ascii="Times New Roman" w:hAnsi="Times New Roman" w:eastAsia="宋体" w:cs="Times New Roman"/>
                      <w:color w:val="auto"/>
                      <w:sz w:val="21"/>
                      <w:szCs w:val="21"/>
                      <w:highlight w:val="none"/>
                      <w:lang w:val="en-US" w:eastAsia="zh-CN"/>
                    </w:rPr>
                    <w:t>和</w:t>
                  </w:r>
                  <w:r>
                    <w:rPr>
                      <w:rFonts w:hint="default" w:ascii="Times New Roman" w:hAnsi="Times New Roman" w:eastAsia="宋体" w:cs="Times New Roman"/>
                      <w:color w:val="auto"/>
                      <w:sz w:val="21"/>
                      <w:szCs w:val="21"/>
                      <w:highlight w:val="none"/>
                    </w:rPr>
                    <w:t>灰渣卸载</w:t>
                  </w:r>
                  <w:r>
                    <w:rPr>
                      <w:rFonts w:hint="default" w:ascii="Times New Roman" w:hAnsi="Times New Roman" w:eastAsia="宋体" w:cs="Times New Roman"/>
                      <w:color w:val="auto"/>
                      <w:sz w:val="21"/>
                      <w:szCs w:val="21"/>
                      <w:highlight w:val="none"/>
                      <w:lang w:eastAsia="zh-CN"/>
                    </w:rPr>
                    <w:t>、储存</w:t>
                  </w:r>
                  <w:r>
                    <w:rPr>
                      <w:rFonts w:hint="default" w:ascii="Times New Roman" w:hAnsi="Times New Roman" w:eastAsia="宋体" w:cs="Times New Roman"/>
                      <w:color w:val="auto"/>
                      <w:sz w:val="21"/>
                      <w:szCs w:val="21"/>
                      <w:highlight w:val="none"/>
                    </w:rPr>
                    <w:t>过程中产生的颗粒物经封闭</w:t>
                  </w:r>
                  <w:r>
                    <w:rPr>
                      <w:rFonts w:hint="default" w:ascii="Times New Roman" w:hAnsi="Times New Roman" w:eastAsia="宋体" w:cs="Times New Roman"/>
                      <w:color w:val="auto"/>
                      <w:sz w:val="21"/>
                      <w:szCs w:val="21"/>
                      <w:highlight w:val="none"/>
                      <w:lang w:val="en-US" w:eastAsia="zh-CN"/>
                    </w:rPr>
                    <w:t>库房</w:t>
                  </w:r>
                  <w:r>
                    <w:rPr>
                      <w:rFonts w:hint="default" w:ascii="Times New Roman" w:hAnsi="Times New Roman" w:eastAsia="宋体" w:cs="Times New Roman"/>
                      <w:color w:val="auto"/>
                      <w:sz w:val="21"/>
                      <w:szCs w:val="21"/>
                      <w:highlight w:val="none"/>
                    </w:rPr>
                    <w:t>沉降和洒水抑尘后，以无组织形式排放</w:t>
                  </w:r>
                  <w:r>
                    <w:rPr>
                      <w:rFonts w:hint="eastAsia" w:ascii="Times New Roman" w:hAnsi="Times New Roman" w:cs="Times New Roman"/>
                      <w:color w:val="auto"/>
                      <w:sz w:val="21"/>
                      <w:szCs w:val="21"/>
                      <w:highlight w:val="none"/>
                      <w:lang w:eastAsia="zh-CN"/>
                    </w:rPr>
                    <w:t>。</w:t>
                  </w:r>
                </w:p>
              </w:tc>
              <w:tc>
                <w:tcPr>
                  <w:tcW w:w="181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sz w:val="21"/>
                      <w:szCs w:val="21"/>
                      <w:highlight w:val="none"/>
                      <w:lang w:val="en-US" w:eastAsia="zh-CN"/>
                    </w:rPr>
                    <w:t>生物质燃料、燃煤</w:t>
                  </w:r>
                  <w:r>
                    <w:rPr>
                      <w:rFonts w:hint="default" w:ascii="Times New Roman" w:hAnsi="Times New Roman" w:eastAsia="宋体" w:cs="Times New Roman"/>
                      <w:color w:val="auto"/>
                      <w:sz w:val="21"/>
                      <w:szCs w:val="21"/>
                      <w:highlight w:val="none"/>
                      <w:lang w:val="en-US" w:eastAsia="zh-CN"/>
                    </w:rPr>
                    <w:t>和</w:t>
                  </w:r>
                  <w:r>
                    <w:rPr>
                      <w:rFonts w:hint="default" w:ascii="Times New Roman" w:hAnsi="Times New Roman" w:eastAsia="宋体" w:cs="Times New Roman"/>
                      <w:color w:val="auto"/>
                      <w:sz w:val="21"/>
                      <w:szCs w:val="21"/>
                      <w:highlight w:val="none"/>
                    </w:rPr>
                    <w:t>灰渣卸载</w:t>
                  </w:r>
                  <w:r>
                    <w:rPr>
                      <w:rFonts w:hint="default" w:ascii="Times New Roman" w:hAnsi="Times New Roman" w:eastAsia="宋体" w:cs="Times New Roman"/>
                      <w:color w:val="auto"/>
                      <w:sz w:val="21"/>
                      <w:szCs w:val="21"/>
                      <w:highlight w:val="none"/>
                      <w:lang w:eastAsia="zh-CN"/>
                    </w:rPr>
                    <w:t>、储存</w:t>
                  </w:r>
                  <w:r>
                    <w:rPr>
                      <w:rFonts w:hint="default" w:ascii="Times New Roman" w:hAnsi="Times New Roman" w:eastAsia="宋体" w:cs="Times New Roman"/>
                      <w:color w:val="auto"/>
                      <w:sz w:val="21"/>
                      <w:szCs w:val="21"/>
                      <w:highlight w:val="none"/>
                    </w:rPr>
                    <w:t>过程中产生的颗粒物经封闭</w:t>
                  </w:r>
                  <w:r>
                    <w:rPr>
                      <w:rFonts w:hint="default" w:ascii="Times New Roman" w:hAnsi="Times New Roman" w:eastAsia="宋体" w:cs="Times New Roman"/>
                      <w:color w:val="auto"/>
                      <w:sz w:val="21"/>
                      <w:szCs w:val="21"/>
                      <w:highlight w:val="none"/>
                      <w:lang w:val="en-US" w:eastAsia="zh-CN"/>
                    </w:rPr>
                    <w:t>库房</w:t>
                  </w:r>
                  <w:r>
                    <w:rPr>
                      <w:rFonts w:hint="default" w:ascii="Times New Roman" w:hAnsi="Times New Roman" w:eastAsia="宋体" w:cs="Times New Roman"/>
                      <w:color w:val="auto"/>
                      <w:sz w:val="21"/>
                      <w:szCs w:val="21"/>
                      <w:highlight w:val="none"/>
                    </w:rPr>
                    <w:t>沉降和洒水抑尘后，以无组织形式排放</w:t>
                  </w:r>
                  <w:r>
                    <w:rPr>
                      <w:rFonts w:hint="eastAsia" w:ascii="Times New Roman" w:hAnsi="Times New Roman" w:cs="Times New Roman"/>
                      <w:color w:val="auto"/>
                      <w:sz w:val="21"/>
                      <w:szCs w:val="21"/>
                      <w:highlight w:val="none"/>
                      <w:lang w:eastAsia="zh-CN"/>
                    </w:rPr>
                    <w:t>。</w:t>
                  </w:r>
                </w:p>
              </w:tc>
              <w:tc>
                <w:tcPr>
                  <w:tcW w:w="1117"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3" w:hRule="atLeast"/>
                <w:jc w:val="center"/>
              </w:trPr>
              <w:tc>
                <w:tcPr>
                  <w:tcW w:w="4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lang w:val="en-US" w:eastAsia="zh-CN"/>
                    </w:rPr>
                  </w:pPr>
                </w:p>
              </w:tc>
              <w:tc>
                <w:tcPr>
                  <w:tcW w:w="47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废水</w:t>
                  </w:r>
                </w:p>
              </w:tc>
              <w:tc>
                <w:tcPr>
                  <w:tcW w:w="2137" w:type="dxa"/>
                  <w:vAlign w:val="center"/>
                </w:tcPr>
                <w:p>
                  <w:pPr>
                    <w:bidi w:val="0"/>
                    <w:rPr>
                      <w:rFonts w:hint="default"/>
                      <w:color w:val="auto"/>
                      <w:sz w:val="21"/>
                      <w:szCs w:val="21"/>
                      <w:highlight w:val="none"/>
                      <w:lang w:val="en-US" w:eastAsia="zh-CN"/>
                    </w:rPr>
                  </w:pPr>
                  <w:r>
                    <w:rPr>
                      <w:rFonts w:hint="eastAsia"/>
                      <w:color w:val="auto"/>
                      <w:sz w:val="21"/>
                      <w:szCs w:val="21"/>
                      <w:highlight w:val="none"/>
                      <w:lang w:val="en-US" w:eastAsia="zh-CN"/>
                    </w:rPr>
                    <w:t>项目产生的废水主要为生产废水。其包括锅炉排水和软化水系统排水，全部用于灰渣库洒水抑尘，不外排。</w:t>
                  </w:r>
                </w:p>
              </w:tc>
              <w:tc>
                <w:tcPr>
                  <w:tcW w:w="2125" w:type="dxa"/>
                  <w:vAlign w:val="center"/>
                </w:tcPr>
                <w:p>
                  <w:pPr>
                    <w:bidi w:val="0"/>
                    <w:rPr>
                      <w:rFonts w:hint="eastAsia"/>
                      <w:color w:val="auto"/>
                      <w:sz w:val="21"/>
                      <w:szCs w:val="21"/>
                      <w:highlight w:val="none"/>
                      <w:lang w:val="en-US" w:eastAsia="zh-CN"/>
                    </w:rPr>
                  </w:pPr>
                  <w:r>
                    <w:rPr>
                      <w:rFonts w:hint="eastAsia"/>
                      <w:color w:val="auto"/>
                      <w:sz w:val="21"/>
                      <w:szCs w:val="21"/>
                      <w:highlight w:val="none"/>
                      <w:lang w:val="en-US" w:eastAsia="zh-CN"/>
                    </w:rPr>
                    <w:t>改建项目产生的废水主要为生产废水。其包括锅炉排水、软化水系统排水、出渣机废水、脱硫塔废水和灰渣间抑尘废水。锅炉排水和软化系统排水用于灰渣间洒水抑尘，不外排；出渣机废水循环使用，不外排；脱硫塔废水循环使用，不外排；灰渣间抑尘废水自然蒸发损耗；因此，改建项目产生的生产废水不外排。</w:t>
                  </w:r>
                </w:p>
                <w:p>
                  <w:pPr>
                    <w:bidi w:val="0"/>
                    <w:rPr>
                      <w:rFonts w:hint="default"/>
                      <w:color w:val="auto"/>
                      <w:sz w:val="21"/>
                      <w:szCs w:val="21"/>
                      <w:highlight w:val="none"/>
                      <w:lang w:val="en-US" w:eastAsia="zh-CN"/>
                    </w:rPr>
                  </w:pPr>
                  <w:r>
                    <w:rPr>
                      <w:rFonts w:hint="eastAsia"/>
                      <w:color w:val="auto"/>
                      <w:sz w:val="21"/>
                      <w:szCs w:val="21"/>
                      <w:highlight w:val="none"/>
                      <w:lang w:val="en-US" w:eastAsia="zh-CN"/>
                    </w:rPr>
                    <w:t>改建项目不新增劳动定员，因此不新增生活污水。</w:t>
                  </w:r>
                </w:p>
              </w:tc>
              <w:tc>
                <w:tcPr>
                  <w:tcW w:w="1812" w:type="dxa"/>
                  <w:vAlign w:val="center"/>
                </w:tcPr>
                <w:p>
                  <w:pPr>
                    <w:bidi w:val="0"/>
                    <w:rPr>
                      <w:rFonts w:hint="eastAsia"/>
                      <w:color w:val="auto"/>
                      <w:sz w:val="21"/>
                      <w:szCs w:val="21"/>
                      <w:highlight w:val="none"/>
                      <w:lang w:val="en-US" w:eastAsia="zh-CN"/>
                    </w:rPr>
                  </w:pPr>
                  <w:r>
                    <w:rPr>
                      <w:rFonts w:hint="eastAsia"/>
                      <w:color w:val="auto"/>
                      <w:sz w:val="21"/>
                      <w:szCs w:val="21"/>
                      <w:highlight w:val="none"/>
                      <w:lang w:val="en-US" w:eastAsia="zh-CN"/>
                    </w:rPr>
                    <w:t>项目产生的废水主要为生产废水。</w:t>
                  </w:r>
                </w:p>
                <w:p>
                  <w:pPr>
                    <w:bidi w:val="0"/>
                    <w:rPr>
                      <w:rFonts w:hint="default"/>
                      <w:color w:val="auto"/>
                      <w:sz w:val="21"/>
                      <w:szCs w:val="21"/>
                      <w:highlight w:val="none"/>
                      <w:lang w:val="en-US" w:eastAsia="zh-CN"/>
                    </w:rPr>
                  </w:pPr>
                  <w:r>
                    <w:rPr>
                      <w:rFonts w:hint="eastAsia"/>
                      <w:color w:val="auto"/>
                      <w:sz w:val="21"/>
                      <w:szCs w:val="21"/>
                      <w:highlight w:val="none"/>
                      <w:lang w:val="en-US" w:eastAsia="zh-CN"/>
                    </w:rPr>
                    <w:t>锅炉排水、软化水系统排水、出渣机废水、脱硫塔废水和灰渣间抑尘废水。锅炉排水和软化系统排水用于灰渣间洒水抑尘，不外排；出渣机废水循环使用，不外排；脱硫塔废水循环使用，不外排；灰渣间抑尘废水自然蒸发损耗；因此，改建项目产生的生产废水不外排。</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40" w:hRule="atLeast"/>
                <w:jc w:val="center"/>
              </w:trPr>
              <w:tc>
                <w:tcPr>
                  <w:tcW w:w="4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lang w:val="en-US" w:eastAsia="zh-CN"/>
                    </w:rPr>
                  </w:pPr>
                </w:p>
              </w:tc>
              <w:tc>
                <w:tcPr>
                  <w:tcW w:w="47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噪声</w:t>
                  </w:r>
                </w:p>
              </w:tc>
              <w:tc>
                <w:tcPr>
                  <w:tcW w:w="2137" w:type="dxa"/>
                  <w:vAlign w:val="center"/>
                </w:tcPr>
                <w:p>
                  <w:pPr>
                    <w:pStyle w:val="38"/>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项目产生的噪声主要为锅炉运行时的噪声，通过封闭锅炉房和减振等措施降噪。</w:t>
                  </w:r>
                </w:p>
              </w:tc>
              <w:tc>
                <w:tcPr>
                  <w:tcW w:w="2125" w:type="dxa"/>
                  <w:vAlign w:val="center"/>
                </w:tcPr>
                <w:p>
                  <w:pPr>
                    <w:pStyle w:val="38"/>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项目产生的噪声主要为锅炉运行时的噪声，通过封闭锅炉房和减振等措施降噪。</w:t>
                  </w:r>
                </w:p>
              </w:tc>
              <w:tc>
                <w:tcPr>
                  <w:tcW w:w="1812" w:type="dxa"/>
                  <w:vAlign w:val="center"/>
                </w:tcPr>
                <w:p>
                  <w:pPr>
                    <w:pStyle w:val="38"/>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项目产生的噪声主要为锅炉运行时的噪声，通过封闭锅炉房和减振等措施降噪。</w:t>
                  </w:r>
                </w:p>
              </w:tc>
              <w:tc>
                <w:tcPr>
                  <w:tcW w:w="1117" w:type="dxa"/>
                  <w:vAlign w:val="center"/>
                </w:tcPr>
                <w:p>
                  <w:pPr>
                    <w:pStyle w:val="3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highlight w:val="none"/>
                      <w:lang w:val="en-US" w:eastAsia="zh-CN"/>
                    </w:rPr>
                  </w:pPr>
                  <w:r>
                    <w:rPr>
                      <w:rFonts w:hint="eastAsia"/>
                      <w:color w:val="auto"/>
                      <w:sz w:val="21"/>
                      <w:szCs w:val="21"/>
                      <w:highlight w:val="no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20" w:hRule="atLeast"/>
                <w:jc w:val="center"/>
              </w:trPr>
              <w:tc>
                <w:tcPr>
                  <w:tcW w:w="4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lang w:val="en-US" w:eastAsia="zh-CN"/>
                    </w:rPr>
                  </w:pPr>
                </w:p>
              </w:tc>
              <w:tc>
                <w:tcPr>
                  <w:tcW w:w="47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固废</w:t>
                  </w:r>
                </w:p>
              </w:tc>
              <w:tc>
                <w:tcPr>
                  <w:tcW w:w="2137" w:type="dxa"/>
                  <w:vAlign w:val="center"/>
                </w:tcPr>
                <w:p>
                  <w:pPr>
                    <w:bidi w:val="0"/>
                    <w:rPr>
                      <w:rFonts w:hint="eastAsia"/>
                      <w:color w:val="auto"/>
                      <w:sz w:val="21"/>
                      <w:szCs w:val="21"/>
                      <w:highlight w:val="none"/>
                      <w:lang w:val="en-US" w:eastAsia="zh-CN"/>
                    </w:rPr>
                  </w:pPr>
                  <w:r>
                    <w:rPr>
                      <w:rFonts w:hint="eastAsia"/>
                      <w:color w:val="auto"/>
                      <w:sz w:val="21"/>
                      <w:szCs w:val="21"/>
                      <w:highlight w:val="none"/>
                      <w:lang w:val="en-US" w:eastAsia="zh-CN"/>
                    </w:rPr>
                    <w:t>项目产生的固废主要为生活垃圾、炉渣、除尘灰、脱硫渣和废饱和树脂。</w:t>
                  </w:r>
                </w:p>
                <w:p>
                  <w:pPr>
                    <w:bidi w:val="0"/>
                    <w:rPr>
                      <w:rFonts w:hint="default"/>
                      <w:color w:val="auto"/>
                      <w:sz w:val="21"/>
                      <w:szCs w:val="21"/>
                      <w:highlight w:val="none"/>
                      <w:lang w:val="en-US" w:eastAsia="zh-CN"/>
                    </w:rPr>
                  </w:pPr>
                  <w:r>
                    <w:rPr>
                      <w:rFonts w:hint="eastAsia"/>
                      <w:color w:val="auto"/>
                      <w:sz w:val="21"/>
                      <w:szCs w:val="21"/>
                      <w:highlight w:val="none"/>
                      <w:lang w:val="en-US" w:eastAsia="zh-CN"/>
                    </w:rPr>
                    <w:t>炉渣和除尘灰用于厂区铺路，不外排；脱硫渣外售建材公司；废饱和树脂由厂家回收利用；生活垃圾委托环卫部门清运。</w:t>
                  </w:r>
                </w:p>
              </w:tc>
              <w:tc>
                <w:tcPr>
                  <w:tcW w:w="2125" w:type="dxa"/>
                  <w:vAlign w:val="center"/>
                </w:tcPr>
                <w:p>
                  <w:pPr>
                    <w:bidi w:val="0"/>
                    <w:rPr>
                      <w:rFonts w:hint="eastAsia"/>
                      <w:color w:val="auto"/>
                      <w:sz w:val="21"/>
                      <w:szCs w:val="21"/>
                      <w:highlight w:val="none"/>
                      <w:lang w:val="en-US" w:eastAsia="zh-CN"/>
                    </w:rPr>
                  </w:pPr>
                  <w:r>
                    <w:rPr>
                      <w:rFonts w:hint="eastAsia"/>
                      <w:color w:val="auto"/>
                      <w:sz w:val="21"/>
                      <w:szCs w:val="21"/>
                      <w:highlight w:val="none"/>
                      <w:lang w:val="en-US" w:eastAsia="zh-CN"/>
                    </w:rPr>
                    <w:t>改建项目产生的固废主要为炉渣、除尘灰、脱硫渣和废饱和树脂。</w:t>
                  </w:r>
                </w:p>
                <w:p>
                  <w:pPr>
                    <w:bidi w:val="0"/>
                    <w:rPr>
                      <w:rFonts w:hint="eastAsia"/>
                      <w:color w:val="auto"/>
                      <w:sz w:val="21"/>
                      <w:szCs w:val="21"/>
                      <w:highlight w:val="none"/>
                      <w:lang w:eastAsia="zh-CN"/>
                    </w:rPr>
                  </w:pPr>
                  <w:r>
                    <w:rPr>
                      <w:rFonts w:hint="eastAsia"/>
                      <w:color w:val="auto"/>
                      <w:sz w:val="21"/>
                      <w:szCs w:val="21"/>
                      <w:highlight w:val="none"/>
                      <w:lang w:val="en-US" w:eastAsia="zh-CN"/>
                    </w:rPr>
                    <w:t>炉渣和除尘灰可作为肥料出售；脱硫渣外售建材公司；废饱和树脂由厂家回收利用。</w:t>
                  </w:r>
                </w:p>
              </w:tc>
              <w:tc>
                <w:tcPr>
                  <w:tcW w:w="1812" w:type="dxa"/>
                  <w:vAlign w:val="center"/>
                </w:tcPr>
                <w:p>
                  <w:pPr>
                    <w:bidi w:val="0"/>
                    <w:rPr>
                      <w:rFonts w:hint="eastAsia"/>
                      <w:color w:val="auto"/>
                      <w:sz w:val="21"/>
                      <w:szCs w:val="21"/>
                      <w:highlight w:val="none"/>
                      <w:lang w:val="en-US" w:eastAsia="zh-CN"/>
                    </w:rPr>
                  </w:pPr>
                  <w:r>
                    <w:rPr>
                      <w:rFonts w:hint="eastAsia"/>
                      <w:color w:val="auto"/>
                      <w:sz w:val="21"/>
                      <w:szCs w:val="21"/>
                      <w:highlight w:val="none"/>
                      <w:lang w:val="en-US" w:eastAsia="zh-CN"/>
                    </w:rPr>
                    <w:t>项目产生的固废主要为炉渣、除尘灰、脱硫渣和废饱和树脂以及生活垃圾。</w:t>
                  </w:r>
                </w:p>
                <w:p>
                  <w:pPr>
                    <w:bidi w:val="0"/>
                    <w:rPr>
                      <w:rFonts w:hint="eastAsia"/>
                      <w:color w:val="auto"/>
                      <w:sz w:val="21"/>
                      <w:szCs w:val="21"/>
                      <w:highlight w:val="none"/>
                      <w:lang w:val="en-US" w:eastAsia="zh-CN"/>
                    </w:rPr>
                  </w:pPr>
                  <w:r>
                    <w:rPr>
                      <w:rFonts w:hint="eastAsia"/>
                      <w:color w:val="auto"/>
                      <w:sz w:val="21"/>
                      <w:szCs w:val="21"/>
                      <w:highlight w:val="none"/>
                      <w:lang w:val="en-US" w:eastAsia="zh-CN"/>
                    </w:rPr>
                    <w:t>炉渣和除尘灰可作为肥料出售；脱硫渣外售建材公司；废饱和树脂由厂家回收利用；生活垃圾委托环卫部门清运。</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依托</w:t>
                  </w:r>
                </w:p>
              </w:tc>
            </w:tr>
          </w:tbl>
          <w:p>
            <w:pPr>
              <w:bidi w:val="0"/>
              <w:rPr>
                <w:rFonts w:hint="default"/>
                <w:b/>
                <w:bCs/>
                <w:color w:val="auto"/>
                <w:highlight w:val="none"/>
              </w:rPr>
            </w:pPr>
            <w:r>
              <w:rPr>
                <w:rFonts w:hint="eastAsia"/>
                <w:b/>
                <w:bCs/>
                <w:color w:val="auto"/>
                <w:highlight w:val="none"/>
                <w:lang w:val="en-US" w:eastAsia="zh-CN"/>
              </w:rPr>
              <w:t>2.2</w:t>
            </w:r>
            <w:r>
              <w:rPr>
                <w:rFonts w:hint="default"/>
                <w:b/>
                <w:bCs/>
                <w:color w:val="auto"/>
                <w:highlight w:val="none"/>
                <w:lang w:val="en-US" w:eastAsia="zh-CN"/>
              </w:rPr>
              <w:t xml:space="preserve"> </w:t>
            </w:r>
            <w:r>
              <w:rPr>
                <w:rFonts w:hint="default"/>
                <w:b/>
                <w:bCs/>
                <w:color w:val="auto"/>
                <w:highlight w:val="none"/>
              </w:rPr>
              <w:t>主要设备及参数</w:t>
            </w:r>
          </w:p>
          <w:p>
            <w:pPr>
              <w:ind w:firstLine="480"/>
              <w:rPr>
                <w:rFonts w:hint="default" w:ascii="Times New Roman" w:hAnsi="Times New Roman" w:eastAsia="宋体" w:cs="Times New Roman"/>
                <w:color w:val="auto"/>
                <w:highlight w:val="none"/>
              </w:rPr>
            </w:pPr>
            <w:r>
              <w:rPr>
                <w:rFonts w:hint="eastAsia"/>
                <w:color w:val="auto"/>
                <w:highlight w:val="none"/>
                <w:lang w:val="en-US" w:eastAsia="zh-CN"/>
              </w:rPr>
              <w:t>改建</w:t>
            </w:r>
            <w:r>
              <w:rPr>
                <w:rFonts w:hint="default" w:ascii="Times New Roman" w:hAnsi="Times New Roman" w:eastAsia="宋体" w:cs="Times New Roman"/>
                <w:color w:val="auto"/>
                <w:highlight w:val="none"/>
              </w:rPr>
              <w:t>项目生产设备见表</w:t>
            </w:r>
            <w:r>
              <w:rPr>
                <w:rFonts w:hint="eastAsia" w:cs="Times New Roman"/>
                <w:color w:val="auto"/>
                <w:highlight w:val="none"/>
                <w:lang w:val="en-US" w:eastAsia="zh-CN"/>
              </w:rPr>
              <w:t>6</w:t>
            </w:r>
            <w:r>
              <w:rPr>
                <w:rFonts w:hint="default" w:ascii="Times New Roman" w:hAnsi="Times New Roman" w:eastAsia="宋体" w:cs="Times New Roman"/>
                <w:color w:val="auto"/>
                <w:highlight w:val="none"/>
              </w:rPr>
              <w:t>。</w:t>
            </w:r>
          </w:p>
          <w:p>
            <w:pPr>
              <w:bidi w:val="0"/>
              <w:jc w:val="center"/>
              <w:rPr>
                <w:rFonts w:hint="default"/>
                <w:b/>
                <w:bCs/>
                <w:color w:val="auto"/>
                <w:highlight w:val="none"/>
              </w:rPr>
            </w:pPr>
            <w:r>
              <w:rPr>
                <w:rFonts w:hint="default"/>
                <w:b/>
                <w:bCs/>
                <w:color w:val="auto"/>
                <w:highlight w:val="none"/>
              </w:rPr>
              <w:t>表</w:t>
            </w:r>
            <w:r>
              <w:rPr>
                <w:rFonts w:hint="eastAsia"/>
                <w:b/>
                <w:bCs/>
                <w:color w:val="auto"/>
                <w:highlight w:val="none"/>
                <w:lang w:val="en-US" w:eastAsia="zh-CN"/>
              </w:rPr>
              <w:t xml:space="preserve">6  </w:t>
            </w:r>
            <w:r>
              <w:rPr>
                <w:rFonts w:hint="default"/>
                <w:b/>
                <w:bCs/>
                <w:color w:val="auto"/>
                <w:highlight w:val="none"/>
              </w:rPr>
              <w:t>主要设施一览表</w:t>
            </w:r>
          </w:p>
          <w:tbl>
            <w:tblPr>
              <w:tblStyle w:val="18"/>
              <w:tblW w:w="787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75"/>
              <w:gridCol w:w="1726"/>
              <w:gridCol w:w="3073"/>
              <w:gridCol w:w="809"/>
              <w:gridCol w:w="747"/>
              <w:gridCol w:w="74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2" w:hRule="atLeast"/>
                <w:jc w:val="center"/>
              </w:trPr>
              <w:tc>
                <w:tcPr>
                  <w:tcW w:w="775" w:type="dxa"/>
                  <w:tcBorders>
                    <w:tl2br w:val="nil"/>
                    <w:tr2bl w:val="nil"/>
                  </w:tcBorders>
                </w:tcPr>
                <w:p>
                  <w:pPr>
                    <w:ind w:left="0" w:leftChars="0" w:firstLine="0" w:firstLineChars="0"/>
                    <w:jc w:val="center"/>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序号</w:t>
                  </w:r>
                </w:p>
              </w:tc>
              <w:tc>
                <w:tcPr>
                  <w:tcW w:w="1726" w:type="dxa"/>
                  <w:tcBorders>
                    <w:tl2br w:val="nil"/>
                    <w:tr2bl w:val="nil"/>
                  </w:tcBorders>
                </w:tcPr>
                <w:p>
                  <w:pPr>
                    <w:ind w:left="0" w:leftChars="0" w:firstLine="0" w:firstLineChars="0"/>
                    <w:jc w:val="center"/>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设备名称</w:t>
                  </w:r>
                </w:p>
              </w:tc>
              <w:tc>
                <w:tcPr>
                  <w:tcW w:w="3073" w:type="dxa"/>
                  <w:tcBorders>
                    <w:tl2br w:val="nil"/>
                    <w:tr2bl w:val="nil"/>
                  </w:tcBorders>
                </w:tcPr>
                <w:p>
                  <w:pPr>
                    <w:ind w:left="0" w:leftChars="0" w:firstLine="0" w:firstLineChars="0"/>
                    <w:jc w:val="center"/>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型号</w:t>
                  </w:r>
                </w:p>
              </w:tc>
              <w:tc>
                <w:tcPr>
                  <w:tcW w:w="809" w:type="dxa"/>
                  <w:tcBorders>
                    <w:tl2br w:val="nil"/>
                    <w:tr2bl w:val="nil"/>
                  </w:tcBorders>
                </w:tcPr>
                <w:p>
                  <w:pPr>
                    <w:ind w:left="0" w:leftChars="0" w:firstLine="0" w:firstLineChars="0"/>
                    <w:jc w:val="center"/>
                    <w:rPr>
                      <w:rFonts w:hint="default" w:ascii="Times New Roman" w:hAnsi="Times New Roman" w:eastAsia="宋体" w:cs="Times New Roman"/>
                      <w:b/>
                      <w:bCs/>
                      <w:color w:val="auto"/>
                      <w:sz w:val="21"/>
                      <w:szCs w:val="21"/>
                      <w:highlight w:val="none"/>
                      <w:vertAlign w:val="baseline"/>
                      <w:lang w:eastAsia="zh-CN"/>
                    </w:rPr>
                  </w:pPr>
                  <w:r>
                    <w:rPr>
                      <w:rFonts w:hint="eastAsia" w:ascii="Times New Roman" w:hAnsi="Times New Roman" w:eastAsia="宋体" w:cs="Times New Roman"/>
                      <w:b/>
                      <w:bCs/>
                      <w:color w:val="auto"/>
                      <w:sz w:val="21"/>
                      <w:szCs w:val="21"/>
                      <w:highlight w:val="none"/>
                      <w:vertAlign w:val="baseline"/>
                      <w:lang w:eastAsia="zh-CN"/>
                    </w:rPr>
                    <w:t>单位</w:t>
                  </w:r>
                </w:p>
              </w:tc>
              <w:tc>
                <w:tcPr>
                  <w:tcW w:w="747" w:type="dxa"/>
                  <w:tcBorders>
                    <w:tl2br w:val="nil"/>
                    <w:tr2bl w:val="nil"/>
                  </w:tcBorders>
                </w:tcPr>
                <w:p>
                  <w:pPr>
                    <w:ind w:left="0" w:leftChars="0" w:firstLine="0" w:firstLineChars="0"/>
                    <w:jc w:val="center"/>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数量</w:t>
                  </w:r>
                </w:p>
              </w:tc>
              <w:tc>
                <w:tcPr>
                  <w:tcW w:w="747" w:type="dxa"/>
                  <w:tcBorders>
                    <w:tl2br w:val="nil"/>
                    <w:tr2bl w:val="nil"/>
                  </w:tcBorders>
                </w:tcPr>
                <w:p>
                  <w:pPr>
                    <w:ind w:left="0" w:leftChars="0" w:firstLine="0" w:firstLineChars="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jc w:val="center"/>
              </w:trPr>
              <w:tc>
                <w:tcPr>
                  <w:tcW w:w="775" w:type="dxa"/>
                  <w:tcBorders>
                    <w:tl2br w:val="nil"/>
                    <w:tr2bl w:val="nil"/>
                  </w:tcBorders>
                </w:tcPr>
                <w:p>
                  <w:pPr>
                    <w:ind w:left="0" w:lef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w:t>
                  </w:r>
                </w:p>
              </w:tc>
              <w:tc>
                <w:tcPr>
                  <w:tcW w:w="1726"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生物质锅炉</w:t>
                  </w:r>
                </w:p>
              </w:tc>
              <w:tc>
                <w:tcPr>
                  <w:tcW w:w="3073"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SZL5.6-1.25/115/70-SCⅡ</w:t>
                  </w:r>
                </w:p>
              </w:tc>
              <w:tc>
                <w:tcPr>
                  <w:tcW w:w="809"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eastAsia="zh-CN"/>
                    </w:rPr>
                    <w:t>台</w:t>
                  </w:r>
                </w:p>
              </w:tc>
              <w:tc>
                <w:tcPr>
                  <w:tcW w:w="747"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w:t>
                  </w:r>
                </w:p>
              </w:tc>
              <w:tc>
                <w:tcPr>
                  <w:tcW w:w="747" w:type="dxa"/>
                  <w:tcBorders>
                    <w:tl2br w:val="nil"/>
                    <w:tr2bl w:val="nil"/>
                  </w:tcBorders>
                  <w:vAlign w:val="center"/>
                </w:tcPr>
                <w:p>
                  <w:pPr>
                    <w:ind w:left="0" w:leftChars="0" w:firstLine="0" w:firstLineChars="0"/>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jc w:val="center"/>
              </w:trPr>
              <w:tc>
                <w:tcPr>
                  <w:tcW w:w="775" w:type="dxa"/>
                  <w:tcBorders>
                    <w:tl2br w:val="nil"/>
                    <w:tr2bl w:val="nil"/>
                  </w:tcBorders>
                </w:tcPr>
                <w:p>
                  <w:pPr>
                    <w:ind w:left="0" w:leftChars="0" w:firstLine="0" w:firstLineChars="0"/>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w:t>
                  </w:r>
                </w:p>
              </w:tc>
              <w:tc>
                <w:tcPr>
                  <w:tcW w:w="1726" w:type="dxa"/>
                  <w:tcBorders>
                    <w:tl2br w:val="nil"/>
                    <w:tr2bl w:val="nil"/>
                  </w:tcBorders>
                  <w:vAlign w:val="center"/>
                </w:tcPr>
                <w:p>
                  <w:pPr>
                    <w:ind w:left="0" w:leftChars="0" w:firstLine="0" w:firstLineChars="0"/>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炉排减速机</w:t>
                  </w:r>
                </w:p>
              </w:tc>
              <w:tc>
                <w:tcPr>
                  <w:tcW w:w="3073" w:type="dxa"/>
                  <w:tcBorders>
                    <w:tl2br w:val="nil"/>
                    <w:tr2bl w:val="nil"/>
                  </w:tcBorders>
                  <w:vAlign w:val="center"/>
                </w:tcPr>
                <w:p>
                  <w:pPr>
                    <w:ind w:left="0" w:leftChars="0" w:firstLine="0" w:firstLineChars="0"/>
                    <w:jc w:val="center"/>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锅炉配套</w:t>
                  </w:r>
                </w:p>
              </w:tc>
              <w:tc>
                <w:tcPr>
                  <w:tcW w:w="809"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eastAsia="zh-CN"/>
                    </w:rPr>
                    <w:t>台</w:t>
                  </w:r>
                </w:p>
              </w:tc>
              <w:tc>
                <w:tcPr>
                  <w:tcW w:w="747" w:type="dxa"/>
                  <w:tcBorders>
                    <w:tl2br w:val="nil"/>
                    <w:tr2bl w:val="nil"/>
                  </w:tcBorders>
                  <w:vAlign w:val="center"/>
                </w:tcPr>
                <w:p>
                  <w:pPr>
                    <w:ind w:left="0" w:leftChars="0" w:firstLine="0" w:firstLineChars="0"/>
                    <w:jc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w:t>
                  </w:r>
                </w:p>
              </w:tc>
              <w:tc>
                <w:tcPr>
                  <w:tcW w:w="747" w:type="dxa"/>
                  <w:tcBorders>
                    <w:tl2br w:val="nil"/>
                    <w:tr2bl w:val="nil"/>
                  </w:tcBorders>
                  <w:vAlign w:val="center"/>
                </w:tcPr>
                <w:p>
                  <w:pPr>
                    <w:ind w:left="0" w:leftChars="0" w:firstLine="0" w:firstLineChars="0"/>
                    <w:jc w:val="center"/>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jc w:val="center"/>
              </w:trPr>
              <w:tc>
                <w:tcPr>
                  <w:tcW w:w="775" w:type="dxa"/>
                  <w:tcBorders>
                    <w:tl2br w:val="nil"/>
                    <w:tr2bl w:val="nil"/>
                  </w:tcBorders>
                </w:tcPr>
                <w:p>
                  <w:pPr>
                    <w:ind w:left="0" w:leftChars="0" w:firstLine="0" w:firstLineChars="0"/>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w:t>
                  </w:r>
                </w:p>
              </w:tc>
              <w:tc>
                <w:tcPr>
                  <w:tcW w:w="1726" w:type="dxa"/>
                  <w:tcBorders>
                    <w:tl2br w:val="nil"/>
                    <w:tr2bl w:val="nil"/>
                  </w:tcBorders>
                  <w:vAlign w:val="center"/>
                </w:tcPr>
                <w:p>
                  <w:pPr>
                    <w:ind w:left="0" w:leftChars="0" w:firstLine="0" w:firstLineChars="0"/>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上料机</w:t>
                  </w:r>
                </w:p>
              </w:tc>
              <w:tc>
                <w:tcPr>
                  <w:tcW w:w="3073" w:type="dxa"/>
                  <w:tcBorders>
                    <w:tl2br w:val="nil"/>
                    <w:tr2bl w:val="nil"/>
                  </w:tcBorders>
                  <w:vAlign w:val="center"/>
                </w:tcPr>
                <w:p>
                  <w:pPr>
                    <w:ind w:left="0" w:leftChars="0" w:firstLine="0" w:firstLineChars="0"/>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锅炉配套</w:t>
                  </w:r>
                </w:p>
              </w:tc>
              <w:tc>
                <w:tcPr>
                  <w:tcW w:w="809"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vertAlign w:val="baseline"/>
                      <w:lang w:eastAsia="zh-CN"/>
                    </w:rPr>
                    <w:t>台</w:t>
                  </w:r>
                </w:p>
              </w:tc>
              <w:tc>
                <w:tcPr>
                  <w:tcW w:w="747" w:type="dxa"/>
                  <w:tcBorders>
                    <w:tl2br w:val="nil"/>
                    <w:tr2bl w:val="nil"/>
                  </w:tcBorders>
                  <w:vAlign w:val="center"/>
                </w:tcPr>
                <w:p>
                  <w:pPr>
                    <w:ind w:left="0" w:leftChars="0" w:firstLine="0" w:firstLineChars="0"/>
                    <w:jc w:val="center"/>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w:t>
                  </w:r>
                </w:p>
              </w:tc>
              <w:tc>
                <w:tcPr>
                  <w:tcW w:w="747" w:type="dxa"/>
                  <w:tcBorders>
                    <w:tl2br w:val="nil"/>
                    <w:tr2bl w:val="nil"/>
                  </w:tcBorders>
                  <w:vAlign w:val="center"/>
                </w:tcPr>
                <w:p>
                  <w:pPr>
                    <w:ind w:left="0" w:leftChars="0" w:firstLine="0" w:firstLineChars="0"/>
                    <w:jc w:val="center"/>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jc w:val="center"/>
              </w:trPr>
              <w:tc>
                <w:tcPr>
                  <w:tcW w:w="775" w:type="dxa"/>
                  <w:tcBorders>
                    <w:tl2br w:val="nil"/>
                    <w:tr2bl w:val="nil"/>
                  </w:tcBorders>
                </w:tcPr>
                <w:p>
                  <w:pPr>
                    <w:ind w:left="0" w:leftChars="0" w:firstLine="0" w:firstLineChars="0"/>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w:t>
                  </w:r>
                </w:p>
              </w:tc>
              <w:tc>
                <w:tcPr>
                  <w:tcW w:w="1726" w:type="dxa"/>
                  <w:tcBorders>
                    <w:tl2br w:val="nil"/>
                    <w:tr2bl w:val="nil"/>
                  </w:tcBorders>
                  <w:vAlign w:val="center"/>
                </w:tcPr>
                <w:p>
                  <w:pPr>
                    <w:ind w:left="0" w:leftChars="0" w:firstLine="0" w:firstLineChars="0"/>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出渣机</w:t>
                  </w:r>
                </w:p>
              </w:tc>
              <w:tc>
                <w:tcPr>
                  <w:tcW w:w="3073" w:type="dxa"/>
                  <w:tcBorders>
                    <w:tl2br w:val="nil"/>
                    <w:tr2bl w:val="nil"/>
                  </w:tcBorders>
                  <w:vAlign w:val="center"/>
                </w:tcPr>
                <w:p>
                  <w:pPr>
                    <w:ind w:left="0" w:leftChars="0" w:firstLine="0" w:firstLineChars="0"/>
                    <w:jc w:val="center"/>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锅炉配套</w:t>
                  </w:r>
                </w:p>
              </w:tc>
              <w:tc>
                <w:tcPr>
                  <w:tcW w:w="809"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vertAlign w:val="baseline"/>
                      <w:lang w:eastAsia="zh-CN"/>
                    </w:rPr>
                    <w:t>台</w:t>
                  </w:r>
                </w:p>
              </w:tc>
              <w:tc>
                <w:tcPr>
                  <w:tcW w:w="747" w:type="dxa"/>
                  <w:tcBorders>
                    <w:tl2br w:val="nil"/>
                    <w:tr2bl w:val="nil"/>
                  </w:tcBorders>
                  <w:vAlign w:val="center"/>
                </w:tcPr>
                <w:p>
                  <w:pPr>
                    <w:ind w:left="0" w:leftChars="0" w:firstLine="0" w:firstLineChars="0"/>
                    <w:jc w:val="center"/>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w:t>
                  </w:r>
                </w:p>
              </w:tc>
              <w:tc>
                <w:tcPr>
                  <w:tcW w:w="747" w:type="dxa"/>
                  <w:tcBorders>
                    <w:tl2br w:val="nil"/>
                    <w:tr2bl w:val="nil"/>
                  </w:tcBorders>
                  <w:vAlign w:val="center"/>
                </w:tcPr>
                <w:p>
                  <w:pPr>
                    <w:ind w:left="0" w:leftChars="0" w:firstLine="0" w:firstLineChars="0"/>
                    <w:jc w:val="center"/>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30" w:hRule="atLeast"/>
                <w:jc w:val="center"/>
              </w:trPr>
              <w:tc>
                <w:tcPr>
                  <w:tcW w:w="775" w:type="dxa"/>
                  <w:tcBorders>
                    <w:tl2br w:val="nil"/>
                    <w:tr2bl w:val="nil"/>
                  </w:tcBorders>
                  <w:vAlign w:val="center"/>
                </w:tcPr>
                <w:p>
                  <w:pPr>
                    <w:ind w:left="0" w:leftChars="0" w:firstLine="0" w:firstLineChars="0"/>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5</w:t>
                  </w:r>
                </w:p>
              </w:tc>
              <w:tc>
                <w:tcPr>
                  <w:tcW w:w="17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color w:val="auto"/>
                      <w:sz w:val="21"/>
                      <w:szCs w:val="21"/>
                      <w:highlight w:val="none"/>
                      <w:vertAlign w:val="baseline"/>
                      <w:lang w:val="en-US" w:eastAsia="zh-CN"/>
                    </w:rPr>
                  </w:pPr>
                  <w:r>
                    <w:rPr>
                      <w:rFonts w:hint="eastAsia"/>
                      <w:color w:val="auto"/>
                      <w:sz w:val="21"/>
                      <w:szCs w:val="21"/>
                      <w:highlight w:val="none"/>
                    </w:rPr>
                    <w:t>热网循环水泵</w:t>
                  </w:r>
                </w:p>
              </w:tc>
              <w:tc>
                <w:tcPr>
                  <w:tcW w:w="30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color w:val="auto"/>
                      <w:sz w:val="21"/>
                      <w:szCs w:val="21"/>
                      <w:highlight w:val="none"/>
                    </w:rPr>
                    <w:t>Q=280m</w:t>
                  </w:r>
                  <w:r>
                    <w:rPr>
                      <w:rFonts w:hint="eastAsia"/>
                      <w:color w:val="auto"/>
                      <w:sz w:val="21"/>
                      <w:szCs w:val="21"/>
                      <w:highlight w:val="none"/>
                      <w:vertAlign w:val="superscript"/>
                    </w:rPr>
                    <w:t>3</w:t>
                  </w:r>
                  <w:r>
                    <w:rPr>
                      <w:rFonts w:hint="eastAsia"/>
                      <w:color w:val="auto"/>
                      <w:sz w:val="21"/>
                      <w:szCs w:val="21"/>
                      <w:highlight w:val="none"/>
                    </w:rPr>
                    <w:t>/h，H=0.54MPa，N=160kw</w:t>
                  </w:r>
                </w:p>
              </w:tc>
              <w:tc>
                <w:tcPr>
                  <w:tcW w:w="809"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台</w:t>
                  </w:r>
                </w:p>
              </w:tc>
              <w:tc>
                <w:tcPr>
                  <w:tcW w:w="747" w:type="dxa"/>
                  <w:tcBorders>
                    <w:tl2br w:val="nil"/>
                    <w:tr2bl w:val="nil"/>
                  </w:tcBorders>
                  <w:vAlign w:val="center"/>
                </w:tcPr>
                <w:p>
                  <w:pPr>
                    <w:ind w:left="0" w:leftChars="0" w:firstLine="0" w:firstLineChars="0"/>
                    <w:jc w:val="center"/>
                    <w:rPr>
                      <w:rFonts w:hint="eastAsia"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w:t>
                  </w:r>
                </w:p>
              </w:tc>
              <w:tc>
                <w:tcPr>
                  <w:tcW w:w="747" w:type="dxa"/>
                  <w:tcBorders>
                    <w:tl2br w:val="nil"/>
                    <w:tr2bl w:val="nil"/>
                  </w:tcBorders>
                  <w:vAlign w:val="center"/>
                </w:tcPr>
                <w:p>
                  <w:pPr>
                    <w:ind w:left="0" w:leftChars="0" w:firstLine="0" w:firstLineChars="0"/>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jc w:val="center"/>
              </w:trPr>
              <w:tc>
                <w:tcPr>
                  <w:tcW w:w="775" w:type="dxa"/>
                  <w:tcBorders>
                    <w:tl2br w:val="nil"/>
                    <w:tr2bl w:val="nil"/>
                  </w:tcBorders>
                </w:tcPr>
                <w:p>
                  <w:pPr>
                    <w:ind w:left="0" w:leftChars="0" w:firstLine="0" w:firstLineChars="0"/>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6</w:t>
                  </w:r>
                </w:p>
              </w:tc>
              <w:tc>
                <w:tcPr>
                  <w:tcW w:w="1726" w:type="dxa"/>
                  <w:tcBorders>
                    <w:tl2br w:val="nil"/>
                    <w:tr2bl w:val="nil"/>
                  </w:tcBorders>
                  <w:vAlign w:val="center"/>
                </w:tcPr>
                <w:p>
                  <w:pPr>
                    <w:ind w:left="0" w:leftChars="0" w:firstLine="0" w:firstLineChars="0"/>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布袋除尘器</w:t>
                  </w:r>
                </w:p>
              </w:tc>
              <w:tc>
                <w:tcPr>
                  <w:tcW w:w="30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olor w:val="auto"/>
                      <w:sz w:val="21"/>
                      <w:szCs w:val="21"/>
                      <w:highlight w:val="none"/>
                      <w:lang w:val="en-US" w:eastAsia="zh-CN"/>
                    </w:rPr>
                    <w:t>CMD480</w:t>
                  </w:r>
                </w:p>
              </w:tc>
              <w:tc>
                <w:tcPr>
                  <w:tcW w:w="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台</w:t>
                  </w:r>
                </w:p>
              </w:tc>
              <w:tc>
                <w:tcPr>
                  <w:tcW w:w="7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w:t>
                  </w:r>
                </w:p>
              </w:tc>
              <w:tc>
                <w:tcPr>
                  <w:tcW w:w="747" w:type="dxa"/>
                  <w:tcBorders>
                    <w:tl2br w:val="nil"/>
                    <w:tr2bl w:val="nil"/>
                  </w:tcBorders>
                  <w:vAlign w:val="center"/>
                </w:tcPr>
                <w:p>
                  <w:pPr>
                    <w:ind w:left="0" w:leftChars="0" w:firstLine="0" w:firstLineChars="0"/>
                    <w:jc w:val="center"/>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7" w:hRule="atLeast"/>
                <w:jc w:val="center"/>
              </w:trPr>
              <w:tc>
                <w:tcPr>
                  <w:tcW w:w="775" w:type="dxa"/>
                  <w:tcBorders>
                    <w:tl2br w:val="nil"/>
                    <w:tr2bl w:val="nil"/>
                  </w:tcBorders>
                </w:tcPr>
                <w:p>
                  <w:pPr>
                    <w:ind w:left="0" w:leftChars="0" w:firstLine="0" w:firstLineChars="0"/>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7</w:t>
                  </w:r>
                </w:p>
              </w:tc>
              <w:tc>
                <w:tcPr>
                  <w:tcW w:w="1726" w:type="dxa"/>
                  <w:tcBorders>
                    <w:tl2br w:val="nil"/>
                    <w:tr2bl w:val="nil"/>
                  </w:tcBorders>
                  <w:vAlign w:val="center"/>
                </w:tcPr>
                <w:p>
                  <w:pPr>
                    <w:ind w:left="0" w:leftChars="0" w:firstLine="0" w:firstLineChars="0"/>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排气筒</w:t>
                  </w:r>
                </w:p>
              </w:tc>
              <w:tc>
                <w:tcPr>
                  <w:tcW w:w="30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4</w:t>
                  </w:r>
                  <w:r>
                    <w:rPr>
                      <w:rFonts w:hint="eastAsia" w:cs="Times New Roman"/>
                      <w:bCs/>
                      <w:color w:val="auto"/>
                      <w:kern w:val="2"/>
                      <w:sz w:val="21"/>
                      <w:szCs w:val="21"/>
                      <w:highlight w:val="none"/>
                      <w:lang w:val="en-US" w:eastAsia="zh-CN" w:bidi="ar-SA"/>
                    </w:rPr>
                    <w:t>0</w:t>
                  </w:r>
                  <w:r>
                    <w:rPr>
                      <w:rFonts w:hint="eastAsia" w:ascii="Times New Roman" w:hAnsi="Times New Roman" w:eastAsia="宋体" w:cs="Times New Roman"/>
                      <w:bCs/>
                      <w:color w:val="auto"/>
                      <w:kern w:val="2"/>
                      <w:sz w:val="21"/>
                      <w:szCs w:val="21"/>
                      <w:highlight w:val="none"/>
                      <w:lang w:val="en-US" w:eastAsia="zh-CN" w:bidi="ar-SA"/>
                    </w:rPr>
                    <w:t>m</w:t>
                  </w:r>
                </w:p>
              </w:tc>
              <w:tc>
                <w:tcPr>
                  <w:tcW w:w="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台</w:t>
                  </w:r>
                </w:p>
              </w:tc>
              <w:tc>
                <w:tcPr>
                  <w:tcW w:w="7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w:t>
                  </w:r>
                </w:p>
              </w:tc>
              <w:tc>
                <w:tcPr>
                  <w:tcW w:w="747" w:type="dxa"/>
                  <w:tcBorders>
                    <w:tl2br w:val="nil"/>
                    <w:tr2bl w:val="nil"/>
                  </w:tcBorders>
                  <w:vAlign w:val="center"/>
                </w:tcPr>
                <w:p>
                  <w:pPr>
                    <w:ind w:left="0" w:leftChars="0" w:firstLine="0" w:firstLineChars="0"/>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新建</w:t>
                  </w:r>
                </w:p>
              </w:tc>
            </w:tr>
          </w:tbl>
          <w:p>
            <w:pPr>
              <w:bidi w:val="0"/>
              <w:rPr>
                <w:rFonts w:hint="eastAsia" w:eastAsia="宋体"/>
                <w:b/>
                <w:bCs/>
                <w:color w:val="auto"/>
                <w:highlight w:val="none"/>
                <w:lang w:eastAsia="zh-CN"/>
              </w:rPr>
            </w:pPr>
            <w:r>
              <w:rPr>
                <w:rFonts w:hint="eastAsia"/>
                <w:b/>
                <w:bCs/>
                <w:color w:val="auto"/>
                <w:highlight w:val="none"/>
                <w:lang w:val="en-US" w:eastAsia="zh-CN"/>
              </w:rPr>
              <w:t xml:space="preserve">2.3 </w:t>
            </w:r>
            <w:r>
              <w:rPr>
                <w:rFonts w:hint="eastAsia"/>
                <w:b/>
                <w:bCs/>
                <w:color w:val="auto"/>
                <w:highlight w:val="none"/>
                <w:lang w:eastAsia="zh-CN"/>
              </w:rPr>
              <w:t>主要原辅材料及</w:t>
            </w:r>
            <w:r>
              <w:rPr>
                <w:rFonts w:hint="eastAsia"/>
                <w:b/>
                <w:bCs/>
                <w:color w:val="auto"/>
                <w:highlight w:val="none"/>
                <w:lang w:val="en-US" w:eastAsia="zh-CN"/>
              </w:rPr>
              <w:t>能源消耗情况、</w:t>
            </w:r>
            <w:r>
              <w:rPr>
                <w:rFonts w:hint="eastAsia"/>
                <w:b/>
                <w:bCs/>
                <w:color w:val="auto"/>
                <w:highlight w:val="none"/>
                <w:lang w:eastAsia="zh-CN"/>
              </w:rPr>
              <w:t>物料平衡</w:t>
            </w:r>
          </w:p>
          <w:p>
            <w:pPr>
              <w:bidi w:val="0"/>
              <w:rPr>
                <w:rFonts w:hint="default"/>
                <w:color w:val="auto"/>
                <w:highlight w:val="none"/>
                <w:lang w:val="en-US" w:eastAsia="zh-CN"/>
              </w:rPr>
            </w:pPr>
            <w:r>
              <w:rPr>
                <w:rFonts w:hint="eastAsia"/>
                <w:color w:val="auto"/>
                <w:highlight w:val="none"/>
                <w:lang w:val="en-US" w:eastAsia="zh-CN"/>
              </w:rPr>
              <w:t>改建项目原辅材料及能源消耗情况见下表7。</w:t>
            </w:r>
          </w:p>
          <w:p>
            <w:pPr>
              <w:bidi w:val="0"/>
              <w:jc w:val="center"/>
              <w:rPr>
                <w:rFonts w:hint="default"/>
                <w:b/>
                <w:bCs/>
                <w:color w:val="auto"/>
                <w:highlight w:val="none"/>
                <w:lang w:val="en-US" w:eastAsia="zh-CN"/>
              </w:rPr>
            </w:pPr>
            <w:r>
              <w:rPr>
                <w:rFonts w:hint="eastAsia"/>
                <w:b/>
                <w:bCs/>
                <w:color w:val="auto"/>
                <w:highlight w:val="none"/>
                <w:lang w:val="en-US" w:eastAsia="zh-CN"/>
              </w:rPr>
              <w:t>表7   原辅材料及能源消耗情况</w:t>
            </w:r>
          </w:p>
          <w:tbl>
            <w:tblPr>
              <w:tblStyle w:val="18"/>
              <w:tblW w:w="7961"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83"/>
              <w:gridCol w:w="1343"/>
              <w:gridCol w:w="1752"/>
              <w:gridCol w:w="1464"/>
              <w:gridCol w:w="261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序号</w:t>
                  </w:r>
                </w:p>
              </w:tc>
              <w:tc>
                <w:tcPr>
                  <w:tcW w:w="13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名称</w:t>
                  </w:r>
                </w:p>
              </w:tc>
              <w:tc>
                <w:tcPr>
                  <w:tcW w:w="17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消耗量</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最大储存量</w:t>
                  </w:r>
                </w:p>
              </w:tc>
              <w:tc>
                <w:tcPr>
                  <w:tcW w:w="2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储存方式/来源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13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生物质燃料</w:t>
                  </w:r>
                </w:p>
              </w:tc>
              <w:tc>
                <w:tcPr>
                  <w:tcW w:w="17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2574t/a</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1000t/a</w:t>
                  </w:r>
                </w:p>
              </w:tc>
              <w:tc>
                <w:tcPr>
                  <w:tcW w:w="2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存放于全封闭储料间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13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水</w:t>
                  </w:r>
                </w:p>
              </w:tc>
              <w:tc>
                <w:tcPr>
                  <w:tcW w:w="17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3420m</w:t>
                  </w:r>
                  <w:r>
                    <w:rPr>
                      <w:rFonts w:hint="eastAsia"/>
                      <w:color w:val="auto"/>
                      <w:sz w:val="21"/>
                      <w:szCs w:val="21"/>
                      <w:highlight w:val="none"/>
                      <w:vertAlign w:val="superscript"/>
                      <w:lang w:val="en-US" w:eastAsia="zh-CN"/>
                    </w:rPr>
                    <w:t>3</w:t>
                  </w:r>
                  <w:r>
                    <w:rPr>
                      <w:rFonts w:hint="eastAsia"/>
                      <w:color w:val="auto"/>
                      <w:sz w:val="21"/>
                      <w:szCs w:val="21"/>
                      <w:highlight w:val="none"/>
                      <w:vertAlign w:val="baseline"/>
                      <w:lang w:val="en-US" w:eastAsia="zh-CN"/>
                    </w:rPr>
                    <w:t>/a</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w:t>
                  </w:r>
                </w:p>
              </w:tc>
              <w:tc>
                <w:tcPr>
                  <w:tcW w:w="2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依托现有工程供水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13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电</w:t>
                  </w:r>
                </w:p>
              </w:tc>
              <w:tc>
                <w:tcPr>
                  <w:tcW w:w="17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360kWh/a</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w:t>
                  </w:r>
                </w:p>
              </w:tc>
              <w:tc>
                <w:tcPr>
                  <w:tcW w:w="2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依托现有工程供电</w:t>
                  </w:r>
                </w:p>
              </w:tc>
            </w:tr>
          </w:tbl>
          <w:p>
            <w:pPr>
              <w:bidi w:val="0"/>
              <w:rPr>
                <w:rFonts w:hint="default"/>
                <w:color w:val="auto"/>
                <w:highlight w:val="none"/>
                <w:lang w:val="en-US" w:eastAsia="zh-CN"/>
              </w:rPr>
            </w:pPr>
            <w:r>
              <w:rPr>
                <w:rFonts w:hint="eastAsia"/>
                <w:color w:val="auto"/>
                <w:highlight w:val="none"/>
                <w:lang w:val="en-US" w:eastAsia="zh-CN"/>
              </w:rPr>
              <w:t>生物质压块燃料热值分析情况见下表8。</w:t>
            </w:r>
          </w:p>
          <w:p>
            <w:pPr>
              <w:bidi w:val="0"/>
              <w:jc w:val="center"/>
              <w:rPr>
                <w:rFonts w:hint="default"/>
                <w:b/>
                <w:bCs/>
                <w:color w:val="auto"/>
                <w:highlight w:val="none"/>
                <w:lang w:val="en-US" w:eastAsia="zh-CN"/>
              </w:rPr>
            </w:pPr>
            <w:r>
              <w:rPr>
                <w:rFonts w:hint="eastAsia"/>
                <w:b/>
                <w:bCs/>
                <w:color w:val="auto"/>
                <w:highlight w:val="none"/>
                <w:lang w:val="en-US" w:eastAsia="zh-CN"/>
              </w:rPr>
              <w:t>表8   生物质压块燃料热值分析表</w:t>
            </w:r>
          </w:p>
          <w:tbl>
            <w:tblPr>
              <w:tblStyle w:val="18"/>
              <w:tblW w:w="7961"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63"/>
              <w:gridCol w:w="713"/>
              <w:gridCol w:w="600"/>
              <w:gridCol w:w="773"/>
              <w:gridCol w:w="760"/>
              <w:gridCol w:w="627"/>
              <w:gridCol w:w="573"/>
              <w:gridCol w:w="627"/>
              <w:gridCol w:w="600"/>
              <w:gridCol w:w="626"/>
              <w:gridCol w:w="560"/>
              <w:gridCol w:w="83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6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18"/>
                      <w:szCs w:val="18"/>
                      <w:highlight w:val="none"/>
                      <w:vertAlign w:val="baseline"/>
                      <w:lang w:val="en-US" w:eastAsia="zh-CN"/>
                    </w:rPr>
                  </w:pPr>
                  <w:r>
                    <w:rPr>
                      <w:rFonts w:hint="eastAsia" w:ascii="Times New Roman" w:hAnsi="Times New Roman" w:cs="Times New Roman"/>
                      <w:b/>
                      <w:bCs/>
                      <w:color w:val="auto"/>
                      <w:sz w:val="18"/>
                      <w:szCs w:val="18"/>
                      <w:highlight w:val="none"/>
                      <w:vertAlign w:val="baseline"/>
                      <w:lang w:val="en-US" w:eastAsia="zh-CN"/>
                    </w:rPr>
                    <w:t>种类</w:t>
                  </w:r>
                </w:p>
              </w:tc>
              <w:tc>
                <w:tcPr>
                  <w:tcW w:w="2086"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18"/>
                      <w:szCs w:val="18"/>
                      <w:highlight w:val="none"/>
                      <w:vertAlign w:val="baseline"/>
                      <w:lang w:val="en-US" w:eastAsia="zh-CN"/>
                    </w:rPr>
                  </w:pPr>
                  <w:r>
                    <w:rPr>
                      <w:rFonts w:hint="eastAsia" w:ascii="Times New Roman" w:hAnsi="Times New Roman" w:cs="Times New Roman"/>
                      <w:b/>
                      <w:bCs/>
                      <w:color w:val="auto"/>
                      <w:sz w:val="18"/>
                      <w:szCs w:val="18"/>
                      <w:highlight w:val="none"/>
                      <w:vertAlign w:val="baseline"/>
                      <w:lang w:val="en-US" w:eastAsia="zh-CN"/>
                    </w:rPr>
                    <w:t>工业分析成分%</w:t>
                  </w:r>
                </w:p>
              </w:tc>
              <w:tc>
                <w:tcPr>
                  <w:tcW w:w="4373"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18"/>
                      <w:szCs w:val="18"/>
                      <w:highlight w:val="none"/>
                      <w:vertAlign w:val="baseline"/>
                      <w:lang w:val="en-US" w:eastAsia="zh-CN"/>
                    </w:rPr>
                  </w:pPr>
                  <w:r>
                    <w:rPr>
                      <w:rFonts w:hint="eastAsia" w:ascii="Times New Roman" w:hAnsi="Times New Roman" w:cs="Times New Roman"/>
                      <w:b/>
                      <w:bCs/>
                      <w:color w:val="auto"/>
                      <w:sz w:val="18"/>
                      <w:szCs w:val="18"/>
                      <w:highlight w:val="none"/>
                      <w:vertAlign w:val="baseline"/>
                      <w:lang w:val="en-US" w:eastAsia="zh-CN"/>
                    </w:rPr>
                    <w:t>元素组成%</w:t>
                  </w:r>
                </w:p>
              </w:tc>
              <w:tc>
                <w:tcPr>
                  <w:tcW w:w="83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18"/>
                      <w:szCs w:val="18"/>
                      <w:highlight w:val="none"/>
                      <w:vertAlign w:val="baseline"/>
                      <w:lang w:val="en-US" w:eastAsia="zh-CN"/>
                    </w:rPr>
                  </w:pPr>
                  <w:r>
                    <w:rPr>
                      <w:rFonts w:hint="eastAsia" w:ascii="Times New Roman" w:hAnsi="Times New Roman" w:cs="Times New Roman"/>
                      <w:b/>
                      <w:bCs/>
                      <w:color w:val="auto"/>
                      <w:sz w:val="18"/>
                      <w:szCs w:val="18"/>
                      <w:highlight w:val="none"/>
                      <w:vertAlign w:val="baseline"/>
                      <w:lang w:val="en-US" w:eastAsia="zh-CN"/>
                    </w:rPr>
                    <w:t>低位热值KJ/Kg</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6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18"/>
                      <w:szCs w:val="18"/>
                      <w:highlight w:val="none"/>
                      <w:vertAlign w:val="baseline"/>
                      <w:lang w:val="en-US" w:eastAsia="zh-CN"/>
                    </w:rPr>
                  </w:pPr>
                </w:p>
              </w:tc>
              <w:tc>
                <w:tcPr>
                  <w:tcW w:w="7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18"/>
                      <w:szCs w:val="18"/>
                      <w:highlight w:val="none"/>
                      <w:vertAlign w:val="baseline"/>
                      <w:lang w:val="en-US" w:eastAsia="zh-CN"/>
                    </w:rPr>
                  </w:pPr>
                  <w:r>
                    <w:rPr>
                      <w:rFonts w:hint="eastAsia" w:ascii="Times New Roman" w:hAnsi="Times New Roman" w:cs="Times New Roman"/>
                      <w:b/>
                      <w:bCs/>
                      <w:color w:val="auto"/>
                      <w:sz w:val="18"/>
                      <w:szCs w:val="18"/>
                      <w:highlight w:val="none"/>
                      <w:vertAlign w:val="baseline"/>
                      <w:lang w:val="en-US" w:eastAsia="zh-CN"/>
                    </w:rPr>
                    <w:t>水分</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18"/>
                      <w:szCs w:val="18"/>
                      <w:highlight w:val="none"/>
                      <w:vertAlign w:val="baseline"/>
                      <w:lang w:val="en-US" w:eastAsia="zh-CN"/>
                    </w:rPr>
                  </w:pPr>
                  <w:r>
                    <w:rPr>
                      <w:rFonts w:hint="eastAsia" w:ascii="Times New Roman" w:hAnsi="Times New Roman" w:cs="Times New Roman"/>
                      <w:b/>
                      <w:bCs/>
                      <w:color w:val="auto"/>
                      <w:sz w:val="18"/>
                      <w:szCs w:val="18"/>
                      <w:highlight w:val="none"/>
                      <w:vertAlign w:val="baseline"/>
                      <w:lang w:val="en-US" w:eastAsia="zh-CN"/>
                    </w:rPr>
                    <w:t>灰分</w:t>
                  </w:r>
                </w:p>
              </w:tc>
              <w:tc>
                <w:tcPr>
                  <w:tcW w:w="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18"/>
                      <w:szCs w:val="18"/>
                      <w:highlight w:val="none"/>
                      <w:vertAlign w:val="baseline"/>
                      <w:lang w:val="en-US" w:eastAsia="zh-CN"/>
                    </w:rPr>
                  </w:pPr>
                  <w:r>
                    <w:rPr>
                      <w:rFonts w:hint="eastAsia" w:ascii="Times New Roman" w:hAnsi="Times New Roman" w:cs="Times New Roman"/>
                      <w:b/>
                      <w:bCs/>
                      <w:color w:val="auto"/>
                      <w:sz w:val="18"/>
                      <w:szCs w:val="18"/>
                      <w:highlight w:val="none"/>
                      <w:vertAlign w:val="baseline"/>
                      <w:lang w:val="en-US" w:eastAsia="zh-CN"/>
                    </w:rPr>
                    <w:t>挥发分</w:t>
                  </w: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18"/>
                      <w:szCs w:val="18"/>
                      <w:highlight w:val="none"/>
                      <w:vertAlign w:val="baseline"/>
                      <w:lang w:val="en-US" w:eastAsia="zh-CN"/>
                    </w:rPr>
                  </w:pPr>
                  <w:r>
                    <w:rPr>
                      <w:rFonts w:hint="eastAsia" w:ascii="Times New Roman" w:hAnsi="Times New Roman" w:cs="Times New Roman"/>
                      <w:b/>
                      <w:bCs/>
                      <w:color w:val="auto"/>
                      <w:sz w:val="18"/>
                      <w:szCs w:val="18"/>
                      <w:highlight w:val="none"/>
                      <w:vertAlign w:val="baseline"/>
                      <w:lang w:val="en-US" w:eastAsia="zh-CN"/>
                    </w:rPr>
                    <w:t>固定炭</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18"/>
                      <w:szCs w:val="18"/>
                      <w:highlight w:val="none"/>
                      <w:vertAlign w:val="baseline"/>
                      <w:lang w:val="en-US" w:eastAsia="zh-CN"/>
                    </w:rPr>
                  </w:pPr>
                  <w:r>
                    <w:rPr>
                      <w:rFonts w:hint="eastAsia" w:ascii="Times New Roman" w:hAnsi="Times New Roman" w:cs="Times New Roman"/>
                      <w:b/>
                      <w:bCs/>
                      <w:color w:val="auto"/>
                      <w:sz w:val="18"/>
                      <w:szCs w:val="18"/>
                      <w:highlight w:val="none"/>
                      <w:vertAlign w:val="baseline"/>
                      <w:lang w:val="en-US" w:eastAsia="zh-CN"/>
                    </w:rPr>
                    <w:t>H</w:t>
                  </w:r>
                </w:p>
              </w:tc>
              <w:tc>
                <w:tcPr>
                  <w:tcW w:w="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18"/>
                      <w:szCs w:val="18"/>
                      <w:highlight w:val="none"/>
                      <w:vertAlign w:val="baseline"/>
                      <w:lang w:val="en-US" w:eastAsia="zh-CN"/>
                    </w:rPr>
                  </w:pPr>
                  <w:r>
                    <w:rPr>
                      <w:rFonts w:hint="eastAsia" w:ascii="Times New Roman" w:hAnsi="Times New Roman" w:cs="Times New Roman"/>
                      <w:b/>
                      <w:bCs/>
                      <w:color w:val="auto"/>
                      <w:sz w:val="18"/>
                      <w:szCs w:val="18"/>
                      <w:highlight w:val="none"/>
                      <w:vertAlign w:val="baseline"/>
                      <w:lang w:val="en-US" w:eastAsia="zh-CN"/>
                    </w:rPr>
                    <w:t>C</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18"/>
                      <w:szCs w:val="18"/>
                      <w:highlight w:val="none"/>
                      <w:vertAlign w:val="baseline"/>
                      <w:lang w:val="en-US" w:eastAsia="zh-CN"/>
                    </w:rPr>
                  </w:pPr>
                  <w:r>
                    <w:rPr>
                      <w:rFonts w:hint="eastAsia" w:ascii="Times New Roman" w:hAnsi="Times New Roman" w:cs="Times New Roman"/>
                      <w:b/>
                      <w:bCs/>
                      <w:color w:val="auto"/>
                      <w:sz w:val="18"/>
                      <w:szCs w:val="18"/>
                      <w:highlight w:val="none"/>
                      <w:vertAlign w:val="baseline"/>
                      <w:lang w:val="en-US" w:eastAsia="zh-CN"/>
                    </w:rPr>
                    <w:t>S</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18"/>
                      <w:szCs w:val="18"/>
                      <w:highlight w:val="none"/>
                      <w:vertAlign w:val="baseline"/>
                      <w:lang w:val="en-US" w:eastAsia="zh-CN"/>
                    </w:rPr>
                  </w:pPr>
                  <w:r>
                    <w:rPr>
                      <w:rFonts w:hint="eastAsia" w:ascii="Times New Roman" w:hAnsi="Times New Roman" w:cs="Times New Roman"/>
                      <w:b/>
                      <w:bCs/>
                      <w:color w:val="auto"/>
                      <w:sz w:val="18"/>
                      <w:szCs w:val="18"/>
                      <w:highlight w:val="none"/>
                      <w:vertAlign w:val="baseline"/>
                      <w:lang w:val="en-US" w:eastAsia="zh-CN"/>
                    </w:rPr>
                    <w:t>N</w:t>
                  </w:r>
                </w:p>
              </w:tc>
              <w:tc>
                <w:tcPr>
                  <w:tcW w:w="6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18"/>
                      <w:szCs w:val="18"/>
                      <w:highlight w:val="none"/>
                      <w:vertAlign w:val="baseline"/>
                      <w:lang w:val="en-US" w:eastAsia="zh-CN"/>
                    </w:rPr>
                  </w:pPr>
                  <w:r>
                    <w:rPr>
                      <w:rFonts w:hint="eastAsia" w:ascii="Times New Roman" w:hAnsi="Times New Roman" w:cs="Times New Roman"/>
                      <w:b/>
                      <w:bCs/>
                      <w:color w:val="auto"/>
                      <w:sz w:val="18"/>
                      <w:szCs w:val="18"/>
                      <w:highlight w:val="none"/>
                      <w:vertAlign w:val="baseline"/>
                      <w:lang w:val="en-US" w:eastAsia="zh-CN"/>
                    </w:rPr>
                    <w:t>P</w:t>
                  </w:r>
                </w:p>
              </w:tc>
              <w:tc>
                <w:tcPr>
                  <w:tcW w:w="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18"/>
                      <w:szCs w:val="18"/>
                      <w:highlight w:val="none"/>
                      <w:vertAlign w:val="baseline"/>
                      <w:lang w:val="en-US" w:eastAsia="zh-CN"/>
                    </w:rPr>
                  </w:pPr>
                  <w:r>
                    <w:rPr>
                      <w:rFonts w:hint="eastAsia" w:ascii="Times New Roman" w:hAnsi="Times New Roman" w:cs="Times New Roman"/>
                      <w:b/>
                      <w:bCs/>
                      <w:color w:val="auto"/>
                      <w:sz w:val="18"/>
                      <w:szCs w:val="18"/>
                      <w:highlight w:val="none"/>
                      <w:vertAlign w:val="baseline"/>
                      <w:lang w:val="en-US" w:eastAsia="zh-CN"/>
                    </w:rPr>
                    <w:t>K20</w:t>
                  </w:r>
                </w:p>
              </w:tc>
              <w:tc>
                <w:tcPr>
                  <w:tcW w:w="8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18"/>
                      <w:szCs w:val="18"/>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杂草</w:t>
                  </w:r>
                </w:p>
              </w:tc>
              <w:tc>
                <w:tcPr>
                  <w:tcW w:w="7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5.43</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9.4</w:t>
                  </w:r>
                </w:p>
              </w:tc>
              <w:tc>
                <w:tcPr>
                  <w:tcW w:w="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68.27</w:t>
                  </w: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16.4</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5.24</w:t>
                  </w:r>
                </w:p>
              </w:tc>
              <w:tc>
                <w:tcPr>
                  <w:tcW w:w="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41</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0.22</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1.59</w:t>
                  </w:r>
                </w:p>
              </w:tc>
              <w:tc>
                <w:tcPr>
                  <w:tcW w:w="6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1.68</w:t>
                  </w:r>
                </w:p>
              </w:tc>
              <w:tc>
                <w:tcPr>
                  <w:tcW w:w="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13.6</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16204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都桔</w:t>
                  </w:r>
                </w:p>
              </w:tc>
              <w:tc>
                <w:tcPr>
                  <w:tcW w:w="713" w:type="dxa"/>
                  <w:tcBorders>
                    <w:tl2br w:val="nil"/>
                    <w:tr2bl w:val="nil"/>
                  </w:tcBorders>
                  <w:vAlign w:val="center"/>
                </w:tcPr>
                <w:p>
                  <w:pPr>
                    <w:keepNext w:val="0"/>
                    <w:keepLines w:val="0"/>
                    <w:pageBreakBefore w:val="0"/>
                    <w:widowControl w:val="0"/>
                    <w:tabs>
                      <w:tab w:val="left" w:pos="471"/>
                    </w:tabs>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5.1</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3.13</w:t>
                  </w:r>
                </w:p>
              </w:tc>
              <w:tc>
                <w:tcPr>
                  <w:tcW w:w="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74.56</w:t>
                  </w: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17.12</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5.81</w:t>
                  </w:r>
                </w:p>
              </w:tc>
              <w:tc>
                <w:tcPr>
                  <w:tcW w:w="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44.8</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0.11</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5.85</w:t>
                  </w:r>
                </w:p>
              </w:tc>
              <w:tc>
                <w:tcPr>
                  <w:tcW w:w="6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2.86</w:t>
                  </w:r>
                </w:p>
              </w:tc>
              <w:tc>
                <w:tcPr>
                  <w:tcW w:w="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16.33</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16157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稻草</w:t>
                  </w:r>
                </w:p>
              </w:tc>
              <w:tc>
                <w:tcPr>
                  <w:tcW w:w="7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3.61</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12.2</w:t>
                  </w:r>
                </w:p>
              </w:tc>
              <w:tc>
                <w:tcPr>
                  <w:tcW w:w="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67.8</w:t>
                  </w: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16.39</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5.3</w:t>
                  </w:r>
                </w:p>
              </w:tc>
              <w:tc>
                <w:tcPr>
                  <w:tcW w:w="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48.3</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0.09</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0.81</w:t>
                  </w:r>
                </w:p>
              </w:tc>
              <w:tc>
                <w:tcPr>
                  <w:tcW w:w="6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0.15</w:t>
                  </w:r>
                </w:p>
              </w:tc>
              <w:tc>
                <w:tcPr>
                  <w:tcW w:w="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9.93</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17636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稻壳</w:t>
                  </w:r>
                </w:p>
              </w:tc>
              <w:tc>
                <w:tcPr>
                  <w:tcW w:w="7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5.62</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17.82</w:t>
                  </w:r>
                </w:p>
              </w:tc>
              <w:tc>
                <w:tcPr>
                  <w:tcW w:w="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62.61</w:t>
                  </w: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13.95</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6.2</w:t>
                  </w:r>
                </w:p>
              </w:tc>
              <w:tc>
                <w:tcPr>
                  <w:tcW w:w="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49.</w:t>
                  </w:r>
                  <w:r>
                    <w:rPr>
                      <w:rFonts w:hint="eastAsia" w:cs="Times New Roman"/>
                      <w:b w:val="0"/>
                      <w:bCs w:val="0"/>
                      <w:color w:val="auto"/>
                      <w:sz w:val="18"/>
                      <w:szCs w:val="18"/>
                      <w:highlight w:val="none"/>
                      <w:vertAlign w:val="baseline"/>
                      <w:lang w:val="en-US" w:eastAsia="zh-CN"/>
                    </w:rPr>
                    <w:t>4</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0.4</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0.3</w:t>
                  </w:r>
                </w:p>
              </w:tc>
              <w:tc>
                <w:tcPr>
                  <w:tcW w:w="6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w:t>
                  </w:r>
                </w:p>
              </w:tc>
              <w:tc>
                <w:tcPr>
                  <w:tcW w:w="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0.6-1.6</w:t>
                  </w:r>
                </w:p>
              </w:tc>
              <w:tc>
                <w:tcPr>
                  <w:tcW w:w="839" w:type="dxa"/>
                  <w:tcBorders>
                    <w:tl2br w:val="nil"/>
                    <w:tr2bl w:val="nil"/>
                  </w:tcBorders>
                  <w:vAlign w:val="center"/>
                </w:tcPr>
                <w:p>
                  <w:pPr>
                    <w:keepNext w:val="0"/>
                    <w:keepLines w:val="0"/>
                    <w:pageBreakBefore w:val="0"/>
                    <w:widowControl w:val="0"/>
                    <w:tabs>
                      <w:tab w:val="left" w:pos="439"/>
                    </w:tabs>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16017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玉米秸</w:t>
                  </w:r>
                </w:p>
              </w:tc>
              <w:tc>
                <w:tcPr>
                  <w:tcW w:w="7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6.1</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4.7</w:t>
                  </w:r>
                </w:p>
              </w:tc>
              <w:tc>
                <w:tcPr>
                  <w:tcW w:w="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76</w:t>
                  </w: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13.2</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6</w:t>
                  </w:r>
                </w:p>
              </w:tc>
              <w:tc>
                <w:tcPr>
                  <w:tcW w:w="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49.3</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0.11</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0.7</w:t>
                  </w:r>
                </w:p>
              </w:tc>
              <w:tc>
                <w:tcPr>
                  <w:tcW w:w="6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2.6</w:t>
                  </w:r>
                </w:p>
              </w:tc>
              <w:tc>
                <w:tcPr>
                  <w:tcW w:w="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13.8</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17746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玉米芯</w:t>
                  </w:r>
                </w:p>
              </w:tc>
              <w:tc>
                <w:tcPr>
                  <w:tcW w:w="7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4.87</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5.93</w:t>
                  </w:r>
                </w:p>
              </w:tc>
              <w:tc>
                <w:tcPr>
                  <w:tcW w:w="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71.95</w:t>
                  </w: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18.25</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6</w:t>
                  </w:r>
                </w:p>
              </w:tc>
              <w:tc>
                <w:tcPr>
                  <w:tcW w:w="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47.2</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0.01</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0.48</w:t>
                  </w:r>
                </w:p>
              </w:tc>
              <w:tc>
                <w:tcPr>
                  <w:tcW w:w="6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w:t>
                  </w:r>
                </w:p>
              </w:tc>
              <w:tc>
                <w:tcPr>
                  <w:tcW w:w="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17730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高粱秸</w:t>
                  </w:r>
                </w:p>
              </w:tc>
              <w:tc>
                <w:tcPr>
                  <w:tcW w:w="7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4.71</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8.91</w:t>
                  </w:r>
                </w:p>
              </w:tc>
              <w:tc>
                <w:tcPr>
                  <w:tcW w:w="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68.9</w:t>
                  </w: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17.48</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6.09</w:t>
                  </w:r>
                </w:p>
              </w:tc>
              <w:tc>
                <w:tcPr>
                  <w:tcW w:w="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48.6</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0.01</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0.36</w:t>
                  </w:r>
                </w:p>
              </w:tc>
              <w:tc>
                <w:tcPr>
                  <w:tcW w:w="6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1.12</w:t>
                  </w:r>
                </w:p>
              </w:tc>
              <w:tc>
                <w:tcPr>
                  <w:tcW w:w="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13.6</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15066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面秸</w:t>
                  </w:r>
                </w:p>
              </w:tc>
              <w:tc>
                <w:tcPr>
                  <w:tcW w:w="7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6.78</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3.97</w:t>
                  </w:r>
                </w:p>
              </w:tc>
              <w:tc>
                <w:tcPr>
                  <w:tcW w:w="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68.54</w:t>
                  </w: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20.71</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5.7</w:t>
                  </w:r>
                </w:p>
              </w:tc>
              <w:tc>
                <w:tcPr>
                  <w:tcW w:w="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49.8</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0.22</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0.69</w:t>
                  </w:r>
                </w:p>
              </w:tc>
              <w:tc>
                <w:tcPr>
                  <w:tcW w:w="6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2.1</w:t>
                  </w:r>
                </w:p>
              </w:tc>
              <w:tc>
                <w:tcPr>
                  <w:tcW w:w="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24.7</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18089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麦秸</w:t>
                  </w:r>
                </w:p>
              </w:tc>
              <w:tc>
                <w:tcPr>
                  <w:tcW w:w="7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4.39</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8.9</w:t>
                  </w:r>
                </w:p>
              </w:tc>
              <w:tc>
                <w:tcPr>
                  <w:tcW w:w="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67.36</w:t>
                  </w: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19.32</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6.2</w:t>
                  </w:r>
                </w:p>
              </w:tc>
              <w:tc>
                <w:tcPr>
                  <w:tcW w:w="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49.6</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w:t>
                  </w:r>
                  <w:r>
                    <w:rPr>
                      <w:rFonts w:hint="eastAsia" w:cs="Times New Roman"/>
                      <w:b w:val="0"/>
                      <w:bCs w:val="0"/>
                      <w:color w:val="auto"/>
                      <w:sz w:val="18"/>
                      <w:szCs w:val="18"/>
                      <w:highlight w:val="none"/>
                      <w:vertAlign w:val="baseline"/>
                      <w:lang w:val="en-US" w:eastAsia="zh-CN"/>
                    </w:rPr>
                    <w:t>07</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0.61</w:t>
                  </w:r>
                </w:p>
              </w:tc>
              <w:tc>
                <w:tcPr>
                  <w:tcW w:w="6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0.33</w:t>
                  </w:r>
                </w:p>
              </w:tc>
              <w:tc>
                <w:tcPr>
                  <w:tcW w:w="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20.4</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18532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花生壳</w:t>
                  </w:r>
                </w:p>
              </w:tc>
              <w:tc>
                <w:tcPr>
                  <w:tcW w:w="7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7.88</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1.6</w:t>
                  </w:r>
                </w:p>
              </w:tc>
              <w:tc>
                <w:tcPr>
                  <w:tcW w:w="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68.1</w:t>
                  </w: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22.42</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6.7</w:t>
                  </w:r>
                </w:p>
              </w:tc>
              <w:tc>
                <w:tcPr>
                  <w:tcW w:w="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54.9</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0.1</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1.37</w:t>
                  </w:r>
                </w:p>
              </w:tc>
              <w:tc>
                <w:tcPr>
                  <w:tcW w:w="6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p>
              </w:tc>
              <w:tc>
                <w:tcPr>
                  <w:tcW w:w="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bCs w:val="0"/>
                      <w:color w:val="auto"/>
                      <w:sz w:val="18"/>
                      <w:szCs w:val="18"/>
                      <w:highlight w:val="none"/>
                      <w:vertAlign w:val="baseline"/>
                      <w:lang w:val="en-US" w:eastAsia="zh-CN"/>
                    </w:rPr>
                  </w:pP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21417</w:t>
                  </w:r>
                </w:p>
              </w:tc>
            </w:tr>
          </w:tbl>
          <w:p>
            <w:pPr>
              <w:spacing w:line="360" w:lineRule="auto"/>
              <w:ind w:firstLine="0" w:firstLineChars="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w:t>
            </w:r>
            <w:r>
              <w:rPr>
                <w:rFonts w:hint="eastAsia" w:cs="Times New Roman"/>
                <w:b/>
                <w:color w:val="auto"/>
                <w:sz w:val="24"/>
                <w:szCs w:val="24"/>
                <w:highlight w:val="none"/>
                <w:lang w:val="en-US" w:eastAsia="zh-CN"/>
              </w:rPr>
              <w:t>9</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b/>
                <w:color w:val="auto"/>
                <w:sz w:val="24"/>
                <w:szCs w:val="24"/>
                <w:highlight w:val="none"/>
                <w:lang w:eastAsia="zh-CN"/>
              </w:rPr>
              <w:t>生物质</w:t>
            </w:r>
            <w:r>
              <w:rPr>
                <w:rFonts w:hint="default" w:ascii="Times New Roman" w:hAnsi="Times New Roman" w:eastAsia="宋体" w:cs="Times New Roman"/>
                <w:b/>
                <w:color w:val="auto"/>
                <w:sz w:val="24"/>
                <w:szCs w:val="24"/>
                <w:highlight w:val="none"/>
              </w:rPr>
              <w:t>成分分析表</w:t>
            </w:r>
          </w:p>
          <w:tbl>
            <w:tblPr>
              <w:tblStyle w:val="17"/>
              <w:tblW w:w="787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3"/>
              <w:gridCol w:w="2271"/>
              <w:gridCol w:w="1484"/>
              <w:gridCol w:w="1690"/>
              <w:gridCol w:w="16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2" w:hRule="atLeast"/>
                <w:jc w:val="center"/>
              </w:trPr>
              <w:tc>
                <w:tcPr>
                  <w:tcW w:w="7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22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w:t>
                  </w:r>
                </w:p>
              </w:tc>
              <w:tc>
                <w:tcPr>
                  <w:tcW w:w="14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符号</w:t>
                  </w:r>
                </w:p>
              </w:tc>
              <w:tc>
                <w:tcPr>
                  <w:tcW w:w="1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数值</w:t>
                  </w:r>
                </w:p>
              </w:tc>
              <w:tc>
                <w:tcPr>
                  <w:tcW w:w="1690"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2" w:hRule="atLeast"/>
                <w:jc w:val="center"/>
              </w:trPr>
              <w:tc>
                <w:tcPr>
                  <w:tcW w:w="7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2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收到基灰分</w:t>
                  </w:r>
                </w:p>
              </w:tc>
              <w:tc>
                <w:tcPr>
                  <w:tcW w:w="14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Ad</w:t>
                  </w:r>
                </w:p>
              </w:tc>
              <w:tc>
                <w:tcPr>
                  <w:tcW w:w="1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4.37</w:t>
                  </w:r>
                </w:p>
              </w:tc>
              <w:tc>
                <w:tcPr>
                  <w:tcW w:w="1690"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2" w:hRule="atLeast"/>
                <w:jc w:val="center"/>
              </w:trPr>
              <w:tc>
                <w:tcPr>
                  <w:tcW w:w="7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22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收到基硫分</w:t>
                  </w:r>
                </w:p>
              </w:tc>
              <w:tc>
                <w:tcPr>
                  <w:tcW w:w="14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St.d</w:t>
                  </w:r>
                </w:p>
              </w:tc>
              <w:tc>
                <w:tcPr>
                  <w:tcW w:w="1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0.07</w:t>
                  </w:r>
                </w:p>
              </w:tc>
              <w:tc>
                <w:tcPr>
                  <w:tcW w:w="1690"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8" w:hRule="atLeast"/>
                <w:jc w:val="center"/>
              </w:trPr>
              <w:tc>
                <w:tcPr>
                  <w:tcW w:w="7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w:t>
                  </w:r>
                </w:p>
              </w:tc>
              <w:tc>
                <w:tcPr>
                  <w:tcW w:w="22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收到基低位发热量</w:t>
                  </w:r>
                </w:p>
              </w:tc>
              <w:tc>
                <w:tcPr>
                  <w:tcW w:w="14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Qnet</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ar</w:t>
                  </w:r>
                </w:p>
              </w:tc>
              <w:tc>
                <w:tcPr>
                  <w:tcW w:w="1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19.921</w:t>
                  </w:r>
                </w:p>
              </w:tc>
              <w:tc>
                <w:tcPr>
                  <w:tcW w:w="1690"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MJ/kg</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9" w:hRule="atLeast"/>
                <w:jc w:val="center"/>
              </w:trPr>
              <w:tc>
                <w:tcPr>
                  <w:tcW w:w="7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22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飞灰可燃物含量</w:t>
                  </w:r>
                </w:p>
              </w:tc>
              <w:tc>
                <w:tcPr>
                  <w:tcW w:w="14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C</w:t>
                  </w:r>
                  <w:r>
                    <w:rPr>
                      <w:rFonts w:hint="default" w:ascii="Times New Roman" w:hAnsi="Times New Roman" w:eastAsia="宋体" w:cs="Times New Roman"/>
                      <w:color w:val="auto"/>
                      <w:sz w:val="21"/>
                      <w:szCs w:val="21"/>
                      <w:highlight w:val="none"/>
                      <w:vertAlign w:val="subscript"/>
                    </w:rPr>
                    <w:t>fh</w:t>
                  </w:r>
                </w:p>
              </w:tc>
              <w:tc>
                <w:tcPr>
                  <w:tcW w:w="16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1.86</w:t>
                  </w:r>
                </w:p>
              </w:tc>
              <w:tc>
                <w:tcPr>
                  <w:tcW w:w="1690"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w:t>
                  </w:r>
                </w:p>
              </w:tc>
            </w:tr>
          </w:tbl>
          <w:p>
            <w:pPr>
              <w:bidi w:val="0"/>
              <w:rPr>
                <w:rFonts w:hint="default" w:eastAsia="宋体"/>
                <w:b/>
                <w:bCs/>
                <w:color w:val="auto"/>
                <w:highlight w:val="none"/>
                <w:lang w:val="en-US" w:eastAsia="zh-CN"/>
              </w:rPr>
            </w:pPr>
            <w:r>
              <w:rPr>
                <w:rFonts w:hint="eastAsia"/>
                <w:b/>
                <w:bCs/>
                <w:color w:val="auto"/>
                <w:highlight w:val="none"/>
                <w:lang w:val="en-US" w:eastAsia="zh-CN"/>
              </w:rPr>
              <w:t>2.4公用工程</w:t>
            </w:r>
          </w:p>
          <w:p>
            <w:pPr>
              <w:bidi w:val="0"/>
              <w:rPr>
                <w:rFonts w:hint="default" w:eastAsia="宋体"/>
                <w:color w:val="auto"/>
                <w:highlight w:val="none"/>
                <w:lang w:val="en-US" w:eastAsia="zh-CN"/>
              </w:rPr>
            </w:pPr>
            <w:r>
              <w:rPr>
                <w:rFonts w:hint="eastAsia"/>
                <w:b/>
                <w:bCs/>
                <w:color w:val="auto"/>
                <w:highlight w:val="none"/>
                <w:lang w:val="en-US" w:eastAsia="zh-CN"/>
              </w:rPr>
              <w:t>2.4.1给水</w:t>
            </w:r>
          </w:p>
          <w:p>
            <w:pPr>
              <w:bidi w:val="0"/>
              <w:rPr>
                <w:rFonts w:hint="eastAsia"/>
                <w:color w:val="auto"/>
                <w:highlight w:val="none"/>
                <w:lang w:val="en-US" w:eastAsia="zh-CN"/>
              </w:rPr>
            </w:pPr>
            <w:r>
              <w:rPr>
                <w:rFonts w:hint="eastAsia"/>
                <w:color w:val="auto"/>
                <w:highlight w:val="none"/>
                <w:lang w:val="en-US" w:eastAsia="zh-CN"/>
              </w:rPr>
              <w:t>改建项目不新增劳动定员，因此不新增生活用水。项目用水主要为锅炉用水、出渣机补水、脱硫塔用水。用水情况如下：</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锅炉用水</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本项目1台</w:t>
            </w:r>
            <w:r>
              <w:rPr>
                <w:rFonts w:hint="eastAsia" w:cs="Times New Roman"/>
                <w:color w:val="auto"/>
                <w:sz w:val="24"/>
                <w:szCs w:val="24"/>
                <w:highlight w:val="none"/>
                <w:lang w:val="en-US" w:eastAsia="zh-CN"/>
              </w:rPr>
              <w:t>8t/h</w:t>
            </w:r>
            <w:r>
              <w:rPr>
                <w:rFonts w:hint="default" w:ascii="Times New Roman" w:hAnsi="Times New Roman" w:eastAsia="宋体" w:cs="Times New Roman"/>
                <w:color w:val="auto"/>
                <w:sz w:val="24"/>
                <w:szCs w:val="24"/>
                <w:highlight w:val="none"/>
                <w:lang w:eastAsia="zh-CN"/>
              </w:rPr>
              <w:t>生物质热水锅炉</w:t>
            </w:r>
            <w:r>
              <w:rPr>
                <w:rFonts w:hint="default" w:ascii="Times New Roman" w:hAnsi="Times New Roman" w:eastAsia="宋体" w:cs="Times New Roman"/>
                <w:color w:val="auto"/>
                <w:sz w:val="24"/>
                <w:szCs w:val="24"/>
                <w:highlight w:val="none"/>
              </w:rPr>
              <w:t>产生的热水输送至用热部门后，最终返回</w:t>
            </w:r>
            <w:r>
              <w:rPr>
                <w:rFonts w:hint="default" w:ascii="Times New Roman" w:hAnsi="Times New Roman" w:eastAsia="宋体" w:cs="Times New Roman"/>
                <w:color w:val="auto"/>
                <w:sz w:val="24"/>
                <w:szCs w:val="24"/>
                <w:highlight w:val="none"/>
                <w:lang w:eastAsia="zh-CN"/>
              </w:rPr>
              <w:t>生物质热水锅炉</w:t>
            </w:r>
            <w:r>
              <w:rPr>
                <w:rFonts w:hint="default" w:ascii="Times New Roman" w:hAnsi="Times New Roman" w:eastAsia="宋体" w:cs="Times New Roman"/>
                <w:color w:val="auto"/>
                <w:sz w:val="24"/>
                <w:szCs w:val="24"/>
                <w:highlight w:val="none"/>
              </w:rPr>
              <w:t>。</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锅炉排污水按循环水量的2%计算，则锅炉排污水排放量为</w:t>
            </w:r>
            <w:r>
              <w:rPr>
                <w:rFonts w:hint="default" w:ascii="Times New Roman" w:hAnsi="Times New Roman" w:eastAsia="宋体" w:cs="Times New Roman"/>
                <w:color w:val="auto"/>
                <w:sz w:val="24"/>
                <w:szCs w:val="24"/>
                <w:highlight w:val="none"/>
                <w:lang w:val="en-US" w:eastAsia="zh-CN"/>
              </w:rPr>
              <w:t>0.2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4.8</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val="en-US" w:eastAsia="zh-CN"/>
              </w:rPr>
              <w:t>864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/a）；锅炉内热水加热过程中，水分</w:t>
            </w:r>
            <w:r>
              <w:rPr>
                <w:rFonts w:hint="default" w:ascii="Times New Roman" w:hAnsi="Times New Roman" w:eastAsia="宋体" w:cs="Times New Roman"/>
                <w:color w:val="auto"/>
                <w:sz w:val="24"/>
                <w:szCs w:val="24"/>
                <w:highlight w:val="none"/>
                <w:lang w:val="zh-CN"/>
              </w:rPr>
              <w:t>损失量</w:t>
            </w:r>
            <w:r>
              <w:rPr>
                <w:rFonts w:hint="default" w:ascii="Times New Roman" w:hAnsi="Times New Roman" w:eastAsia="宋体" w:cs="Times New Roman"/>
                <w:color w:val="auto"/>
                <w:sz w:val="24"/>
                <w:szCs w:val="24"/>
                <w:highlight w:val="none"/>
              </w:rPr>
              <w:t>按循环水量的3%计算，则锅炉循环水损失量为0.</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7.2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val="en-US" w:eastAsia="zh-CN"/>
              </w:rPr>
              <w:t>1296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锅炉用水通过软水制备装置补给，本项目1台</w:t>
            </w:r>
            <w:r>
              <w:rPr>
                <w:rFonts w:hint="eastAsia" w:cs="Times New Roman"/>
                <w:color w:val="auto"/>
                <w:sz w:val="24"/>
                <w:szCs w:val="24"/>
                <w:highlight w:val="none"/>
                <w:lang w:val="en-US" w:eastAsia="zh-CN"/>
              </w:rPr>
              <w:t>8t/h</w:t>
            </w:r>
            <w:r>
              <w:rPr>
                <w:rFonts w:hint="default" w:ascii="Times New Roman" w:hAnsi="Times New Roman" w:eastAsia="宋体" w:cs="Times New Roman"/>
                <w:color w:val="auto"/>
                <w:sz w:val="24"/>
                <w:szCs w:val="24"/>
                <w:highlight w:val="none"/>
                <w:lang w:eastAsia="zh-CN"/>
              </w:rPr>
              <w:t>生物质热水锅炉</w:t>
            </w:r>
            <w:r>
              <w:rPr>
                <w:rFonts w:hint="default" w:ascii="Times New Roman" w:hAnsi="Times New Roman" w:eastAsia="宋体" w:cs="Times New Roman"/>
                <w:color w:val="auto"/>
                <w:sz w:val="24"/>
                <w:szCs w:val="24"/>
                <w:highlight w:val="none"/>
              </w:rPr>
              <w:t>软水消耗量为0.</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val="en-US" w:eastAsia="zh-CN"/>
              </w:rPr>
              <w:t>2160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/a），软水制备装置的软水产出率按80%计算，因此，软水制备装置消耗的新鲜水量为</w:t>
            </w:r>
            <w:r>
              <w:rPr>
                <w:rFonts w:hint="default" w:ascii="Times New Roman" w:hAnsi="Times New Roman" w:eastAsia="宋体" w:cs="Times New Roman"/>
                <w:color w:val="auto"/>
                <w:sz w:val="24"/>
                <w:szCs w:val="24"/>
                <w:highlight w:val="none"/>
                <w:lang w:val="en-US" w:eastAsia="zh-CN"/>
              </w:rPr>
              <w:t>0.625</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15</w:t>
            </w:r>
            <w:r>
              <w:rPr>
                <w:rFonts w:hint="default" w:ascii="Times New Roman" w:hAnsi="Times New Roman" w:eastAsia="宋体" w:cs="Times New Roman"/>
                <w:color w:val="auto"/>
                <w:sz w:val="24"/>
                <w:szCs w:val="24"/>
                <w:highlight w:val="none"/>
                <w:lang w:eastAsia="zh-CN"/>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2700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p>
          <w:p>
            <w:pPr>
              <w:pStyle w:val="10"/>
              <w:keepNext w:val="0"/>
              <w:keepLines w:val="0"/>
              <w:pageBreakBefore w:val="0"/>
              <w:kinsoku/>
              <w:wordWrap/>
              <w:overflowPunct/>
              <w:topLinePunct w:val="0"/>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出渣机补水</w:t>
            </w:r>
          </w:p>
          <w:p>
            <w:pPr>
              <w:pStyle w:val="10"/>
              <w:keepNext w:val="0"/>
              <w:keepLines w:val="0"/>
              <w:pageBreakBefore w:val="0"/>
              <w:kinsoku/>
              <w:wordWrap/>
              <w:overflowPunct/>
              <w:topLinePunct w:val="0"/>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szCs w:val="24"/>
                <w:highlight w:val="none"/>
                <w:lang w:eastAsia="zh-CN"/>
              </w:rPr>
              <w:t>生物质热水锅炉</w:t>
            </w:r>
            <w:r>
              <w:rPr>
                <w:rFonts w:hint="default" w:ascii="Times New Roman" w:hAnsi="Times New Roman" w:eastAsia="宋体" w:cs="Times New Roman"/>
                <w:color w:val="auto"/>
                <w:sz w:val="24"/>
                <w:szCs w:val="24"/>
                <w:highlight w:val="none"/>
              </w:rPr>
              <w:t>出渣采用湿出渣方式，由于出渣过程中温度较高，水与锅炉炉渣直接接触时，出渣废水由于炉渣热量的作用成为水蒸汽外排</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出渣废水循环使用，不外排。出渣废水蒸发损失量按锅炉炉渣量的30%计算</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本项目生物质热水</w:t>
            </w:r>
            <w:r>
              <w:rPr>
                <w:rFonts w:hint="default" w:ascii="Times New Roman" w:hAnsi="Times New Roman" w:eastAsia="宋体" w:cs="Times New Roman"/>
                <w:color w:val="auto"/>
                <w:sz w:val="24"/>
                <w:szCs w:val="24"/>
                <w:highlight w:val="none"/>
              </w:rPr>
              <w:t>锅炉炉渣量</w:t>
            </w:r>
            <w:r>
              <w:rPr>
                <w:rFonts w:hint="default" w:ascii="Times New Roman" w:hAnsi="Times New Roman" w:eastAsia="宋体" w:cs="Times New Roman"/>
                <w:color w:val="auto"/>
                <w:sz w:val="24"/>
                <w:szCs w:val="24"/>
                <w:highlight w:val="none"/>
                <w:lang w:eastAsia="zh-CN"/>
              </w:rPr>
              <w:t>为216.4</w:t>
            </w:r>
            <w:r>
              <w:rPr>
                <w:rFonts w:hint="default" w:ascii="Times New Roman" w:hAnsi="Times New Roman" w:eastAsia="宋体" w:cs="Times New Roman"/>
                <w:color w:val="auto"/>
                <w:sz w:val="24"/>
                <w:szCs w:val="24"/>
                <w:highlight w:val="none"/>
                <w:lang w:val="en-US" w:eastAsia="zh-CN"/>
              </w:rPr>
              <w:t>t/a，则</w:t>
            </w:r>
            <w:r>
              <w:rPr>
                <w:rFonts w:hint="default" w:ascii="Times New Roman" w:hAnsi="Times New Roman" w:eastAsia="宋体" w:cs="Times New Roman"/>
                <w:color w:val="auto"/>
                <w:sz w:val="24"/>
                <w:szCs w:val="24"/>
                <w:highlight w:val="none"/>
              </w:rPr>
              <w:t>出渣机补水量为</w:t>
            </w:r>
            <w:r>
              <w:rPr>
                <w:rFonts w:hint="default" w:ascii="Times New Roman" w:hAnsi="Times New Roman" w:eastAsia="宋体" w:cs="Times New Roman"/>
                <w:color w:val="auto"/>
                <w:sz w:val="24"/>
                <w:szCs w:val="24"/>
                <w:highlight w:val="none"/>
                <w:lang w:val="en-US" w:eastAsia="zh-CN"/>
              </w:rPr>
              <w:t>0.36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64.8</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由</w:t>
            </w:r>
            <w:r>
              <w:rPr>
                <w:rFonts w:hint="default" w:ascii="Times New Roman" w:hAnsi="Times New Roman" w:eastAsia="宋体" w:cs="Times New Roman"/>
                <w:color w:val="auto"/>
                <w:sz w:val="24"/>
                <w:szCs w:val="24"/>
                <w:highlight w:val="none"/>
                <w:lang w:eastAsia="zh-CN"/>
              </w:rPr>
              <w:t>软水制备废水和锅炉排污水</w:t>
            </w:r>
            <w:r>
              <w:rPr>
                <w:rFonts w:hint="default" w:ascii="Times New Roman" w:hAnsi="Times New Roman" w:eastAsia="宋体" w:cs="Times New Roman"/>
                <w:color w:val="auto"/>
                <w:sz w:val="24"/>
                <w:szCs w:val="24"/>
                <w:highlight w:val="none"/>
                <w:lang w:val="en-US" w:eastAsia="zh-CN"/>
              </w:rPr>
              <w:t>供给</w:t>
            </w:r>
            <w:r>
              <w:rPr>
                <w:rFonts w:hint="default" w:ascii="Times New Roman" w:hAnsi="Times New Roman" w:eastAsia="宋体" w:cs="Times New Roman"/>
                <w:color w:val="auto"/>
                <w:sz w:val="24"/>
                <w:szCs w:val="24"/>
                <w:highlight w:val="none"/>
                <w:lang w:eastAsia="zh-CN"/>
              </w:rPr>
              <w:t>，不消耗新鲜水</w:t>
            </w:r>
            <w:r>
              <w:rPr>
                <w:rFonts w:hint="default" w:ascii="Times New Roman" w:hAnsi="Times New Roman" w:eastAsia="宋体" w:cs="Times New Roman"/>
                <w:color w:val="auto"/>
                <w:sz w:val="24"/>
                <w:szCs w:val="24"/>
                <w:highlight w:val="none"/>
              </w:rPr>
              <w:t>。</w:t>
            </w:r>
          </w:p>
          <w:p>
            <w:pPr>
              <w:keepNext w:val="0"/>
              <w:keepLines w:val="0"/>
              <w:pageBreakBefore w:val="0"/>
              <w:widowControl w:val="0"/>
              <w:suppressLineNumbers w:val="0"/>
              <w:kinsoku/>
              <w:wordWrap/>
              <w:overflowPunct/>
              <w:topLinePunct w:val="0"/>
              <w:autoSpaceDN/>
              <w:bidi w:val="0"/>
              <w:spacing w:before="0" w:beforeAutospacing="0" w:afterAutospacing="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灰渣</w:t>
            </w:r>
            <w:r>
              <w:rPr>
                <w:rFonts w:hint="default" w:ascii="Times New Roman" w:hAnsi="Times New Roman" w:eastAsia="宋体" w:cs="Times New Roman"/>
                <w:color w:val="auto"/>
                <w:sz w:val="24"/>
                <w:szCs w:val="24"/>
                <w:highlight w:val="none"/>
                <w:lang w:eastAsia="zh-CN"/>
              </w:rPr>
              <w:t>间抑尘用水</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本项目灰渣间</w:t>
            </w:r>
            <w:r>
              <w:rPr>
                <w:rFonts w:hint="default" w:ascii="Times New Roman" w:hAnsi="Times New Roman" w:eastAsia="宋体" w:cs="Times New Roman"/>
                <w:color w:val="auto"/>
                <w:sz w:val="24"/>
                <w:szCs w:val="24"/>
                <w:highlight w:val="none"/>
              </w:rPr>
              <w:t>面积为</w:t>
            </w:r>
            <w:r>
              <w:rPr>
                <w:rFonts w:hint="default" w:ascii="Times New Roman" w:hAnsi="Times New Roman" w:eastAsia="宋体" w:cs="Times New Roman"/>
                <w:color w:val="auto"/>
                <w:sz w:val="24"/>
                <w:szCs w:val="24"/>
                <w:highlight w:val="none"/>
                <w:lang w:val="en-US" w:eastAsia="zh-CN"/>
              </w:rPr>
              <w:t>400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，根据《内蒙古自治区行业用水定额标准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2019版）》</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内水资[2019]165号），场地喷洒用水定额按1.3L/</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·次）计，运营期共</w:t>
            </w:r>
            <w:r>
              <w:rPr>
                <w:rFonts w:hint="default" w:ascii="Times New Roman" w:hAnsi="Times New Roman" w:eastAsia="宋体" w:cs="Times New Roman"/>
                <w:color w:val="auto"/>
                <w:sz w:val="24"/>
                <w:szCs w:val="24"/>
                <w:highlight w:val="none"/>
                <w:lang w:val="en-US" w:eastAsia="zh-CN"/>
              </w:rPr>
              <w:t>180</w:t>
            </w:r>
            <w:r>
              <w:rPr>
                <w:rFonts w:hint="default" w:ascii="Times New Roman" w:hAnsi="Times New Roman" w:eastAsia="宋体" w:cs="Times New Roman"/>
                <w:color w:val="auto"/>
                <w:sz w:val="24"/>
                <w:szCs w:val="24"/>
                <w:highlight w:val="none"/>
              </w:rPr>
              <w:t>天，则</w:t>
            </w:r>
            <w:r>
              <w:rPr>
                <w:rFonts w:hint="default" w:ascii="Times New Roman" w:hAnsi="Times New Roman" w:eastAsia="宋体" w:cs="Times New Roman"/>
                <w:color w:val="auto"/>
                <w:sz w:val="24"/>
                <w:szCs w:val="24"/>
                <w:highlight w:val="none"/>
                <w:lang w:val="en-US" w:eastAsia="zh-CN"/>
              </w:rPr>
              <w:t>灰渣</w:t>
            </w:r>
            <w:r>
              <w:rPr>
                <w:rFonts w:hint="default" w:ascii="Times New Roman" w:hAnsi="Times New Roman" w:eastAsia="宋体" w:cs="Times New Roman"/>
                <w:color w:val="auto"/>
                <w:sz w:val="24"/>
                <w:szCs w:val="24"/>
                <w:highlight w:val="none"/>
                <w:lang w:eastAsia="zh-CN"/>
              </w:rPr>
              <w:t>间</w:t>
            </w:r>
            <w:r>
              <w:rPr>
                <w:rFonts w:hint="default" w:ascii="Times New Roman" w:hAnsi="Times New Roman" w:eastAsia="宋体" w:cs="Times New Roman"/>
                <w:color w:val="auto"/>
                <w:sz w:val="24"/>
                <w:szCs w:val="24"/>
                <w:highlight w:val="none"/>
                <w:lang w:val="en-US" w:eastAsia="zh-CN"/>
              </w:rPr>
              <w:t>降尘用水</w:t>
            </w:r>
            <w:r>
              <w:rPr>
                <w:rFonts w:hint="default" w:ascii="Times New Roman" w:hAnsi="Times New Roman" w:eastAsia="宋体" w:cs="Times New Roman"/>
                <w:color w:val="auto"/>
                <w:sz w:val="24"/>
                <w:szCs w:val="24"/>
                <w:highlight w:val="none"/>
              </w:rPr>
              <w:t>量约</w:t>
            </w:r>
            <w:r>
              <w:rPr>
                <w:rFonts w:hint="default" w:ascii="Times New Roman" w:hAnsi="Times New Roman" w:eastAsia="宋体" w:cs="Times New Roman"/>
                <w:color w:val="auto"/>
                <w:sz w:val="24"/>
                <w:szCs w:val="24"/>
                <w:highlight w:val="none"/>
                <w:lang w:val="en-US" w:eastAsia="zh-CN"/>
              </w:rPr>
              <w:t>0.52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93.6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由</w:t>
            </w:r>
            <w:r>
              <w:rPr>
                <w:rFonts w:hint="default" w:ascii="Times New Roman" w:hAnsi="Times New Roman" w:eastAsia="宋体" w:cs="Times New Roman"/>
                <w:color w:val="auto"/>
                <w:sz w:val="24"/>
                <w:szCs w:val="24"/>
                <w:highlight w:val="none"/>
                <w:lang w:eastAsia="zh-CN"/>
              </w:rPr>
              <w:t>软水制备废水和锅炉排污水</w:t>
            </w:r>
            <w:r>
              <w:rPr>
                <w:rFonts w:hint="default" w:ascii="Times New Roman" w:hAnsi="Times New Roman" w:eastAsia="宋体" w:cs="Times New Roman"/>
                <w:color w:val="auto"/>
                <w:sz w:val="24"/>
                <w:szCs w:val="24"/>
                <w:highlight w:val="none"/>
                <w:lang w:val="en-US" w:eastAsia="zh-CN"/>
              </w:rPr>
              <w:t>供给</w:t>
            </w:r>
            <w:r>
              <w:rPr>
                <w:rFonts w:hint="default" w:ascii="Times New Roman" w:hAnsi="Times New Roman" w:eastAsia="宋体" w:cs="Times New Roman"/>
                <w:color w:val="auto"/>
                <w:sz w:val="24"/>
                <w:szCs w:val="24"/>
                <w:highlight w:val="none"/>
                <w:lang w:eastAsia="zh-CN"/>
              </w:rPr>
              <w:t>，不消耗新鲜水</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脱硫</w:t>
            </w:r>
            <w:r>
              <w:rPr>
                <w:rFonts w:hint="default" w:ascii="Times New Roman" w:hAnsi="Times New Roman" w:eastAsia="宋体" w:cs="Times New Roman"/>
                <w:color w:val="auto"/>
                <w:sz w:val="24"/>
                <w:szCs w:val="24"/>
                <w:highlight w:val="none"/>
              </w:rPr>
              <w:t>用水</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szCs w:val="24"/>
                <w:highlight w:val="none"/>
                <w:lang w:eastAsia="zh-CN"/>
              </w:rPr>
              <w:t>生物质热水锅炉</w:t>
            </w:r>
            <w:r>
              <w:rPr>
                <w:rFonts w:hint="default" w:ascii="Times New Roman" w:hAnsi="Times New Roman" w:eastAsia="宋体" w:cs="Times New Roman"/>
                <w:color w:val="auto"/>
                <w:sz w:val="24"/>
                <w:szCs w:val="24"/>
                <w:highlight w:val="none"/>
              </w:rPr>
              <w:t>设置1座</w:t>
            </w:r>
            <w:r>
              <w:rPr>
                <w:rFonts w:hint="eastAsia" w:ascii="Times New Roman" w:hAnsi="Times New Roman" w:cs="Times New Roman"/>
                <w:color w:val="auto"/>
                <w:sz w:val="24"/>
                <w:szCs w:val="24"/>
                <w:highlight w:val="none"/>
                <w:lang w:val="en-US" w:eastAsia="zh-CN"/>
              </w:rPr>
              <w:t>双</w:t>
            </w:r>
            <w:r>
              <w:rPr>
                <w:rFonts w:hint="default" w:ascii="Times New Roman" w:hAnsi="Times New Roman" w:eastAsia="宋体" w:cs="Times New Roman"/>
                <w:color w:val="auto"/>
                <w:sz w:val="24"/>
                <w:szCs w:val="24"/>
                <w:highlight w:val="none"/>
                <w:lang w:eastAsia="zh-CN"/>
              </w:rPr>
              <w:t>碱法脱硫塔</w:t>
            </w:r>
            <w:r>
              <w:rPr>
                <w:rFonts w:hint="default" w:ascii="Times New Roman" w:hAnsi="Times New Roman" w:eastAsia="宋体" w:cs="Times New Roman"/>
                <w:color w:val="auto"/>
                <w:sz w:val="24"/>
                <w:szCs w:val="24"/>
                <w:highlight w:val="none"/>
              </w:rPr>
              <w:t>，脱硫废水经三级沉淀池循环，不外排；由于生物质热风炉烟气温度较高，脱硫废水与生物质热风炉烟气直接接触时，脱硫废水由于烟气热量的作用成为水蒸汽随烟气外排。脱硫废水循环水量为</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0m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/d，蒸发损失量按</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%计，即</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则</w:t>
            </w:r>
            <w:r>
              <w:rPr>
                <w:rFonts w:hint="default" w:ascii="Times New Roman" w:hAnsi="Times New Roman" w:eastAsia="宋体" w:cs="Times New Roman"/>
                <w:color w:val="auto"/>
                <w:sz w:val="24"/>
                <w:szCs w:val="24"/>
                <w:highlight w:val="none"/>
              </w:rPr>
              <w:t>需补充水量为</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p>
          <w:p>
            <w:pPr>
              <w:bidi w:val="0"/>
              <w:rPr>
                <w:rFonts w:hint="default" w:eastAsia="宋体"/>
                <w:b/>
                <w:bCs/>
                <w:color w:val="auto"/>
                <w:highlight w:val="none"/>
                <w:lang w:val="en-US" w:eastAsia="zh-CN"/>
              </w:rPr>
            </w:pPr>
            <w:r>
              <w:rPr>
                <w:rFonts w:hint="eastAsia"/>
                <w:b/>
                <w:bCs/>
                <w:color w:val="auto"/>
                <w:highlight w:val="none"/>
                <w:lang w:val="en-US" w:eastAsia="zh-CN"/>
              </w:rPr>
              <w:t>2.4.2排水</w:t>
            </w:r>
          </w:p>
          <w:p>
            <w:pPr>
              <w:bidi w:val="0"/>
              <w:rPr>
                <w:rFonts w:hint="default"/>
                <w:color w:val="auto"/>
                <w:highlight w:val="none"/>
                <w:lang w:val="en-US" w:eastAsia="zh-CN"/>
              </w:rPr>
            </w:pPr>
            <w:r>
              <w:rPr>
                <w:rFonts w:hint="eastAsia"/>
                <w:color w:val="auto"/>
                <w:highlight w:val="none"/>
                <w:lang w:val="en-US" w:eastAsia="zh-CN"/>
              </w:rPr>
              <w:t>改建项目不新增劳动定员，因此改建项目不新增生活污水。项目排水主要为锅炉排水、软水制备系统排水、出渣机废水和脱硫塔废水。排水情况如下：</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锅炉定期排污水</w:t>
            </w:r>
          </w:p>
          <w:p>
            <w:pPr>
              <w:pStyle w:val="10"/>
              <w:keepNext w:val="0"/>
              <w:keepLines w:val="0"/>
              <w:pageBreakBefore w:val="0"/>
              <w:kinsoku/>
              <w:wordWrap/>
              <w:overflowPunct/>
              <w:topLinePunct w:val="0"/>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本项目1台</w:t>
            </w:r>
            <w:r>
              <w:rPr>
                <w:rFonts w:hint="eastAsia" w:ascii="Times New Roman" w:cs="Times New Roman"/>
                <w:color w:val="auto"/>
                <w:sz w:val="24"/>
                <w:szCs w:val="24"/>
                <w:highlight w:val="none"/>
                <w:lang w:val="en-US" w:eastAsia="zh-CN"/>
              </w:rPr>
              <w:t>8t/h</w:t>
            </w:r>
            <w:r>
              <w:rPr>
                <w:rFonts w:hint="default" w:ascii="Times New Roman" w:hAnsi="Times New Roman" w:eastAsia="宋体" w:cs="Times New Roman"/>
                <w:color w:val="auto"/>
                <w:sz w:val="24"/>
                <w:szCs w:val="24"/>
                <w:highlight w:val="none"/>
                <w:lang w:eastAsia="zh-CN"/>
              </w:rPr>
              <w:t>生物质热水锅炉</w:t>
            </w:r>
            <w:r>
              <w:rPr>
                <w:rFonts w:hint="default" w:ascii="Times New Roman" w:hAnsi="Times New Roman" w:eastAsia="宋体" w:cs="Times New Roman"/>
                <w:color w:val="auto"/>
                <w:sz w:val="24"/>
                <w:szCs w:val="24"/>
                <w:highlight w:val="none"/>
              </w:rPr>
              <w:t>排污水按循环水量的2%计算，则锅炉排污水排放量为0.</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4.8</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val="en-US" w:eastAsia="zh-CN"/>
              </w:rPr>
              <w:t>864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/a），用于</w:t>
            </w:r>
            <w:r>
              <w:rPr>
                <w:rFonts w:hint="default" w:ascii="Times New Roman" w:hAnsi="Times New Roman" w:eastAsia="宋体" w:cs="Times New Roman"/>
                <w:color w:val="auto"/>
                <w:sz w:val="24"/>
                <w:szCs w:val="24"/>
                <w:highlight w:val="none"/>
                <w:lang w:eastAsia="zh-CN"/>
              </w:rPr>
              <w:t>灰渣间</w:t>
            </w:r>
            <w:r>
              <w:rPr>
                <w:rFonts w:hint="default" w:ascii="Times New Roman" w:hAnsi="Times New Roman" w:eastAsia="宋体" w:cs="Times New Roman"/>
                <w:color w:val="auto"/>
                <w:sz w:val="24"/>
                <w:szCs w:val="24"/>
                <w:highlight w:val="none"/>
              </w:rPr>
              <w:t>抑尘、出渣机补水、空地降尘洒水，不外排</w:t>
            </w:r>
            <w:r>
              <w:rPr>
                <w:rFonts w:hint="default" w:ascii="Times New Roman" w:hAnsi="Times New Roman" w:eastAsia="宋体" w:cs="Times New Roman"/>
                <w:color w:val="auto"/>
                <w:kern w:val="2"/>
                <w:sz w:val="24"/>
                <w:szCs w:val="24"/>
                <w:highlight w:val="none"/>
                <w:lang w:eastAsia="zh-CN" w:bidi="ar"/>
              </w:rPr>
              <w:t>。</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软水制备废水</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本项目软水制备</w:t>
            </w:r>
            <w:r>
              <w:rPr>
                <w:rFonts w:hint="default" w:ascii="Times New Roman" w:hAnsi="Times New Roman" w:eastAsia="宋体" w:cs="Times New Roman"/>
                <w:color w:val="auto"/>
                <w:sz w:val="24"/>
                <w:szCs w:val="24"/>
                <w:highlight w:val="none"/>
                <w:lang w:eastAsia="zh-CN"/>
              </w:rPr>
              <w:t>废水</w:t>
            </w:r>
            <w:r>
              <w:rPr>
                <w:rFonts w:hint="default" w:ascii="Times New Roman" w:hAnsi="Times New Roman" w:eastAsia="宋体" w:cs="Times New Roman"/>
                <w:color w:val="auto"/>
                <w:sz w:val="24"/>
                <w:szCs w:val="24"/>
                <w:highlight w:val="none"/>
              </w:rPr>
              <w:t>排</w:t>
            </w:r>
            <w:r>
              <w:rPr>
                <w:rFonts w:hint="default" w:ascii="Times New Roman" w:hAnsi="Times New Roman" w:eastAsia="宋体" w:cs="Times New Roman"/>
                <w:color w:val="auto"/>
                <w:sz w:val="24"/>
                <w:szCs w:val="24"/>
                <w:highlight w:val="none"/>
                <w:lang w:eastAsia="zh-CN"/>
              </w:rPr>
              <w:t>放</w:t>
            </w:r>
            <w:r>
              <w:rPr>
                <w:rFonts w:hint="default" w:ascii="Times New Roman" w:hAnsi="Times New Roman" w:eastAsia="宋体" w:cs="Times New Roman"/>
                <w:color w:val="auto"/>
                <w:sz w:val="24"/>
                <w:szCs w:val="24"/>
                <w:highlight w:val="none"/>
              </w:rPr>
              <w:t>量为</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540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用于</w:t>
            </w:r>
            <w:r>
              <w:rPr>
                <w:rFonts w:hint="default" w:ascii="Times New Roman" w:hAnsi="Times New Roman" w:eastAsia="宋体" w:cs="Times New Roman"/>
                <w:color w:val="auto"/>
                <w:sz w:val="24"/>
                <w:szCs w:val="24"/>
                <w:highlight w:val="none"/>
                <w:lang w:eastAsia="zh-CN"/>
              </w:rPr>
              <w:t>灰渣间</w:t>
            </w:r>
            <w:r>
              <w:rPr>
                <w:rFonts w:hint="default" w:ascii="Times New Roman" w:hAnsi="Times New Roman" w:eastAsia="宋体" w:cs="Times New Roman"/>
                <w:color w:val="auto"/>
                <w:sz w:val="24"/>
                <w:szCs w:val="24"/>
                <w:highlight w:val="none"/>
              </w:rPr>
              <w:t>抑尘、出渣机补水、空地降尘洒水，不外排。</w:t>
            </w:r>
          </w:p>
          <w:p>
            <w:pPr>
              <w:keepNext w:val="0"/>
              <w:keepLines w:val="0"/>
              <w:pageBreakBefore w:val="0"/>
              <w:widowControl/>
              <w:kinsoku/>
              <w:wordWrap/>
              <w:overflowPunct/>
              <w:topLinePunct w:val="0"/>
              <w:bidi w:val="0"/>
              <w:spacing w:line="360" w:lineRule="auto"/>
              <w:ind w:left="0" w:leftChars="0" w:firstLine="480" w:firstLineChars="200"/>
              <w:textAlignment w:val="auto"/>
              <w:outlineLvl w:val="1"/>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出渣机废水</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出渣机废水循环使用，定期补水，不外排。</w:t>
            </w:r>
          </w:p>
          <w:p>
            <w:pPr>
              <w:keepNext w:val="0"/>
              <w:keepLines w:val="0"/>
              <w:pageBreakBefore w:val="0"/>
              <w:widowControl/>
              <w:kinsoku/>
              <w:wordWrap/>
              <w:overflowPunct/>
              <w:topLinePunct w:val="0"/>
              <w:bidi w:val="0"/>
              <w:spacing w:line="360" w:lineRule="auto"/>
              <w:ind w:left="0" w:leftChars="0" w:firstLine="480" w:firstLineChars="200"/>
              <w:textAlignment w:val="auto"/>
              <w:outlineLvl w:val="1"/>
              <w:rPr>
                <w:rFonts w:hint="default"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灰渣间抑尘废水</w:t>
            </w:r>
          </w:p>
          <w:p>
            <w:pPr>
              <w:keepNext w:val="0"/>
              <w:keepLines w:val="0"/>
              <w:pageBreakBefore w:val="0"/>
              <w:widowControl/>
              <w:kinsoku/>
              <w:wordWrap/>
              <w:overflowPunct/>
              <w:topLinePunct w:val="0"/>
              <w:bidi w:val="0"/>
              <w:spacing w:line="360" w:lineRule="auto"/>
              <w:ind w:left="0" w:leftChars="0" w:firstLine="480" w:firstLineChars="200"/>
              <w:textAlignment w:val="auto"/>
              <w:outlineLvl w:val="1"/>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灰渣间抑尘用水</w:t>
            </w:r>
            <w:r>
              <w:rPr>
                <w:rFonts w:hint="default" w:ascii="Times New Roman" w:hAnsi="Times New Roman" w:eastAsia="宋体" w:cs="Times New Roman"/>
                <w:color w:val="auto"/>
                <w:sz w:val="24"/>
                <w:szCs w:val="24"/>
                <w:highlight w:val="none"/>
              </w:rPr>
              <w:t>全部被灰渣吸收，通过自然蒸发，无废水产生</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kinsoku/>
              <w:wordWrap/>
              <w:overflowPunct/>
              <w:topLinePunct w:val="0"/>
              <w:bidi w:val="0"/>
              <w:spacing w:line="360" w:lineRule="auto"/>
              <w:ind w:left="0" w:leftChars="0" w:firstLine="480" w:firstLineChars="200"/>
              <w:textAlignment w:val="auto"/>
              <w:outlineLvl w:val="1"/>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脱硫塔废</w:t>
            </w:r>
            <w:r>
              <w:rPr>
                <w:rFonts w:hint="default" w:ascii="Times New Roman" w:hAnsi="Times New Roman" w:eastAsia="宋体" w:cs="Times New Roman"/>
                <w:color w:val="auto"/>
                <w:sz w:val="24"/>
                <w:szCs w:val="24"/>
                <w:highlight w:val="none"/>
              </w:rPr>
              <w:t>水</w:t>
            </w:r>
          </w:p>
          <w:p>
            <w:pPr>
              <w:keepNext w:val="0"/>
              <w:keepLines w:val="0"/>
              <w:pageBreakBefore w:val="0"/>
              <w:widowControl/>
              <w:kinsoku/>
              <w:wordWrap/>
              <w:overflowPunct/>
              <w:topLinePunct w:val="0"/>
              <w:bidi w:val="0"/>
              <w:spacing w:line="360" w:lineRule="auto"/>
              <w:ind w:left="0" w:leftChars="0" w:firstLine="480" w:firstLineChars="200"/>
              <w:textAlignment w:val="auto"/>
              <w:outlineLvl w:val="1"/>
              <w:rPr>
                <w:rFonts w:hint="default"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双</w:t>
            </w:r>
            <w:r>
              <w:rPr>
                <w:rFonts w:hint="default" w:ascii="Times New Roman" w:hAnsi="Times New Roman" w:eastAsia="宋体" w:cs="Times New Roman"/>
                <w:color w:val="auto"/>
                <w:sz w:val="24"/>
                <w:szCs w:val="24"/>
                <w:highlight w:val="none"/>
                <w:lang w:eastAsia="zh-CN"/>
              </w:rPr>
              <w:t>碱法脱硫塔内脱硫废水</w:t>
            </w:r>
            <w:r>
              <w:rPr>
                <w:rFonts w:hint="default" w:ascii="Times New Roman" w:hAnsi="Times New Roman" w:eastAsia="宋体" w:cs="Times New Roman"/>
                <w:color w:val="auto"/>
                <w:sz w:val="24"/>
                <w:szCs w:val="24"/>
                <w:highlight w:val="none"/>
              </w:rPr>
              <w:t>循环使用，不外排</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highlight w:val="none"/>
                <w:lang w:val="en-US" w:eastAsia="zh-CN"/>
              </w:rPr>
            </w:pPr>
            <w:r>
              <w:rPr>
                <w:rFonts w:hint="default" w:ascii="Times New Roman" w:hAnsi="Times New Roman" w:eastAsia="宋体" w:cs="Times New Roman"/>
                <w:color w:val="auto"/>
                <w:highlight w:val="none"/>
              </w:rPr>
              <w:object>
                <v:shape id="_x0000_i1027" o:spt="75" type="#_x0000_t75" style="height:278.45pt;width:394.2pt;" o:ole="t" filled="f" o:preferrelative="t" stroked="f" coordsize="21600,21600">
                  <v:path/>
                  <v:fill on="f" focussize="0,0"/>
                  <v:stroke on="f"/>
                  <v:imagedata r:id="rId15" o:title=""/>
                  <o:lock v:ext="edit" aspectratio="f"/>
                  <w10:wrap type="none"/>
                  <w10:anchorlock/>
                </v:shape>
                <o:OLEObject Type="Embed" ProgID="Visio.Drawing.11" ShapeID="_x0000_i1027" DrawAspect="Content" ObjectID="_1468075727" r:id="rId14">
                  <o:LockedField>false</o:LockedField>
                </o:OLEObject>
              </w:object>
            </w:r>
          </w:p>
          <w:p>
            <w:pPr>
              <w:bidi w:val="0"/>
              <w:jc w:val="center"/>
              <w:rPr>
                <w:rFonts w:hint="default"/>
                <w:b/>
                <w:bCs/>
                <w:color w:val="auto"/>
                <w:highlight w:val="none"/>
                <w:lang w:val="en-US" w:eastAsia="zh-CN"/>
              </w:rPr>
            </w:pPr>
            <w:r>
              <w:rPr>
                <w:rFonts w:hint="eastAsia"/>
                <w:b/>
                <w:bCs/>
                <w:color w:val="auto"/>
                <w:highlight w:val="none"/>
                <w:lang w:val="en-US" w:eastAsia="zh-CN"/>
              </w:rPr>
              <w:t>图3  改建项目水平衡图  单位：m</w:t>
            </w:r>
            <w:r>
              <w:rPr>
                <w:rFonts w:hint="eastAsia"/>
                <w:b/>
                <w:bCs/>
                <w:color w:val="auto"/>
                <w:highlight w:val="none"/>
                <w:vertAlign w:val="superscript"/>
                <w:lang w:val="en-US" w:eastAsia="zh-CN"/>
              </w:rPr>
              <w:t>3</w:t>
            </w:r>
            <w:r>
              <w:rPr>
                <w:rFonts w:hint="eastAsia"/>
                <w:b/>
                <w:bCs/>
                <w:color w:val="auto"/>
                <w:highlight w:val="none"/>
                <w:lang w:val="en-US" w:eastAsia="zh-CN"/>
              </w:rPr>
              <w:t>/d</w:t>
            </w:r>
          </w:p>
          <w:p>
            <w:pPr>
              <w:bidi w:val="0"/>
              <w:rPr>
                <w:rFonts w:hint="default" w:eastAsia="宋体"/>
                <w:b/>
                <w:bCs/>
                <w:color w:val="auto"/>
                <w:highlight w:val="none"/>
                <w:lang w:val="en-US" w:eastAsia="zh-CN"/>
              </w:rPr>
            </w:pPr>
            <w:r>
              <w:rPr>
                <w:rFonts w:hint="eastAsia"/>
                <w:b/>
                <w:bCs/>
                <w:color w:val="auto"/>
                <w:highlight w:val="none"/>
                <w:lang w:val="en-US" w:eastAsia="zh-CN"/>
              </w:rPr>
              <w:t>2.4.3供电</w:t>
            </w:r>
          </w:p>
          <w:p>
            <w:pPr>
              <w:bidi w:val="0"/>
              <w:rPr>
                <w:rFonts w:hint="default" w:eastAsia="宋体"/>
                <w:color w:val="auto"/>
                <w:highlight w:val="none"/>
                <w:lang w:val="en-US" w:eastAsia="zh-CN"/>
              </w:rPr>
            </w:pPr>
            <w:r>
              <w:rPr>
                <w:rFonts w:hint="eastAsia"/>
                <w:color w:val="auto"/>
                <w:highlight w:val="none"/>
                <w:lang w:val="en-US" w:eastAsia="zh-CN"/>
              </w:rPr>
              <w:t>改建项目用电由小佘太镇电网接入供给，用电量为360万kwh/a。</w:t>
            </w:r>
          </w:p>
          <w:p>
            <w:pPr>
              <w:bidi w:val="0"/>
              <w:rPr>
                <w:rFonts w:hint="default" w:eastAsia="宋体"/>
                <w:b/>
                <w:bCs/>
                <w:color w:val="auto"/>
                <w:highlight w:val="none"/>
                <w:lang w:val="en-US" w:eastAsia="zh-CN"/>
              </w:rPr>
            </w:pPr>
            <w:r>
              <w:rPr>
                <w:rFonts w:hint="eastAsia"/>
                <w:b/>
                <w:bCs/>
                <w:color w:val="auto"/>
                <w:highlight w:val="none"/>
                <w:lang w:val="en-US" w:eastAsia="zh-CN"/>
              </w:rPr>
              <w:t>2.4.4供暖</w:t>
            </w:r>
          </w:p>
          <w:p>
            <w:pPr>
              <w:bidi w:val="0"/>
              <w:rPr>
                <w:rFonts w:hint="default" w:eastAsia="宋体"/>
                <w:color w:val="auto"/>
                <w:highlight w:val="none"/>
                <w:lang w:val="en-US" w:eastAsia="zh-CN"/>
              </w:rPr>
            </w:pPr>
            <w:r>
              <w:rPr>
                <w:rFonts w:hint="eastAsia"/>
                <w:color w:val="auto"/>
                <w:highlight w:val="none"/>
                <w:lang w:val="en-US" w:eastAsia="zh-CN"/>
              </w:rPr>
              <w:t>改建</w:t>
            </w:r>
            <w:r>
              <w:rPr>
                <w:rFonts w:hint="eastAsia"/>
                <w:color w:val="auto"/>
                <w:kern w:val="0"/>
                <w:sz w:val="24"/>
                <w:szCs w:val="24"/>
                <w:highlight w:val="none"/>
                <w:lang w:val="en-US" w:eastAsia="zh-CN"/>
              </w:rPr>
              <w:t>项目</w:t>
            </w:r>
            <w:r>
              <w:rPr>
                <w:rFonts w:hint="eastAsia" w:ascii="Times New Roman" w:hAnsi="Times New Roman"/>
                <w:color w:val="auto"/>
                <w:kern w:val="0"/>
                <w:sz w:val="24"/>
                <w:szCs w:val="24"/>
                <w:highlight w:val="none"/>
              </w:rPr>
              <w:t>冬季</w:t>
            </w:r>
            <w:r>
              <w:rPr>
                <w:rFonts w:hint="eastAsia"/>
                <w:color w:val="auto"/>
                <w:kern w:val="0"/>
                <w:sz w:val="24"/>
                <w:szCs w:val="24"/>
                <w:highlight w:val="none"/>
                <w:lang w:eastAsia="zh-CN"/>
              </w:rPr>
              <w:t>采用</w:t>
            </w:r>
            <w:r>
              <w:rPr>
                <w:rFonts w:hint="eastAsia"/>
                <w:color w:val="auto"/>
                <w:kern w:val="0"/>
                <w:sz w:val="24"/>
                <w:szCs w:val="24"/>
                <w:highlight w:val="none"/>
                <w:lang w:val="en-US" w:eastAsia="zh-CN"/>
              </w:rPr>
              <w:t>生物质燃料热水锅炉</w:t>
            </w:r>
            <w:r>
              <w:rPr>
                <w:rFonts w:hint="eastAsia"/>
                <w:color w:val="auto"/>
                <w:kern w:val="0"/>
                <w:sz w:val="24"/>
                <w:szCs w:val="24"/>
                <w:highlight w:val="none"/>
                <w:lang w:eastAsia="zh-CN"/>
              </w:rPr>
              <w:t>供暖；</w:t>
            </w:r>
            <w:r>
              <w:rPr>
                <w:rFonts w:hint="eastAsia"/>
                <w:color w:val="auto"/>
                <w:kern w:val="0"/>
                <w:sz w:val="24"/>
                <w:szCs w:val="24"/>
                <w:highlight w:val="none"/>
                <w:lang w:val="en-US" w:eastAsia="zh-CN"/>
              </w:rPr>
              <w:t>生物质燃料热水锅炉出现故障不能及时提供热源时，启动备用设备燃煤锅炉。</w:t>
            </w:r>
          </w:p>
          <w:p>
            <w:pPr>
              <w:bidi w:val="0"/>
              <w:rPr>
                <w:rFonts w:hint="default" w:eastAsia="宋体"/>
                <w:b/>
                <w:bCs/>
                <w:color w:val="auto"/>
                <w:highlight w:val="none"/>
                <w:lang w:val="en-US" w:eastAsia="zh-CN"/>
              </w:rPr>
            </w:pPr>
            <w:r>
              <w:rPr>
                <w:rFonts w:hint="eastAsia"/>
                <w:b/>
                <w:bCs/>
                <w:color w:val="auto"/>
                <w:highlight w:val="none"/>
                <w:lang w:val="en-US" w:eastAsia="zh-CN"/>
              </w:rPr>
              <w:t>2.5劳动定员及工作制度</w:t>
            </w:r>
          </w:p>
          <w:p>
            <w:pPr>
              <w:bidi w:val="0"/>
              <w:rPr>
                <w:rFonts w:hint="default" w:eastAsia="宋体"/>
                <w:color w:val="auto"/>
                <w:highlight w:val="none"/>
                <w:lang w:val="en-US" w:eastAsia="zh-CN"/>
              </w:rPr>
            </w:pPr>
            <w:r>
              <w:rPr>
                <w:rFonts w:hint="eastAsia"/>
                <w:color w:val="auto"/>
                <w:highlight w:val="none"/>
                <w:lang w:val="en-US" w:eastAsia="zh-CN"/>
              </w:rPr>
              <w:t>改建项目不新增劳动定员，仍为8人，年工作时间为180天，实行三班制，每班工作8小时，全年工作时间为4320h。</w:t>
            </w:r>
          </w:p>
          <w:p>
            <w:pPr>
              <w:bidi w:val="0"/>
              <w:rPr>
                <w:rFonts w:hint="default"/>
                <w:b/>
                <w:bCs/>
                <w:color w:val="auto"/>
                <w:highlight w:val="none"/>
              </w:rPr>
            </w:pPr>
            <w:r>
              <w:rPr>
                <w:rFonts w:hint="eastAsia"/>
                <w:b/>
                <w:bCs/>
                <w:color w:val="auto"/>
                <w:highlight w:val="none"/>
                <w:lang w:val="en-US" w:eastAsia="zh-CN"/>
              </w:rPr>
              <w:t>2.6</w:t>
            </w:r>
            <w:r>
              <w:rPr>
                <w:rFonts w:hint="default"/>
                <w:b/>
                <w:bCs/>
                <w:color w:val="auto"/>
                <w:highlight w:val="none"/>
              </w:rPr>
              <w:t>厂区平面布置</w:t>
            </w:r>
          </w:p>
          <w:p>
            <w:pPr>
              <w:widowControl/>
              <w:adjustRightInd w:val="0"/>
              <w:snapToGrid w:val="0"/>
              <w:ind w:firstLine="480"/>
              <w:jc w:val="left"/>
              <w:rPr>
                <w:rFonts w:hint="default" w:ascii="Times New Roman" w:hAnsi="Times New Roman" w:eastAsia="宋体" w:cs="Times New Roman"/>
                <w:color w:val="auto"/>
                <w:highlight w:val="none"/>
                <w:lang w:eastAsia="zh-CN"/>
              </w:rPr>
            </w:pPr>
            <w:r>
              <w:rPr>
                <w:rFonts w:hint="eastAsia"/>
                <w:color w:val="auto"/>
                <w:highlight w:val="none"/>
                <w:lang w:val="en-US" w:eastAsia="zh-CN"/>
              </w:rPr>
              <w:t>改建</w:t>
            </w:r>
            <w:r>
              <w:rPr>
                <w:rFonts w:hint="default" w:ascii="Times New Roman" w:hAnsi="Times New Roman" w:eastAsia="宋体" w:cs="Times New Roman"/>
                <w:color w:val="auto"/>
                <w:highlight w:val="none"/>
              </w:rPr>
              <w:t>项目位于内蒙古巴彦淖尔市乌拉特前旗</w:t>
            </w:r>
            <w:r>
              <w:rPr>
                <w:rFonts w:hint="eastAsia" w:cs="Times New Roman"/>
                <w:color w:val="auto"/>
                <w:highlight w:val="none"/>
                <w:lang w:val="en-US" w:eastAsia="zh-CN"/>
              </w:rPr>
              <w:t>小佘太镇张二口村书记沟矿区</w:t>
            </w:r>
            <w:r>
              <w:rPr>
                <w:rFonts w:hint="default" w:ascii="Times New Roman" w:hAnsi="Times New Roman" w:eastAsia="宋体" w:cs="Times New Roman"/>
                <w:color w:val="auto"/>
                <w:highlight w:val="none"/>
                <w:lang w:eastAsia="zh-CN"/>
              </w:rPr>
              <w:t>，</w:t>
            </w:r>
            <w:r>
              <w:rPr>
                <w:rFonts w:hint="eastAsia" w:cs="Times New Roman"/>
                <w:color w:val="auto"/>
                <w:highlight w:val="none"/>
                <w:lang w:eastAsia="zh-CN"/>
              </w:rPr>
              <w:t>改建</w:t>
            </w:r>
            <w:r>
              <w:rPr>
                <w:rFonts w:hint="default" w:ascii="Times New Roman" w:hAnsi="Times New Roman" w:eastAsia="宋体" w:cs="Times New Roman"/>
                <w:color w:val="auto"/>
                <w:highlight w:val="none"/>
                <w:lang w:eastAsia="zh-CN"/>
              </w:rPr>
              <w:t>后不新增占地</w:t>
            </w:r>
            <w:r>
              <w:rPr>
                <w:rFonts w:hint="default" w:ascii="Times New Roman" w:hAnsi="Times New Roman" w:eastAsia="宋体" w:cs="Times New Roman"/>
                <w:color w:val="auto"/>
                <w:highlight w:val="none"/>
              </w:rPr>
              <w:t>。厂区总体分为生产区和生活区。</w:t>
            </w:r>
            <w:r>
              <w:rPr>
                <w:rFonts w:hint="eastAsia" w:ascii="Times New Roman" w:hAnsi="Times New Roman" w:eastAsia="宋体" w:cs="Times New Roman"/>
                <w:color w:val="auto"/>
                <w:highlight w:val="none"/>
                <w:lang w:eastAsia="zh-CN"/>
              </w:rPr>
              <w:t>本</w:t>
            </w:r>
            <w:r>
              <w:rPr>
                <w:rFonts w:hint="default" w:ascii="Times New Roman" w:hAnsi="Times New Roman" w:eastAsia="宋体" w:cs="Times New Roman"/>
                <w:color w:val="auto"/>
                <w:highlight w:val="none"/>
              </w:rPr>
              <w:t>项目</w:t>
            </w:r>
            <w:r>
              <w:rPr>
                <w:rFonts w:hint="eastAsia" w:cs="Times New Roman"/>
                <w:color w:val="auto"/>
                <w:highlight w:val="none"/>
                <w:lang w:eastAsia="zh-CN"/>
              </w:rPr>
              <w:t>改建</w:t>
            </w:r>
            <w:r>
              <w:rPr>
                <w:rFonts w:hint="eastAsia" w:ascii="Times New Roman" w:hAnsi="Times New Roman" w:eastAsia="宋体" w:cs="Times New Roman"/>
                <w:color w:val="auto"/>
                <w:highlight w:val="none"/>
                <w:lang w:eastAsia="zh-CN"/>
              </w:rPr>
              <w:t>位于厂区</w:t>
            </w:r>
            <w:r>
              <w:rPr>
                <w:rFonts w:hint="eastAsia" w:cs="Times New Roman"/>
                <w:color w:val="auto"/>
                <w:highlight w:val="none"/>
                <w:lang w:val="en-US" w:eastAsia="zh-CN"/>
              </w:rPr>
              <w:t>的锅炉房内</w:t>
            </w:r>
            <w:r>
              <w:rPr>
                <w:rFonts w:hint="eastAsia" w:ascii="Times New Roman" w:hAnsi="Times New Roman" w:eastAsia="宋体" w:cs="Times New Roman"/>
                <w:color w:val="auto"/>
                <w:highlight w:val="none"/>
                <w:lang w:eastAsia="zh-CN"/>
              </w:rPr>
              <w:t>。</w:t>
            </w:r>
            <w:r>
              <w:rPr>
                <w:rFonts w:hint="eastAsia" w:cs="Times New Roman"/>
                <w:color w:val="auto"/>
                <w:highlight w:val="none"/>
                <w:lang w:val="en-US" w:eastAsia="zh-CN"/>
              </w:rPr>
              <w:t>项目厂区平面布置图见附图2。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07" w:type="dxa"/>
            <w:vAlign w:val="center"/>
          </w:tcPr>
          <w:p>
            <w:pPr>
              <w:pStyle w:val="15"/>
              <w:adjustRightInd w:val="0"/>
              <w:snapToGrid w:val="0"/>
              <w:spacing w:before="0" w:beforeAutospacing="0" w:after="0" w:afterAutospacing="0"/>
              <w:ind w:firstLine="0" w:firstLineChars="0"/>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b/>
                <w:bCs/>
                <w:color w:val="auto"/>
                <w:szCs w:val="24"/>
                <w:highlight w:val="none"/>
              </w:rPr>
              <w:t>工艺流程和产排污环节</w:t>
            </w:r>
          </w:p>
        </w:tc>
        <w:tc>
          <w:tcPr>
            <w:tcW w:w="8158" w:type="dxa"/>
          </w:tcPr>
          <w:p>
            <w:pPr>
              <w:bidi w:val="0"/>
              <w:rPr>
                <w:rFonts w:hint="default"/>
                <w:b/>
                <w:bCs/>
                <w:color w:val="auto"/>
                <w:highlight w:val="none"/>
                <w:lang w:val="en-US" w:eastAsia="zh-CN"/>
              </w:rPr>
            </w:pPr>
            <w:r>
              <w:rPr>
                <w:rFonts w:hint="eastAsia"/>
                <w:b/>
                <w:bCs/>
                <w:color w:val="auto"/>
                <w:highlight w:val="none"/>
                <w:lang w:val="en-US" w:eastAsia="zh-CN"/>
              </w:rPr>
              <w:t>1、改建项目生产工艺流程及产排污环节</w:t>
            </w:r>
          </w:p>
          <w:p>
            <w:pPr>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1.1生物质热水锅炉运行工艺</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生物质</w:t>
            </w:r>
            <w:r>
              <w:rPr>
                <w:rFonts w:hint="default" w:ascii="Times New Roman" w:hAnsi="Times New Roman" w:eastAsia="宋体" w:cs="Times New Roman"/>
                <w:color w:val="auto"/>
                <w:sz w:val="24"/>
                <w:szCs w:val="24"/>
                <w:highlight w:val="none"/>
              </w:rPr>
              <w:t>热水锅炉是利用燃料</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本项目采用</w:t>
            </w:r>
            <w:r>
              <w:rPr>
                <w:rFonts w:hint="default" w:ascii="Times New Roman" w:hAnsi="Times New Roman" w:eastAsia="宋体" w:cs="Times New Roman"/>
                <w:color w:val="auto"/>
                <w:sz w:val="24"/>
                <w:szCs w:val="24"/>
                <w:highlight w:val="none"/>
                <w:lang w:eastAsia="zh-CN"/>
              </w:rPr>
              <w:t>生物质</w:t>
            </w:r>
            <w:r>
              <w:rPr>
                <w:rFonts w:hint="default" w:ascii="Times New Roman" w:hAnsi="Times New Roman" w:eastAsia="宋体" w:cs="Times New Roman"/>
                <w:color w:val="auto"/>
                <w:sz w:val="24"/>
                <w:szCs w:val="24"/>
                <w:highlight w:val="none"/>
                <w:lang w:val="en-US" w:eastAsia="zh-CN"/>
              </w:rPr>
              <w:t>燃料</w:t>
            </w:r>
            <w:r>
              <w:rPr>
                <w:rFonts w:hint="default" w:ascii="Times New Roman" w:hAnsi="Times New Roman" w:eastAsia="宋体" w:cs="Times New Roman"/>
                <w:color w:val="auto"/>
                <w:sz w:val="24"/>
                <w:szCs w:val="24"/>
                <w:highlight w:val="none"/>
              </w:rPr>
              <w:t>）燃烧释放的热能对容器内的水进行加热，使水达到所需温度</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热水</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的一种热力设备。</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它是由锅炉本体附件仪表及附属设备构成的一个整体。锅炉在锅与炉两部分同时进行，生水进入锅炉以后，锅炉受热面将吸收的热量传递给水，把水加热成一定温度给用户生产供暖使用。燃烧机不断的燃烧燃料不断的放出热量，燃烧中产生的高温烟气通过热的传播，可以将热量传递给锅炉受热面，而本身温度逐渐降低，最后经过烟囱排出。锅与炉分工进行工作，一个吸热，一个放热，完美的配合是密切联系的一个整体设备，缺一不可。</w:t>
            </w:r>
          </w:p>
          <w:p>
            <w:pPr>
              <w:spacing w:line="360" w:lineRule="auto"/>
              <w:ind w:firstLine="480" w:firstLineChars="200"/>
              <w:rPr>
                <w:rFonts w:hint="eastAsia"/>
                <w:color w:val="auto"/>
                <w:highlight w:val="none"/>
              </w:rPr>
            </w:pPr>
            <w:r>
              <w:rPr>
                <w:rFonts w:hint="default" w:ascii="Times New Roman" w:hAnsi="Times New Roman" w:eastAsia="宋体" w:cs="Times New Roman"/>
                <w:color w:val="auto"/>
                <w:sz w:val="24"/>
                <w:szCs w:val="24"/>
                <w:highlight w:val="none"/>
              </w:rPr>
              <w:t>热水锅炉在运行中由循环泵作动力。将水不断的的循环流动，不停的将受热面吸收的热量全部传递给生水，使受热面得到良好的冷却，使水升温足部加快，从而保证了锅炉受热面在高温条件下安全的工作</w:t>
            </w:r>
            <w:r>
              <w:rPr>
                <w:rFonts w:hint="eastAsia"/>
                <w:color w:val="auto"/>
                <w:highlight w:val="none"/>
              </w:rPr>
              <w:t>。</w:t>
            </w:r>
          </w:p>
          <w:p>
            <w:pPr>
              <w:bidi w:val="0"/>
              <w:rPr>
                <w:rFonts w:hint="default"/>
                <w:color w:val="auto"/>
                <w:highlight w:val="none"/>
                <w:lang w:val="en-US" w:eastAsia="zh-CN"/>
              </w:rPr>
            </w:pPr>
            <w:r>
              <w:rPr>
                <w:rFonts w:hint="eastAsia"/>
                <w:color w:val="auto"/>
                <w:highlight w:val="none"/>
                <w:lang w:val="en-US" w:eastAsia="zh-CN"/>
              </w:rPr>
              <w:t>工艺流程图见下图</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highlight w:val="none"/>
                <w:lang w:val="en-US" w:eastAsia="zh-CN"/>
              </w:rPr>
            </w:pPr>
            <w:r>
              <w:rPr>
                <w:rFonts w:hint="default"/>
                <w:b/>
                <w:bCs/>
                <w:color w:val="auto"/>
                <w:highlight w:val="none"/>
                <w:lang w:eastAsia="zh-CN"/>
              </w:rPr>
              <w:object>
                <v:shape id="_x0000_i1028" o:spt="75" type="#_x0000_t75" style="height:309.75pt;width:396.55pt;" o:ole="t" filled="f" o:preferrelative="t" stroked="f" coordsize="21600,21600">
                  <v:path/>
                  <v:fill on="f" focussize="0,0"/>
                  <v:stroke on="f"/>
                  <v:imagedata r:id="rId17" o:title=""/>
                  <o:lock v:ext="edit" aspectratio="f"/>
                  <w10:wrap type="none"/>
                  <w10:anchorlock/>
                </v:shape>
                <o:OLEObject Type="Embed" ProgID="Visio.Drawing.11" ShapeID="_x0000_i1028" DrawAspect="Content" ObjectID="_1468075728" r:id="rId16">
                  <o:LockedField>false</o:LockedField>
                </o:OLEObject>
              </w:object>
            </w:r>
            <w:r>
              <w:rPr>
                <w:rFonts w:hint="default"/>
                <w:b/>
                <w:bCs/>
                <w:color w:val="auto"/>
                <w:highlight w:val="none"/>
                <w:lang w:eastAsia="zh-CN"/>
              </w:rPr>
              <w:t>图</w:t>
            </w:r>
            <w:r>
              <w:rPr>
                <w:rFonts w:hint="eastAsia"/>
                <w:b/>
                <w:bCs/>
                <w:color w:val="auto"/>
                <w:highlight w:val="none"/>
                <w:lang w:val="en-US" w:eastAsia="zh-CN"/>
              </w:rPr>
              <w:t xml:space="preserve">4 </w:t>
            </w:r>
            <w:r>
              <w:rPr>
                <w:rFonts w:hint="default"/>
                <w:b/>
                <w:bCs/>
                <w:color w:val="auto"/>
                <w:highlight w:val="none"/>
                <w:lang w:val="en-US" w:eastAsia="zh-CN"/>
              </w:rPr>
              <w:t xml:space="preserve"> </w:t>
            </w:r>
            <w:r>
              <w:rPr>
                <w:rFonts w:hint="eastAsia"/>
                <w:b/>
                <w:bCs/>
                <w:color w:val="auto"/>
                <w:highlight w:val="none"/>
                <w:lang w:val="en-US" w:eastAsia="zh-CN"/>
              </w:rPr>
              <w:t>项目</w:t>
            </w:r>
            <w:r>
              <w:rPr>
                <w:rFonts w:hint="default"/>
                <w:b/>
                <w:bCs/>
                <w:color w:val="auto"/>
                <w:highlight w:val="none"/>
                <w:lang w:val="en-US" w:eastAsia="zh-CN"/>
              </w:rPr>
              <w:t>工艺产排污节点图</w:t>
            </w:r>
          </w:p>
          <w:p>
            <w:pPr>
              <w:keepNext w:val="0"/>
              <w:keepLines w:val="0"/>
              <w:pageBreakBefore w:val="0"/>
              <w:widowControl w:val="0"/>
              <w:kinsoku/>
              <w:wordWrap/>
              <w:overflowPunct/>
              <w:topLinePunct w:val="0"/>
              <w:bidi w:val="0"/>
              <w:spacing w:line="360" w:lineRule="auto"/>
              <w:ind w:left="0" w:leftChars="0"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本项目</w:t>
            </w:r>
            <w:r>
              <w:rPr>
                <w:rFonts w:hint="default" w:ascii="Times New Roman" w:hAnsi="Times New Roman" w:eastAsia="宋体" w:cs="Times New Roman"/>
                <w:b/>
                <w:color w:val="auto"/>
                <w:sz w:val="24"/>
                <w:szCs w:val="24"/>
                <w:highlight w:val="none"/>
                <w:lang w:eastAsia="zh-CN"/>
              </w:rPr>
              <w:t>生物质热水锅炉</w:t>
            </w:r>
            <w:r>
              <w:rPr>
                <w:rFonts w:hint="default" w:ascii="Times New Roman" w:hAnsi="Times New Roman" w:eastAsia="宋体" w:cs="Times New Roman"/>
                <w:b/>
                <w:color w:val="auto"/>
                <w:sz w:val="24"/>
                <w:szCs w:val="24"/>
                <w:highlight w:val="none"/>
              </w:rPr>
              <w:t>技术参数</w:t>
            </w:r>
          </w:p>
          <w:p>
            <w:pPr>
              <w:keepNext w:val="0"/>
              <w:keepLines w:val="0"/>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型号：</w:t>
            </w:r>
            <w:r>
              <w:rPr>
                <w:rFonts w:hint="default" w:ascii="Times New Roman" w:hAnsi="Times New Roman" w:eastAsia="宋体" w:cs="Times New Roman"/>
                <w:color w:val="auto"/>
                <w:sz w:val="24"/>
                <w:szCs w:val="24"/>
                <w:highlight w:val="none"/>
                <w:vertAlign w:val="baseline"/>
                <w:lang w:val="en-US" w:eastAsia="zh-CN"/>
              </w:rPr>
              <w:t>SZL5.6-1.25/115/70-SCⅡ</w:t>
            </w:r>
          </w:p>
          <w:p>
            <w:pPr>
              <w:keepNext w:val="0"/>
              <w:keepLines w:val="0"/>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额定热功率：</w:t>
            </w:r>
            <w:r>
              <w:rPr>
                <w:rFonts w:hint="eastAsia" w:cs="Times New Roman"/>
                <w:color w:val="auto"/>
                <w:sz w:val="24"/>
                <w:szCs w:val="24"/>
                <w:highlight w:val="none"/>
                <w:lang w:val="en-US" w:eastAsia="zh-CN"/>
              </w:rPr>
              <w:t>5.6MW</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额定工作压力：</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 xml:space="preserve">0 MPa </w:t>
            </w:r>
          </w:p>
          <w:p>
            <w:pPr>
              <w:keepNext w:val="0"/>
              <w:keepLines w:val="0"/>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额定出水温度：</w:t>
            </w:r>
            <w:r>
              <w:rPr>
                <w:rFonts w:hint="default" w:ascii="Times New Roman" w:hAnsi="Times New Roman" w:eastAsia="宋体" w:cs="Times New Roman"/>
                <w:color w:val="auto"/>
                <w:sz w:val="24"/>
                <w:szCs w:val="24"/>
                <w:highlight w:val="none"/>
                <w:lang w:val="en-US" w:eastAsia="zh-CN"/>
              </w:rPr>
              <w:t>95</w:t>
            </w:r>
            <w:r>
              <w:rPr>
                <w:rFonts w:hint="default" w:ascii="Times New Roman" w:hAnsi="Times New Roman" w:eastAsia="宋体" w:cs="Times New Roman"/>
                <w:color w:val="auto"/>
                <w:sz w:val="24"/>
                <w:szCs w:val="24"/>
                <w:highlight w:val="none"/>
              </w:rPr>
              <w:t xml:space="preserve"> ℃           </w:t>
            </w:r>
            <w:r>
              <w:rPr>
                <w:rFonts w:hint="eastAsia"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额定回水温度：</w:t>
            </w:r>
            <w:r>
              <w:rPr>
                <w:rFonts w:hint="default" w:ascii="Times New Roman" w:hAnsi="Times New Roman" w:eastAsia="宋体" w:cs="Times New Roman"/>
                <w:color w:val="auto"/>
                <w:sz w:val="24"/>
                <w:szCs w:val="24"/>
                <w:highlight w:val="none"/>
                <w:lang w:val="en-US" w:eastAsia="zh-CN"/>
              </w:rPr>
              <w:t>70</w:t>
            </w:r>
            <w:r>
              <w:rPr>
                <w:rFonts w:hint="default" w:ascii="Times New Roman" w:hAnsi="Times New Roman" w:eastAsia="宋体" w:cs="Times New Roman"/>
                <w:color w:val="auto"/>
                <w:sz w:val="24"/>
                <w:szCs w:val="24"/>
                <w:highlight w:val="none"/>
              </w:rPr>
              <w:t xml:space="preserve"> ℃</w:t>
            </w:r>
          </w:p>
          <w:p>
            <w:pPr>
              <w:keepNext w:val="0"/>
              <w:keepLines w:val="0"/>
              <w:pageBreakBefore w:val="0"/>
              <w:widowControl w:val="0"/>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设计燃料：生物质            </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燃料消耗量；</w:t>
            </w:r>
            <w:r>
              <w:rPr>
                <w:rFonts w:hint="eastAsia" w:cs="Times New Roman"/>
                <w:color w:val="auto"/>
                <w:sz w:val="24"/>
                <w:szCs w:val="24"/>
                <w:highlight w:val="none"/>
                <w:lang w:val="en-US" w:eastAsia="zh-CN"/>
              </w:rPr>
              <w:t>2574</w:t>
            </w:r>
            <w:r>
              <w:rPr>
                <w:rFonts w:hint="default" w:ascii="Times New Roman" w:hAnsi="Times New Roman" w:eastAsia="宋体" w:cs="Times New Roman"/>
                <w:color w:val="auto"/>
                <w:sz w:val="24"/>
                <w:szCs w:val="24"/>
                <w:highlight w:val="none"/>
                <w:lang w:val="en-US" w:eastAsia="zh-CN"/>
              </w:rPr>
              <w:t>t/a</w:t>
            </w:r>
            <w:r>
              <w:rPr>
                <w:rFonts w:hint="default" w:ascii="Times New Roman" w:hAnsi="Times New Roman" w:eastAsia="宋体" w:cs="Times New Roman"/>
                <w:color w:val="auto"/>
                <w:sz w:val="24"/>
                <w:szCs w:val="24"/>
                <w:highlight w:val="none"/>
              </w:rPr>
              <w:t xml:space="preserve"> </w:t>
            </w:r>
          </w:p>
          <w:p>
            <w:pPr>
              <w:bidi w:val="0"/>
              <w:rPr>
                <w:rFonts w:hint="default"/>
                <w:b/>
                <w:bCs/>
                <w:color w:val="auto"/>
                <w:highlight w:val="none"/>
                <w:lang w:val="en-US" w:eastAsia="zh-CN"/>
              </w:rPr>
            </w:pPr>
            <w:r>
              <w:rPr>
                <w:rFonts w:hint="eastAsia"/>
                <w:b/>
                <w:bCs/>
                <w:color w:val="auto"/>
                <w:highlight w:val="none"/>
                <w:lang w:val="en-US" w:eastAsia="zh-CN"/>
              </w:rPr>
              <w:t>1.2软水制备工艺</w:t>
            </w:r>
          </w:p>
          <w:p>
            <w:pPr>
              <w:keepNext w:val="0"/>
              <w:keepLines w:val="0"/>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软水制备系统采用</w:t>
            </w:r>
            <w:r>
              <w:rPr>
                <w:rFonts w:hint="default" w:ascii="Times New Roman" w:hAnsi="Times New Roman" w:eastAsia="宋体" w:cs="Times New Roman"/>
                <w:color w:val="auto"/>
                <w:kern w:val="0"/>
                <w:sz w:val="24"/>
                <w:szCs w:val="24"/>
                <w:highlight w:val="none"/>
              </w:rPr>
              <w:t>离子交换树脂法软化处理</w:t>
            </w:r>
            <w:r>
              <w:rPr>
                <w:rFonts w:hint="default" w:ascii="Times New Roman" w:hAnsi="Times New Roman" w:eastAsia="宋体" w:cs="Times New Roman"/>
                <w:color w:val="auto"/>
                <w:sz w:val="24"/>
                <w:szCs w:val="24"/>
                <w:highlight w:val="none"/>
              </w:rPr>
              <w:t>成软水进入锅炉，</w:t>
            </w:r>
            <w:r>
              <w:rPr>
                <w:rFonts w:hint="default" w:ascii="Times New Roman" w:hAnsi="Times New Roman" w:eastAsia="宋体" w:cs="Times New Roman"/>
                <w:color w:val="auto"/>
                <w:sz w:val="24"/>
                <w:szCs w:val="24"/>
                <w:highlight w:val="none"/>
                <w:lang w:eastAsia="zh-CN"/>
              </w:rPr>
              <w:t>生物质燃料</w:t>
            </w:r>
            <w:r>
              <w:rPr>
                <w:rFonts w:hint="default" w:ascii="Times New Roman" w:hAnsi="Times New Roman" w:eastAsia="宋体" w:cs="Times New Roman"/>
                <w:color w:val="auto"/>
                <w:sz w:val="24"/>
                <w:szCs w:val="24"/>
                <w:highlight w:val="none"/>
              </w:rPr>
              <w:t>燃烧产生热量将软水加热后，热水进入</w:t>
            </w:r>
            <w:r>
              <w:rPr>
                <w:rFonts w:hint="default" w:ascii="Times New Roman" w:hAnsi="Times New Roman" w:eastAsia="宋体" w:cs="Times New Roman"/>
                <w:color w:val="auto"/>
                <w:sz w:val="24"/>
                <w:szCs w:val="24"/>
                <w:highlight w:val="none"/>
                <w:lang w:eastAsia="zh-CN"/>
              </w:rPr>
              <w:t>生活区</w:t>
            </w:r>
            <w:r>
              <w:rPr>
                <w:rFonts w:hint="default" w:ascii="Times New Roman" w:hAnsi="Times New Roman" w:eastAsia="宋体" w:cs="Times New Roman"/>
                <w:color w:val="auto"/>
                <w:sz w:val="24"/>
                <w:szCs w:val="24"/>
                <w:highlight w:val="none"/>
              </w:rPr>
              <w:t>供暖管道内，对</w:t>
            </w:r>
            <w:r>
              <w:rPr>
                <w:rFonts w:hint="default" w:ascii="Times New Roman" w:hAnsi="Times New Roman" w:eastAsia="宋体" w:cs="Times New Roman"/>
                <w:color w:val="auto"/>
                <w:sz w:val="24"/>
                <w:szCs w:val="24"/>
                <w:highlight w:val="none"/>
                <w:lang w:eastAsia="zh-CN"/>
              </w:rPr>
              <w:t>生活区</w:t>
            </w:r>
            <w:r>
              <w:rPr>
                <w:rFonts w:hint="default" w:ascii="Times New Roman" w:hAnsi="Times New Roman" w:eastAsia="宋体" w:cs="Times New Roman"/>
                <w:color w:val="auto"/>
                <w:sz w:val="24"/>
                <w:szCs w:val="24"/>
                <w:highlight w:val="none"/>
              </w:rPr>
              <w:t>进行供暖。</w:t>
            </w:r>
          </w:p>
          <w:p>
            <w:pPr>
              <w:keepNext w:val="0"/>
              <w:keepLines w:val="0"/>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本项目软化水采用钠离子交换工艺，设备软化原理：钠离子交换器内装有一定高度的钠型阳离子交换树脂作为交换剂，当硬水自下而上通过树脂层时，水中的钙、镁离子被钠型树脂吸收，而钠型树脂中的钠离子被置换到水中，从而去除原水中的钙、镁离子，使硬水得到了软化。其化学反应方程式为：</w:t>
            </w:r>
          </w:p>
          <w:p>
            <w:pPr>
              <w:keepNext w:val="0"/>
              <w:keepLines w:val="0"/>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Ca</w:t>
            </w:r>
            <w:r>
              <w:rPr>
                <w:rFonts w:hint="default" w:ascii="Times New Roman" w:hAnsi="Times New Roman" w:eastAsia="宋体" w:cs="Times New Roman"/>
                <w:color w:val="auto"/>
                <w:kern w:val="0"/>
                <w:sz w:val="24"/>
                <w:szCs w:val="24"/>
                <w:highlight w:val="none"/>
                <w:vertAlign w:val="superscript"/>
                <w:lang w:bidi="ar"/>
              </w:rPr>
              <w:t>2+</w:t>
            </w:r>
            <w:r>
              <w:rPr>
                <w:rFonts w:hint="default" w:ascii="Times New Roman" w:hAnsi="Times New Roman" w:eastAsia="宋体" w:cs="Times New Roman"/>
                <w:color w:val="auto"/>
                <w:kern w:val="0"/>
                <w:sz w:val="24"/>
                <w:szCs w:val="24"/>
                <w:highlight w:val="none"/>
                <w:lang w:bidi="ar"/>
              </w:rPr>
              <w:t>+2NaR→CaR</w:t>
            </w:r>
            <w:r>
              <w:rPr>
                <w:rFonts w:hint="default" w:ascii="Times New Roman" w:hAnsi="Times New Roman" w:eastAsia="宋体" w:cs="Times New Roman"/>
                <w:color w:val="auto"/>
                <w:kern w:val="0"/>
                <w:sz w:val="24"/>
                <w:szCs w:val="24"/>
                <w:highlight w:val="none"/>
                <w:vertAlign w:val="subscript"/>
                <w:lang w:bidi="ar"/>
              </w:rPr>
              <w:t>2</w:t>
            </w:r>
            <w:r>
              <w:rPr>
                <w:rFonts w:hint="default" w:ascii="Times New Roman" w:hAnsi="Times New Roman" w:eastAsia="宋体" w:cs="Times New Roman"/>
                <w:color w:val="auto"/>
                <w:kern w:val="0"/>
                <w:sz w:val="24"/>
                <w:szCs w:val="24"/>
                <w:highlight w:val="none"/>
                <w:lang w:bidi="ar"/>
              </w:rPr>
              <w:t>+2Na</w:t>
            </w:r>
            <w:r>
              <w:rPr>
                <w:rFonts w:hint="default" w:ascii="Times New Roman" w:hAnsi="Times New Roman" w:eastAsia="宋体" w:cs="Times New Roman"/>
                <w:color w:val="auto"/>
                <w:kern w:val="0"/>
                <w:sz w:val="24"/>
                <w:szCs w:val="24"/>
                <w:highlight w:val="none"/>
                <w:vertAlign w:val="superscript"/>
                <w:lang w:bidi="ar"/>
              </w:rPr>
              <w:t>+</w:t>
            </w:r>
          </w:p>
          <w:p>
            <w:pPr>
              <w:keepNext w:val="0"/>
              <w:keepLines w:val="0"/>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Mg</w:t>
            </w:r>
            <w:r>
              <w:rPr>
                <w:rFonts w:hint="default" w:ascii="Times New Roman" w:hAnsi="Times New Roman" w:eastAsia="宋体" w:cs="Times New Roman"/>
                <w:color w:val="auto"/>
                <w:kern w:val="0"/>
                <w:sz w:val="24"/>
                <w:szCs w:val="24"/>
                <w:highlight w:val="none"/>
                <w:vertAlign w:val="superscript"/>
                <w:lang w:bidi="ar"/>
              </w:rPr>
              <w:t>2+</w:t>
            </w:r>
            <w:r>
              <w:rPr>
                <w:rFonts w:hint="default" w:ascii="Times New Roman" w:hAnsi="Times New Roman" w:eastAsia="宋体" w:cs="Times New Roman"/>
                <w:color w:val="auto"/>
                <w:kern w:val="0"/>
                <w:sz w:val="24"/>
                <w:szCs w:val="24"/>
                <w:highlight w:val="none"/>
                <w:lang w:bidi="ar"/>
              </w:rPr>
              <w:t>+2NaR→MgR</w:t>
            </w:r>
            <w:r>
              <w:rPr>
                <w:rFonts w:hint="default" w:ascii="Times New Roman" w:hAnsi="Times New Roman" w:eastAsia="宋体" w:cs="Times New Roman"/>
                <w:color w:val="auto"/>
                <w:kern w:val="0"/>
                <w:sz w:val="24"/>
                <w:szCs w:val="24"/>
                <w:highlight w:val="none"/>
                <w:vertAlign w:val="subscript"/>
                <w:lang w:bidi="ar"/>
              </w:rPr>
              <w:t>2</w:t>
            </w:r>
            <w:r>
              <w:rPr>
                <w:rFonts w:hint="default" w:ascii="Times New Roman" w:hAnsi="Times New Roman" w:eastAsia="宋体" w:cs="Times New Roman"/>
                <w:color w:val="auto"/>
                <w:kern w:val="0"/>
                <w:sz w:val="24"/>
                <w:szCs w:val="24"/>
                <w:highlight w:val="none"/>
                <w:lang w:bidi="ar"/>
              </w:rPr>
              <w:t>+2Na</w:t>
            </w:r>
            <w:r>
              <w:rPr>
                <w:rFonts w:hint="default" w:ascii="Times New Roman" w:hAnsi="Times New Roman" w:eastAsia="宋体" w:cs="Times New Roman"/>
                <w:color w:val="auto"/>
                <w:kern w:val="0"/>
                <w:sz w:val="24"/>
                <w:szCs w:val="24"/>
                <w:highlight w:val="none"/>
                <w:vertAlign w:val="superscript"/>
                <w:lang w:bidi="ar"/>
              </w:rPr>
              <w:t>+</w:t>
            </w:r>
          </w:p>
          <w:p>
            <w:pPr>
              <w:pStyle w:val="7"/>
              <w:keepNext w:val="0"/>
              <w:keepLines w:val="0"/>
              <w:pageBreakBefore w:val="0"/>
              <w:widowControl w:val="0"/>
              <w:kinsoku/>
              <w:wordWrap/>
              <w:overflowPunct/>
              <w:topLinePunct w:val="0"/>
              <w:bidi w:val="0"/>
              <w:adjustRightInd w:val="0"/>
              <w:snapToGrid w:val="0"/>
              <w:spacing w:line="360" w:lineRule="auto"/>
              <w:ind w:left="0" w:leftChars="0" w:firstLine="480"/>
              <w:textAlignment w:val="auto"/>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bidi="ar"/>
              </w:rPr>
              <w:t>当交换柱内钠型阳离子交换树脂的钠离子逐渐被钙、镁离子所代替，泄露出钙、镁离子时，出水的硬度就超出使用所要求的规定数值；此时数值已失效，要进行再生。再生时将5-10%的盐水由上向下通过交换层，盐液中的钠离子又置换出交换剂树脂吸附的钙、镁离子，使交换剂树脂得到再生，恢复得到再生，恢复其交换能力</w:t>
            </w:r>
            <w:r>
              <w:rPr>
                <w:rFonts w:hint="default" w:ascii="Times New Roman" w:hAnsi="Times New Roman" w:eastAsia="宋体" w:cs="Times New Roman"/>
                <w:color w:val="auto"/>
                <w:kern w:val="0"/>
                <w:sz w:val="24"/>
                <w:szCs w:val="24"/>
                <w:highlight w:val="none"/>
                <w:lang w:eastAsia="zh-CN" w:bidi="ar"/>
              </w:rPr>
              <w:t>。</w:t>
            </w:r>
          </w:p>
          <w:p>
            <w:pPr>
              <w:pStyle w:val="2"/>
              <w:keepNext w:val="0"/>
              <w:keepLines w:val="0"/>
              <w:pageBreakBefore w:val="0"/>
              <w:widowControl w:val="0"/>
              <w:kinsoku/>
              <w:wordWrap/>
              <w:overflowPunct/>
              <w:topLinePunct w:val="0"/>
              <w:bidi w:val="0"/>
              <w:spacing w:after="0" w:afterLines="0" w:line="360" w:lineRule="auto"/>
              <w:ind w:left="0" w:leftChars="0" w:firstLine="480" w:firstLineChars="200"/>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1台</w:t>
            </w:r>
            <w:r>
              <w:rPr>
                <w:rFonts w:hint="eastAsia" w:cs="Times New Roman"/>
                <w:color w:val="auto"/>
                <w:kern w:val="0"/>
                <w:sz w:val="24"/>
                <w:szCs w:val="24"/>
                <w:highlight w:val="none"/>
                <w:lang w:val="en-US" w:eastAsia="zh-CN" w:bidi="ar"/>
              </w:rPr>
              <w:t>8t/h</w:t>
            </w:r>
            <w:r>
              <w:rPr>
                <w:rFonts w:hint="default" w:ascii="Times New Roman" w:hAnsi="Times New Roman" w:eastAsia="宋体" w:cs="Times New Roman"/>
                <w:color w:val="auto"/>
                <w:kern w:val="0"/>
                <w:sz w:val="24"/>
                <w:szCs w:val="24"/>
                <w:highlight w:val="none"/>
                <w:lang w:val="en-US" w:eastAsia="zh-CN" w:bidi="ar"/>
              </w:rPr>
              <w:t>软水制备装置容积为800L，交换树脂的一次充装量为0.6t。一般的水质，交换树脂可使用1-3年左右，本次评价按2年更换1次计。</w:t>
            </w:r>
          </w:p>
          <w:p>
            <w:pPr>
              <w:bidi w:val="0"/>
              <w:rPr>
                <w:rFonts w:hint="default"/>
                <w:b/>
                <w:bCs/>
                <w:color w:val="auto"/>
                <w:highlight w:val="none"/>
                <w:lang w:val="en-US" w:eastAsia="zh-CN"/>
              </w:rPr>
            </w:pPr>
            <w:r>
              <w:rPr>
                <w:rFonts w:hint="eastAsia"/>
                <w:b/>
                <w:bCs/>
                <w:color w:val="auto"/>
                <w:highlight w:val="none"/>
                <w:lang w:val="en-US" w:eastAsia="zh-CN"/>
              </w:rPr>
              <w:t>1.3脱硫除尘工艺</w:t>
            </w:r>
          </w:p>
          <w:p>
            <w:pPr>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w:t>
            </w:r>
            <w:r>
              <w:rPr>
                <w:rFonts w:hint="eastAsia" w:ascii="Times New Roman" w:hAnsi="Times New Roman" w:cs="Times New Roman"/>
                <w:color w:val="auto"/>
                <w:sz w:val="24"/>
                <w:highlight w:val="none"/>
                <w:lang w:val="en-US" w:eastAsia="zh-CN"/>
              </w:rPr>
              <w:t>布袋</w:t>
            </w:r>
            <w:r>
              <w:rPr>
                <w:rFonts w:hint="default" w:ascii="Times New Roman" w:hAnsi="Times New Roman" w:eastAsia="宋体" w:cs="Times New Roman"/>
                <w:color w:val="auto"/>
                <w:sz w:val="24"/>
                <w:highlight w:val="none"/>
                <w:lang w:eastAsia="zh-CN"/>
              </w:rPr>
              <w:t>除尘器除尘原理及工艺流程</w:t>
            </w:r>
          </w:p>
          <w:p>
            <w:pPr>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锅炉废气进入</w:t>
            </w:r>
            <w:r>
              <w:rPr>
                <w:rFonts w:hint="eastAsia" w:ascii="Times New Roman" w:hAnsi="Times New Roman" w:cs="Times New Roman"/>
                <w:color w:val="auto"/>
                <w:sz w:val="24"/>
                <w:highlight w:val="none"/>
                <w:lang w:val="en-US" w:eastAsia="zh-CN"/>
              </w:rPr>
              <w:t>袋式除尘器后均匀分配在各个过滤单元，经滤袋过滤，烟气尘粒被阻隔在滤袋外侧，净化后的气体由滤袋内部进入净气室，汇聚后通过风机排入大气内。</w:t>
            </w:r>
          </w:p>
          <w:p>
            <w:pPr>
              <w:numPr>
                <w:ilvl w:val="0"/>
                <w:numId w:val="3"/>
              </w:numPr>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双</w:t>
            </w:r>
            <w:r>
              <w:rPr>
                <w:rFonts w:hint="default" w:ascii="Times New Roman" w:hAnsi="Times New Roman" w:eastAsia="宋体" w:cs="Times New Roman"/>
                <w:color w:val="auto"/>
                <w:sz w:val="24"/>
                <w:highlight w:val="none"/>
                <w:lang w:eastAsia="zh-CN"/>
              </w:rPr>
              <w:t>碱法脱硫塔</w:t>
            </w:r>
            <w:r>
              <w:rPr>
                <w:rFonts w:hint="default" w:ascii="Times New Roman" w:hAnsi="Times New Roman" w:eastAsia="宋体" w:cs="Times New Roman"/>
                <w:color w:val="auto"/>
                <w:sz w:val="24"/>
                <w:highlight w:val="none"/>
                <w:lang w:val="en-US" w:eastAsia="zh-CN"/>
              </w:rPr>
              <w:t>脱硫</w:t>
            </w:r>
            <w:r>
              <w:rPr>
                <w:rFonts w:hint="default" w:ascii="Times New Roman" w:hAnsi="Times New Roman" w:eastAsia="宋体" w:cs="Times New Roman"/>
                <w:color w:val="auto"/>
                <w:sz w:val="24"/>
                <w:highlight w:val="none"/>
                <w:lang w:eastAsia="zh-CN"/>
              </w:rPr>
              <w:t>除尘原理及工艺流程</w:t>
            </w:r>
          </w:p>
          <w:p>
            <w:pPr>
              <w:bidi w:val="0"/>
              <w:rPr>
                <w:rFonts w:hint="default"/>
                <w:color w:val="auto"/>
                <w:highlight w:val="none"/>
                <w:lang w:val="en-US" w:eastAsia="zh-CN"/>
              </w:rPr>
            </w:pPr>
            <w:r>
              <w:rPr>
                <w:rFonts w:hint="eastAsia"/>
                <w:color w:val="auto"/>
                <w:sz w:val="24"/>
                <w:szCs w:val="24"/>
                <w:highlight w:val="none"/>
                <w:lang w:val="en-US" w:eastAsia="zh-CN"/>
              </w:rPr>
              <w:t>双</w:t>
            </w:r>
            <w:r>
              <w:rPr>
                <w:rFonts w:hint="default"/>
                <w:color w:val="auto"/>
                <w:sz w:val="24"/>
                <w:szCs w:val="24"/>
                <w:highlight w:val="none"/>
                <w:lang w:val="en-US" w:eastAsia="zh-CN"/>
              </w:rPr>
              <w:t>碱法脱硫塔简单来说就是在对工业废气进行脱硫处理系统中的主体设备，因为大多都是塔形形状，所以称</w:t>
            </w:r>
            <w:r>
              <w:rPr>
                <w:rFonts w:hint="eastAsia"/>
                <w:color w:val="auto"/>
                <w:sz w:val="24"/>
                <w:szCs w:val="24"/>
                <w:highlight w:val="none"/>
                <w:lang w:val="en-US" w:eastAsia="zh-CN"/>
              </w:rPr>
              <w:t>双</w:t>
            </w:r>
            <w:r>
              <w:rPr>
                <w:rFonts w:hint="default"/>
                <w:color w:val="auto"/>
                <w:sz w:val="24"/>
                <w:szCs w:val="24"/>
                <w:highlight w:val="none"/>
                <w:lang w:val="en-US" w:eastAsia="zh-CN"/>
              </w:rPr>
              <w:t>碱法脱硫塔。工作原理：</w:t>
            </w:r>
            <w:r>
              <w:rPr>
                <w:color w:val="auto"/>
                <w:sz w:val="24"/>
                <w:szCs w:val="24"/>
                <w:highlight w:val="none"/>
              </w:rPr>
              <w:t>双碱法是采用钠基脱硫剂进行塔内脱硫，由于钠基脱硫剂碱性强，吸收二氧化硫后反应产物</w:t>
            </w:r>
            <w:r>
              <w:rPr>
                <w:rFonts w:hint="default"/>
                <w:color w:val="auto"/>
                <w:sz w:val="24"/>
                <w:szCs w:val="24"/>
                <w:highlight w:val="none"/>
              </w:rPr>
              <w:fldChar w:fldCharType="begin"/>
            </w:r>
            <w:r>
              <w:rPr>
                <w:rFonts w:hint="default"/>
                <w:color w:val="auto"/>
                <w:sz w:val="24"/>
                <w:szCs w:val="24"/>
                <w:highlight w:val="none"/>
              </w:rPr>
              <w:instrText xml:space="preserve"> HYPERLINK "https://baike.so.com/doc/2049215-2168263.html" \t "https://baike.so.com/doc/_blank" </w:instrText>
            </w:r>
            <w:r>
              <w:rPr>
                <w:rFonts w:hint="default"/>
                <w:color w:val="auto"/>
                <w:sz w:val="24"/>
                <w:szCs w:val="24"/>
                <w:highlight w:val="none"/>
              </w:rPr>
              <w:fldChar w:fldCharType="separate"/>
            </w:r>
            <w:r>
              <w:rPr>
                <w:rStyle w:val="21"/>
                <w:rFonts w:hint="default" w:ascii="Arial" w:hAnsi="Arial" w:eastAsia="宋体" w:cs="Arial"/>
                <w:i w:val="0"/>
                <w:iCs w:val="0"/>
                <w:caps w:val="0"/>
                <w:color w:val="auto"/>
                <w:spacing w:val="0"/>
                <w:sz w:val="24"/>
                <w:szCs w:val="24"/>
                <w:highlight w:val="none"/>
                <w:u w:val="none"/>
                <w:shd w:val="clear" w:fill="FFFFFF"/>
              </w:rPr>
              <w:t>溶解度</w:t>
            </w:r>
            <w:r>
              <w:rPr>
                <w:rFonts w:hint="default"/>
                <w:color w:val="auto"/>
                <w:sz w:val="24"/>
                <w:szCs w:val="24"/>
                <w:highlight w:val="none"/>
              </w:rPr>
              <w:fldChar w:fldCharType="end"/>
            </w:r>
            <w:r>
              <w:rPr>
                <w:rFonts w:hint="default"/>
                <w:color w:val="auto"/>
                <w:sz w:val="24"/>
                <w:szCs w:val="24"/>
                <w:highlight w:val="none"/>
              </w:rPr>
              <w:t>大，不会造成</w:t>
            </w:r>
            <w:r>
              <w:rPr>
                <w:rFonts w:hint="default"/>
                <w:color w:val="auto"/>
                <w:sz w:val="24"/>
                <w:szCs w:val="24"/>
                <w:highlight w:val="none"/>
              </w:rPr>
              <w:fldChar w:fldCharType="begin"/>
            </w:r>
            <w:r>
              <w:rPr>
                <w:rFonts w:hint="default"/>
                <w:color w:val="auto"/>
                <w:sz w:val="24"/>
                <w:szCs w:val="24"/>
                <w:highlight w:val="none"/>
              </w:rPr>
              <w:instrText xml:space="preserve"> HYPERLINK "https://baike.so.com/doc/5967729-6180686.html" \t "https://baike.so.com/doc/_blank" </w:instrText>
            </w:r>
            <w:r>
              <w:rPr>
                <w:rFonts w:hint="default"/>
                <w:color w:val="auto"/>
                <w:sz w:val="24"/>
                <w:szCs w:val="24"/>
                <w:highlight w:val="none"/>
              </w:rPr>
              <w:fldChar w:fldCharType="separate"/>
            </w:r>
            <w:r>
              <w:rPr>
                <w:rStyle w:val="21"/>
                <w:rFonts w:hint="default" w:ascii="Arial" w:hAnsi="Arial" w:eastAsia="宋体" w:cs="Arial"/>
                <w:i w:val="0"/>
                <w:iCs w:val="0"/>
                <w:caps w:val="0"/>
                <w:color w:val="auto"/>
                <w:spacing w:val="0"/>
                <w:sz w:val="24"/>
                <w:szCs w:val="24"/>
                <w:highlight w:val="none"/>
                <w:u w:val="none"/>
                <w:shd w:val="clear" w:fill="FFFFFF"/>
              </w:rPr>
              <w:t>过饱和</w:t>
            </w:r>
            <w:r>
              <w:rPr>
                <w:rFonts w:hint="default"/>
                <w:color w:val="auto"/>
                <w:sz w:val="24"/>
                <w:szCs w:val="24"/>
                <w:highlight w:val="none"/>
              </w:rPr>
              <w:fldChar w:fldCharType="end"/>
            </w:r>
            <w:r>
              <w:rPr>
                <w:rFonts w:hint="default"/>
                <w:color w:val="auto"/>
                <w:sz w:val="24"/>
                <w:szCs w:val="24"/>
                <w:highlight w:val="none"/>
              </w:rPr>
              <w:t>结晶，造成结垢堵塞问题。另一方面脱硫产物被排入再生池内用</w:t>
            </w:r>
            <w:r>
              <w:rPr>
                <w:rFonts w:hint="default"/>
                <w:color w:val="auto"/>
                <w:sz w:val="24"/>
                <w:szCs w:val="24"/>
                <w:highlight w:val="none"/>
              </w:rPr>
              <w:fldChar w:fldCharType="begin"/>
            </w:r>
            <w:r>
              <w:rPr>
                <w:rFonts w:hint="default"/>
                <w:color w:val="auto"/>
                <w:sz w:val="24"/>
                <w:szCs w:val="24"/>
                <w:highlight w:val="none"/>
              </w:rPr>
              <w:instrText xml:space="preserve"> HYPERLINK "https://baike.so.com/doc/1302981-7116841.html" \t "https://baike.so.com/doc/_blank" </w:instrText>
            </w:r>
            <w:r>
              <w:rPr>
                <w:rFonts w:hint="default"/>
                <w:color w:val="auto"/>
                <w:sz w:val="24"/>
                <w:szCs w:val="24"/>
                <w:highlight w:val="none"/>
              </w:rPr>
              <w:fldChar w:fldCharType="separate"/>
            </w:r>
            <w:r>
              <w:rPr>
                <w:rStyle w:val="21"/>
                <w:rFonts w:hint="default" w:ascii="Arial" w:hAnsi="Arial" w:eastAsia="宋体" w:cs="Arial"/>
                <w:i w:val="0"/>
                <w:iCs w:val="0"/>
                <w:caps w:val="0"/>
                <w:color w:val="auto"/>
                <w:spacing w:val="0"/>
                <w:sz w:val="24"/>
                <w:szCs w:val="24"/>
                <w:highlight w:val="none"/>
                <w:u w:val="none"/>
                <w:shd w:val="clear" w:fill="FFFFFF"/>
              </w:rPr>
              <w:t>氢氧化钙</w:t>
            </w:r>
            <w:r>
              <w:rPr>
                <w:rFonts w:hint="default"/>
                <w:color w:val="auto"/>
                <w:sz w:val="24"/>
                <w:szCs w:val="24"/>
                <w:highlight w:val="none"/>
              </w:rPr>
              <w:fldChar w:fldCharType="end"/>
            </w:r>
            <w:r>
              <w:rPr>
                <w:rFonts w:hint="default"/>
                <w:color w:val="auto"/>
                <w:sz w:val="24"/>
                <w:szCs w:val="24"/>
                <w:highlight w:val="none"/>
              </w:rPr>
              <w:t>进行还原再生，再生出的钠基脱硫剂再被打回</w:t>
            </w:r>
            <w:r>
              <w:rPr>
                <w:rFonts w:hint="default"/>
                <w:color w:val="auto"/>
                <w:sz w:val="24"/>
                <w:szCs w:val="24"/>
                <w:highlight w:val="none"/>
              </w:rPr>
              <w:fldChar w:fldCharType="begin"/>
            </w:r>
            <w:r>
              <w:rPr>
                <w:rFonts w:hint="default"/>
                <w:color w:val="auto"/>
                <w:sz w:val="24"/>
                <w:szCs w:val="24"/>
                <w:highlight w:val="none"/>
              </w:rPr>
              <w:instrText xml:space="preserve"> HYPERLINK "https://baike.so.com/doc/6287548-6501032.html" \t "https://baike.so.com/doc/_blank" </w:instrText>
            </w:r>
            <w:r>
              <w:rPr>
                <w:rFonts w:hint="default"/>
                <w:color w:val="auto"/>
                <w:sz w:val="24"/>
                <w:szCs w:val="24"/>
                <w:highlight w:val="none"/>
              </w:rPr>
              <w:fldChar w:fldCharType="separate"/>
            </w:r>
            <w:r>
              <w:rPr>
                <w:rStyle w:val="21"/>
                <w:rFonts w:hint="default" w:ascii="Arial" w:hAnsi="Arial" w:eastAsia="宋体" w:cs="Arial"/>
                <w:i w:val="0"/>
                <w:iCs w:val="0"/>
                <w:caps w:val="0"/>
                <w:color w:val="auto"/>
                <w:spacing w:val="0"/>
                <w:sz w:val="24"/>
                <w:szCs w:val="24"/>
                <w:highlight w:val="none"/>
                <w:u w:val="none"/>
                <w:shd w:val="clear" w:fill="FFFFFF"/>
              </w:rPr>
              <w:t>脱硫塔</w:t>
            </w:r>
            <w:r>
              <w:rPr>
                <w:rFonts w:hint="default"/>
                <w:color w:val="auto"/>
                <w:sz w:val="24"/>
                <w:szCs w:val="24"/>
                <w:highlight w:val="none"/>
              </w:rPr>
              <w:fldChar w:fldCharType="end"/>
            </w:r>
            <w:r>
              <w:rPr>
                <w:rFonts w:hint="default"/>
                <w:color w:val="auto"/>
                <w:sz w:val="24"/>
                <w:szCs w:val="24"/>
                <w:highlight w:val="none"/>
              </w:rPr>
              <w:t>循环使用。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07" w:type="dxa"/>
            <w:vAlign w:val="center"/>
          </w:tcPr>
          <w:p>
            <w:pPr>
              <w:pStyle w:val="15"/>
              <w:adjustRightInd w:val="0"/>
              <w:snapToGrid w:val="0"/>
              <w:spacing w:before="0" w:beforeAutospacing="0" w:after="0" w:afterAutospacing="0"/>
              <w:ind w:firstLine="0" w:firstLineChars="0"/>
              <w:jc w:val="center"/>
              <w:rPr>
                <w:rFonts w:hint="default" w:ascii="Times New Roman" w:hAnsi="Times New Roman" w:eastAsia="宋体" w:cs="Times New Roman"/>
                <w:b/>
                <w:bCs/>
                <w:color w:val="auto"/>
                <w:szCs w:val="24"/>
                <w:highlight w:val="none"/>
              </w:rPr>
            </w:pPr>
            <w:r>
              <w:rPr>
                <w:rFonts w:hint="default" w:ascii="Times New Roman" w:hAnsi="Times New Roman" w:eastAsia="宋体" w:cs="Times New Roman"/>
                <w:b/>
                <w:bCs/>
                <w:color w:val="auto"/>
                <w:kern w:val="2"/>
                <w:szCs w:val="24"/>
                <w:highlight w:val="none"/>
              </w:rPr>
              <w:t>与项目有关的原有环境污染问题</w:t>
            </w:r>
          </w:p>
        </w:tc>
        <w:tc>
          <w:tcPr>
            <w:tcW w:w="8158"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val="0"/>
                <w:color w:val="auto"/>
                <w:spacing w:val="0"/>
                <w:kern w:val="21"/>
                <w:sz w:val="24"/>
                <w:szCs w:val="24"/>
                <w:highlight w:val="none"/>
                <w:lang w:eastAsia="zh-CN"/>
              </w:rPr>
            </w:pPr>
            <w:r>
              <w:rPr>
                <w:rFonts w:hint="eastAsia"/>
                <w:b/>
                <w:bCs/>
                <w:color w:val="auto"/>
                <w:highlight w:val="none"/>
                <w:lang w:val="en-US" w:eastAsia="zh-CN"/>
              </w:rPr>
              <w:t>1、现有工程</w:t>
            </w:r>
            <w:r>
              <w:rPr>
                <w:rFonts w:hint="default" w:ascii="Times New Roman" w:hAnsi="Times New Roman" w:eastAsia="宋体" w:cs="Times New Roman"/>
                <w:b/>
                <w:bCs w:val="0"/>
                <w:color w:val="auto"/>
                <w:spacing w:val="0"/>
                <w:kern w:val="21"/>
                <w:sz w:val="24"/>
                <w:szCs w:val="24"/>
                <w:highlight w:val="none"/>
              </w:rPr>
              <w:t>履行环境影响评价、竣工环境保护验收</w:t>
            </w:r>
            <w:r>
              <w:rPr>
                <w:rFonts w:hint="eastAsia" w:cs="Times New Roman"/>
                <w:b/>
                <w:bCs w:val="0"/>
                <w:color w:val="auto"/>
                <w:spacing w:val="0"/>
                <w:kern w:val="21"/>
                <w:sz w:val="24"/>
                <w:szCs w:val="24"/>
                <w:highlight w:val="none"/>
                <w:lang w:eastAsia="zh-CN"/>
              </w:rPr>
              <w:t>情况</w:t>
            </w:r>
          </w:p>
          <w:p>
            <w:pPr>
              <w:spacing w:line="360" w:lineRule="auto"/>
              <w:ind w:firstLine="480" w:firstLineChars="200"/>
              <w:rPr>
                <w:rFonts w:ascii="Times New Roman" w:hAnsi="Times New Roman" w:eastAsiaTheme="minorEastAsia"/>
                <w:bCs/>
                <w:color w:val="auto"/>
                <w:sz w:val="24"/>
                <w:szCs w:val="24"/>
                <w:highlight w:val="none"/>
              </w:rPr>
            </w:pPr>
            <w:r>
              <w:rPr>
                <w:rFonts w:hint="eastAsia" w:eastAsiaTheme="minorEastAsia"/>
                <w:bCs/>
                <w:color w:val="auto"/>
                <w:sz w:val="24"/>
                <w:szCs w:val="24"/>
                <w:highlight w:val="none"/>
                <w:lang w:eastAsia="zh-CN"/>
              </w:rPr>
              <w:t>现有工程于</w:t>
            </w:r>
            <w:r>
              <w:rPr>
                <w:rFonts w:hint="eastAsia" w:eastAsiaTheme="minorEastAsia"/>
                <w:bCs/>
                <w:color w:val="auto"/>
                <w:sz w:val="24"/>
                <w:szCs w:val="24"/>
                <w:highlight w:val="none"/>
                <w:lang w:val="en-US" w:eastAsia="zh-CN"/>
              </w:rPr>
              <w:t>2014年5月5日取得环评批文，2015年3月18日完成验收，2018年10月4日取得了排污许可证。</w:t>
            </w:r>
            <w:r>
              <w:rPr>
                <w:rFonts w:ascii="Times New Roman" w:hAnsi="Times New Roman" w:eastAsiaTheme="minorEastAsia"/>
                <w:bCs/>
                <w:color w:val="auto"/>
                <w:sz w:val="24"/>
                <w:szCs w:val="24"/>
                <w:highlight w:val="none"/>
              </w:rPr>
              <w:t>现有</w:t>
            </w:r>
            <w:r>
              <w:rPr>
                <w:rFonts w:hint="eastAsia" w:eastAsiaTheme="minorEastAsia"/>
                <w:bCs/>
                <w:color w:val="auto"/>
                <w:sz w:val="24"/>
                <w:szCs w:val="24"/>
                <w:highlight w:val="none"/>
                <w:lang w:val="en-US" w:eastAsia="zh-CN"/>
              </w:rPr>
              <w:t>工程环保手续</w:t>
            </w:r>
            <w:r>
              <w:rPr>
                <w:rFonts w:ascii="Times New Roman" w:hAnsi="Times New Roman" w:eastAsiaTheme="minorEastAsia"/>
                <w:bCs/>
                <w:color w:val="auto"/>
                <w:sz w:val="24"/>
                <w:szCs w:val="24"/>
                <w:highlight w:val="none"/>
              </w:rPr>
              <w:t>执行情况见</w:t>
            </w:r>
            <w:r>
              <w:rPr>
                <w:rFonts w:hint="eastAsia" w:eastAsiaTheme="minorEastAsia"/>
                <w:bCs/>
                <w:color w:val="auto"/>
                <w:sz w:val="24"/>
                <w:szCs w:val="24"/>
                <w:highlight w:val="none"/>
                <w:lang w:eastAsia="zh-CN"/>
              </w:rPr>
              <w:t>下表</w:t>
            </w:r>
            <w:r>
              <w:rPr>
                <w:rFonts w:hint="eastAsia" w:eastAsiaTheme="minorEastAsia"/>
                <w:bCs/>
                <w:color w:val="auto"/>
                <w:sz w:val="24"/>
                <w:szCs w:val="24"/>
                <w:highlight w:val="none"/>
                <w:lang w:val="en-US" w:eastAsia="zh-CN"/>
              </w:rPr>
              <w:t>10</w:t>
            </w:r>
            <w:r>
              <w:rPr>
                <w:rFonts w:ascii="Times New Roman" w:hAnsi="Times New Roman" w:eastAsiaTheme="minorEastAsia"/>
                <w:bCs/>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表10    现有工程环评及备案执行情况</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3487"/>
              <w:gridCol w:w="1185"/>
              <w:gridCol w:w="1281"/>
              <w:gridCol w:w="195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jc w:val="center"/>
              </w:trPr>
              <w:tc>
                <w:tcPr>
                  <w:tcW w:w="2204" w:type="pct"/>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项目名称</w:t>
                  </w:r>
                </w:p>
              </w:tc>
              <w:tc>
                <w:tcPr>
                  <w:tcW w:w="2795" w:type="pct"/>
                  <w:gridSpan w:val="3"/>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环评及验收执行情况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jc w:val="center"/>
              </w:trPr>
              <w:tc>
                <w:tcPr>
                  <w:tcW w:w="2204"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sz w:val="21"/>
                      <w:szCs w:val="21"/>
                      <w:highlight w:val="none"/>
                      <w:vertAlign w:val="baseline"/>
                      <w:lang w:val="en-US" w:eastAsia="zh-CN"/>
                    </w:rPr>
                  </w:pPr>
                </w:p>
              </w:tc>
              <w:tc>
                <w:tcPr>
                  <w:tcW w:w="74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审批单位</w:t>
                  </w:r>
                </w:p>
              </w:tc>
              <w:tc>
                <w:tcPr>
                  <w:tcW w:w="80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批准文号</w:t>
                  </w:r>
                </w:p>
              </w:tc>
              <w:tc>
                <w:tcPr>
                  <w:tcW w:w="123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审批日期/完成日期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20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关于《内蒙古大中矿业股份有限公司书记沟矿区锅炉改造项目》的环保审批意见</w:t>
                  </w:r>
                </w:p>
              </w:tc>
              <w:tc>
                <w:tcPr>
                  <w:tcW w:w="74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b w:val="0"/>
                      <w:bCs w:val="0"/>
                      <w:color w:val="auto"/>
                      <w:sz w:val="21"/>
                      <w:szCs w:val="21"/>
                      <w:highlight w:val="none"/>
                      <w:vertAlign w:val="baseline"/>
                      <w:lang w:val="en-US" w:eastAsia="zh-CN"/>
                    </w:rPr>
                  </w:pPr>
                  <w:r>
                    <w:rPr>
                      <w:rFonts w:hint="eastAsia"/>
                      <w:color w:val="auto"/>
                      <w:highlight w:val="none"/>
                      <w:lang w:val="en-US" w:eastAsia="zh-CN"/>
                    </w:rPr>
                    <w:t>原</w:t>
                  </w:r>
                  <w:r>
                    <w:rPr>
                      <w:rFonts w:hint="eastAsia"/>
                      <w:b w:val="0"/>
                      <w:bCs w:val="0"/>
                      <w:color w:val="auto"/>
                      <w:sz w:val="21"/>
                      <w:szCs w:val="21"/>
                      <w:highlight w:val="none"/>
                      <w:vertAlign w:val="baseline"/>
                      <w:lang w:val="en-US" w:eastAsia="zh-CN"/>
                    </w:rPr>
                    <w:t>巴彦淖尔市环境保护局</w:t>
                  </w:r>
                </w:p>
              </w:tc>
              <w:tc>
                <w:tcPr>
                  <w:tcW w:w="80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巴环审表[2014]25号</w:t>
                  </w:r>
                </w:p>
              </w:tc>
              <w:tc>
                <w:tcPr>
                  <w:tcW w:w="123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2014年5月5日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jc w:val="center"/>
              </w:trPr>
              <w:tc>
                <w:tcPr>
                  <w:tcW w:w="220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Times New Roman" w:hAnsi="Times New Roman" w:eastAsia="宋体" w:cs="Times New Roman"/>
                      <w:color w:val="auto"/>
                      <w:sz w:val="21"/>
                      <w:szCs w:val="21"/>
                      <w:highlight w:val="none"/>
                      <w:lang w:val="zh-CN" w:eastAsia="zh-CN" w:bidi="zh-CN"/>
                    </w:rPr>
                  </w:pPr>
                  <w:r>
                    <w:rPr>
                      <w:rFonts w:hint="eastAsia"/>
                      <w:color w:val="auto"/>
                      <w:sz w:val="21"/>
                      <w:szCs w:val="21"/>
                      <w:highlight w:val="none"/>
                      <w:lang w:val="en-US" w:eastAsia="zh-CN"/>
                    </w:rPr>
                    <w:t>巴彦淖尔市环境保护局关于</w:t>
                  </w:r>
                  <w:r>
                    <w:rPr>
                      <w:rFonts w:hint="eastAsia" w:ascii="Times New Roman" w:hAnsi="Times New Roman"/>
                      <w:color w:val="auto"/>
                      <w:sz w:val="21"/>
                      <w:szCs w:val="21"/>
                      <w:highlight w:val="none"/>
                      <w:lang w:eastAsia="zh-CN"/>
                    </w:rPr>
                    <w:t>《</w:t>
                  </w:r>
                  <w:r>
                    <w:rPr>
                      <w:rFonts w:hint="eastAsia"/>
                      <w:color w:val="auto"/>
                      <w:sz w:val="21"/>
                      <w:szCs w:val="21"/>
                      <w:highlight w:val="none"/>
                      <w:lang w:val="en-US" w:eastAsia="zh-CN"/>
                    </w:rPr>
                    <w:t>内蒙古大中矿业股份有限公司书记沟矿区锅炉改造项目竣工环境保护验收意见</w:t>
                  </w:r>
                  <w:r>
                    <w:rPr>
                      <w:rFonts w:hint="eastAsia" w:ascii="Times New Roman" w:hAnsi="Times New Roman"/>
                      <w:color w:val="auto"/>
                      <w:sz w:val="21"/>
                      <w:szCs w:val="21"/>
                      <w:highlight w:val="none"/>
                      <w:lang w:eastAsia="zh-CN"/>
                    </w:rPr>
                    <w:t>》</w:t>
                  </w:r>
                </w:p>
              </w:tc>
              <w:tc>
                <w:tcPr>
                  <w:tcW w:w="74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zh-CN"/>
                    </w:rPr>
                  </w:pPr>
                  <w:r>
                    <w:rPr>
                      <w:rFonts w:hint="eastAsia"/>
                      <w:color w:val="auto"/>
                      <w:highlight w:val="none"/>
                      <w:lang w:val="en-US" w:eastAsia="zh-CN"/>
                    </w:rPr>
                    <w:t>原</w:t>
                  </w:r>
                  <w:r>
                    <w:rPr>
                      <w:rFonts w:hint="eastAsia"/>
                      <w:b w:val="0"/>
                      <w:bCs w:val="0"/>
                      <w:color w:val="auto"/>
                      <w:sz w:val="21"/>
                      <w:szCs w:val="21"/>
                      <w:highlight w:val="none"/>
                      <w:vertAlign w:val="baseline"/>
                      <w:lang w:val="en-US" w:eastAsia="zh-CN"/>
                    </w:rPr>
                    <w:t>巴彦淖尔市环境保护局</w:t>
                  </w:r>
                </w:p>
              </w:tc>
              <w:tc>
                <w:tcPr>
                  <w:tcW w:w="80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zh-CN"/>
                    </w:rPr>
                  </w:pPr>
                  <w:r>
                    <w:rPr>
                      <w:rFonts w:hint="eastAsia"/>
                      <w:b w:val="0"/>
                      <w:bCs w:val="0"/>
                      <w:color w:val="auto"/>
                      <w:sz w:val="21"/>
                      <w:szCs w:val="21"/>
                      <w:highlight w:val="none"/>
                      <w:vertAlign w:val="baseline"/>
                      <w:lang w:val="en-US" w:eastAsia="zh-CN"/>
                    </w:rPr>
                    <w:t>巴环验[2015]16号</w:t>
                  </w:r>
                </w:p>
              </w:tc>
              <w:tc>
                <w:tcPr>
                  <w:tcW w:w="123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zh-CN"/>
                    </w:rPr>
                  </w:pPr>
                  <w:r>
                    <w:rPr>
                      <w:rFonts w:hint="eastAsia"/>
                      <w:b w:val="0"/>
                      <w:bCs w:val="0"/>
                      <w:color w:val="auto"/>
                      <w:sz w:val="21"/>
                      <w:szCs w:val="21"/>
                      <w:highlight w:val="none"/>
                      <w:vertAlign w:val="baseline"/>
                      <w:lang w:val="en-US" w:eastAsia="zh-CN"/>
                    </w:rPr>
                    <w:t>2015年3月18日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20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default"/>
                      <w:color w:val="auto"/>
                      <w:sz w:val="21"/>
                      <w:szCs w:val="21"/>
                      <w:highlight w:val="none"/>
                      <w:lang w:val="en-US" w:eastAsia="zh-CN"/>
                    </w:rPr>
                  </w:pPr>
                  <w:r>
                    <w:rPr>
                      <w:rFonts w:hint="eastAsia"/>
                      <w:color w:val="auto"/>
                      <w:sz w:val="21"/>
                      <w:szCs w:val="21"/>
                      <w:highlight w:val="none"/>
                      <w:lang w:val="en-US" w:eastAsia="zh-CN"/>
                    </w:rPr>
                    <w:t>内蒙古大中矿业股份有限公司排污许可证</w:t>
                  </w:r>
                </w:p>
              </w:tc>
              <w:tc>
                <w:tcPr>
                  <w:tcW w:w="74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巴彦淖尔市生态环境局</w:t>
                  </w:r>
                </w:p>
              </w:tc>
              <w:tc>
                <w:tcPr>
                  <w:tcW w:w="80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911508006900924235001P</w:t>
                  </w:r>
                </w:p>
              </w:tc>
              <w:tc>
                <w:tcPr>
                  <w:tcW w:w="123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2018年10月4日</w:t>
                  </w:r>
                </w:p>
              </w:tc>
            </w:tr>
          </w:tbl>
          <w:p>
            <w:pPr>
              <w:bidi w:val="0"/>
              <w:rPr>
                <w:rFonts w:hint="default"/>
                <w:b/>
                <w:bCs/>
                <w:color w:val="auto"/>
                <w:highlight w:val="none"/>
                <w:lang w:val="en-US" w:eastAsia="zh-CN"/>
              </w:rPr>
            </w:pPr>
            <w:r>
              <w:rPr>
                <w:rFonts w:hint="eastAsia"/>
                <w:b/>
                <w:bCs/>
                <w:color w:val="auto"/>
                <w:highlight w:val="none"/>
                <w:lang w:val="en-US" w:eastAsia="zh-CN"/>
              </w:rPr>
              <w:t>2、现有工程污染物产排情况</w:t>
            </w:r>
          </w:p>
          <w:p>
            <w:pPr>
              <w:bidi w:val="0"/>
              <w:rPr>
                <w:rFonts w:hint="default" w:eastAsia="宋体"/>
                <w:b/>
                <w:bCs/>
                <w:color w:val="auto"/>
                <w:highlight w:val="none"/>
                <w:lang w:val="en-US" w:eastAsia="zh-CN"/>
              </w:rPr>
            </w:pPr>
            <w:r>
              <w:rPr>
                <w:rFonts w:hint="eastAsia"/>
                <w:b/>
                <w:bCs/>
                <w:color w:val="auto"/>
                <w:highlight w:val="none"/>
                <w:lang w:val="en-US" w:eastAsia="zh-CN"/>
              </w:rPr>
              <w:t>2.1废气</w:t>
            </w:r>
          </w:p>
          <w:p>
            <w:pPr>
              <w:bidi w:val="0"/>
              <w:rPr>
                <w:rFonts w:hint="default"/>
                <w:color w:val="auto"/>
                <w:highlight w:val="none"/>
                <w:lang w:val="en-US" w:eastAsia="zh-CN"/>
              </w:rPr>
            </w:pPr>
            <w:r>
              <w:rPr>
                <w:rFonts w:hint="eastAsia"/>
                <w:color w:val="auto"/>
                <w:highlight w:val="none"/>
                <w:lang w:val="en-US" w:eastAsia="zh-CN"/>
              </w:rPr>
              <w:t>（1）颗粒物、二氧化硫和氮氧化物</w:t>
            </w:r>
          </w:p>
          <w:p>
            <w:pPr>
              <w:bidi w:val="0"/>
              <w:rPr>
                <w:rFonts w:hint="default"/>
                <w:color w:val="auto"/>
                <w:highlight w:val="none"/>
                <w:lang w:val="en-US" w:eastAsia="zh-CN"/>
              </w:rPr>
            </w:pPr>
            <w:r>
              <w:rPr>
                <w:rFonts w:hint="eastAsia"/>
                <w:color w:val="auto"/>
                <w:highlight w:val="none"/>
                <w:lang w:val="en-US" w:eastAsia="zh-CN"/>
              </w:rPr>
              <w:t>现有工程的燃煤锅炉（一用一备）产生的废气经布袋除尘器+双碱法脱硫除尘系统处理后，由1根45m高的排气筒进行排放，排放标准可以满足《锅炉大气污染物排放标准》（GB13271-2014）中表1燃煤锅炉排放标准限值要求。</w:t>
            </w:r>
          </w:p>
          <w:p>
            <w:pPr>
              <w:bidi w:val="0"/>
              <w:rPr>
                <w:rFonts w:hint="default"/>
                <w:color w:val="auto"/>
                <w:highlight w:val="none"/>
                <w:lang w:val="en-US" w:eastAsia="zh-CN"/>
              </w:rPr>
            </w:pPr>
            <w:r>
              <w:rPr>
                <w:rFonts w:hint="eastAsia"/>
                <w:color w:val="auto"/>
                <w:highlight w:val="none"/>
                <w:lang w:eastAsia="zh-CN"/>
              </w:rPr>
              <w:t>根据</w:t>
            </w:r>
            <w:r>
              <w:rPr>
                <w:rFonts w:hint="eastAsia"/>
                <w:color w:val="auto"/>
                <w:highlight w:val="none"/>
                <w:lang w:val="en-US" w:eastAsia="zh-CN"/>
              </w:rPr>
              <w:t>包头市智广环境技术服务有限公司出具的2022年内蒙古大中矿业股份有限公司（书记沟铁矿）污染源检测报告</w:t>
            </w:r>
            <w:r>
              <w:rPr>
                <w:rFonts w:hint="eastAsia"/>
                <w:color w:val="auto"/>
                <w:highlight w:val="none"/>
                <w:lang w:eastAsia="zh-CN"/>
              </w:rPr>
              <w:t>可知，</w:t>
            </w:r>
            <w:r>
              <w:rPr>
                <w:rFonts w:hint="eastAsia"/>
                <w:color w:val="auto"/>
                <w:highlight w:val="none"/>
                <w:lang w:val="en-US" w:eastAsia="zh-CN"/>
              </w:rPr>
              <w:t>锅炉</w:t>
            </w:r>
            <w:r>
              <w:rPr>
                <w:rFonts w:hint="eastAsia"/>
                <w:color w:val="auto"/>
                <w:highlight w:val="none"/>
                <w:lang w:eastAsia="zh-CN"/>
              </w:rPr>
              <w:t>废气</w:t>
            </w:r>
            <w:r>
              <w:rPr>
                <w:rFonts w:hint="eastAsia"/>
                <w:color w:val="auto"/>
                <w:highlight w:val="none"/>
                <w:lang w:val="en-US" w:eastAsia="zh-CN"/>
              </w:rPr>
              <w:t>颗粒物排放量为3.283t/a；SO</w:t>
            </w:r>
            <w:r>
              <w:rPr>
                <w:rFonts w:hint="eastAsia"/>
                <w:color w:val="auto"/>
                <w:highlight w:val="none"/>
                <w:vertAlign w:val="subscript"/>
                <w:lang w:val="en-US" w:eastAsia="zh-CN"/>
              </w:rPr>
              <w:t>2</w:t>
            </w:r>
            <w:r>
              <w:rPr>
                <w:rFonts w:hint="eastAsia"/>
                <w:color w:val="auto"/>
                <w:highlight w:val="none"/>
                <w:lang w:val="en-US" w:eastAsia="zh-CN"/>
              </w:rPr>
              <w:t>排放量为12.960t/a；NOx排放量为12.096t/a。例行监测报告见附件。</w:t>
            </w:r>
          </w:p>
          <w:p>
            <w:pPr>
              <w:bidi w:val="0"/>
              <w:rPr>
                <w:rFonts w:hint="default"/>
                <w:b w:val="0"/>
                <w:bCs w:val="0"/>
                <w:color w:val="auto"/>
                <w:highlight w:val="none"/>
                <w:lang w:val="en-US" w:eastAsia="zh-CN"/>
              </w:rPr>
            </w:pPr>
            <w:r>
              <w:rPr>
                <w:rFonts w:hint="eastAsia"/>
                <w:b w:val="0"/>
                <w:bCs w:val="0"/>
                <w:color w:val="auto"/>
                <w:highlight w:val="none"/>
                <w:lang w:val="en-US" w:eastAsia="zh-CN"/>
              </w:rPr>
              <w:t>（2）汞及其化合物</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根据《污染源源强核算技术指南 锅炉》 </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HJ991-2018</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汞</w:t>
            </w:r>
            <w:r>
              <w:rPr>
                <w:rFonts w:hint="default" w:ascii="Times New Roman" w:hAnsi="Times New Roman" w:eastAsia="宋体" w:cs="Times New Roman"/>
                <w:color w:val="auto"/>
                <w:sz w:val="24"/>
                <w:szCs w:val="24"/>
                <w:highlight w:val="none"/>
              </w:rPr>
              <w:t>排放量采用物料衡算法计算，计算公式：</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drawing>
                <wp:inline distT="0" distB="0" distL="114300" distR="114300">
                  <wp:extent cx="4951095" cy="1932305"/>
                  <wp:effectExtent l="0" t="0" r="1905" b="3175"/>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pic:cNvPicPr>
                            <a:picLocks noChangeAspect="1"/>
                          </pic:cNvPicPr>
                        </pic:nvPicPr>
                        <pic:blipFill>
                          <a:blip r:embed="rId18"/>
                          <a:stretch>
                            <a:fillRect/>
                          </a:stretch>
                        </pic:blipFill>
                        <pic:spPr>
                          <a:xfrm>
                            <a:off x="0" y="0"/>
                            <a:ext cx="4951095" cy="1932305"/>
                          </a:xfrm>
                          <a:prstGeom prst="rect">
                            <a:avLst/>
                          </a:prstGeom>
                          <a:noFill/>
                          <a:ln>
                            <a:noFill/>
                          </a:ln>
                        </pic:spPr>
                      </pic:pic>
                    </a:graphicData>
                  </a:graphic>
                </wp:inline>
              </w:drawing>
            </w:r>
          </w:p>
          <w:p>
            <w:pPr>
              <w:pStyle w:val="10"/>
              <w:keepNext w:val="0"/>
              <w:keepLines/>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b/>
                <w:bCs/>
                <w:color w:val="auto"/>
                <w:highlight w:val="none"/>
                <w:lang w:val="en-US" w:eastAsia="zh-CN"/>
              </w:rPr>
            </w:pPr>
            <w:r>
              <w:rPr>
                <w:rFonts w:hint="default" w:ascii="Times New Roman" w:hAnsi="Times New Roman" w:eastAsia="宋体" w:cs="Times New Roman"/>
                <w:color w:val="auto"/>
                <w:sz w:val="24"/>
                <w:szCs w:val="24"/>
                <w:highlight w:val="none"/>
              </w:rPr>
              <w:t>查阅相关文献《煤粉锅炉烟气中汞形态分析的实验研究》，我国煤中汞的平均含量为0.22mg/kg</w:t>
            </w:r>
            <w:r>
              <w:rPr>
                <w:rFonts w:hint="default" w:ascii="Times New Roman" w:hAnsi="Times New Roman" w:eastAsia="宋体" w:cs="Times New Roman"/>
                <w:color w:val="auto"/>
                <w:sz w:val="24"/>
                <w:szCs w:val="24"/>
                <w:highlight w:val="none"/>
                <w:lang w:eastAsia="zh-CN"/>
              </w:rPr>
              <w:t>，汞</w:t>
            </w:r>
            <w:r>
              <w:rPr>
                <w:rFonts w:hint="default" w:ascii="Times New Roman" w:hAnsi="Times New Roman" w:eastAsia="宋体" w:cs="Times New Roman"/>
                <w:color w:val="auto"/>
                <w:sz w:val="24"/>
                <w:szCs w:val="24"/>
                <w:highlight w:val="none"/>
              </w:rPr>
              <w:t>产生</w:t>
            </w:r>
            <w:r>
              <w:rPr>
                <w:rFonts w:hint="default" w:ascii="Times New Roman" w:hAnsi="Times New Roman" w:eastAsia="宋体" w:cs="Times New Roman"/>
                <w:color w:val="auto"/>
                <w:sz w:val="24"/>
                <w:szCs w:val="24"/>
                <w:highlight w:val="none"/>
                <w:lang w:eastAsia="zh-CN"/>
              </w:rPr>
              <w:t>量</w:t>
            </w:r>
            <w:r>
              <w:rPr>
                <w:rFonts w:hint="default" w:ascii="Times New Roman" w:hAnsi="Times New Roman" w:eastAsia="宋体" w:cs="Times New Roman"/>
                <w:color w:val="auto"/>
                <w:sz w:val="24"/>
                <w:szCs w:val="24"/>
                <w:highlight w:val="none"/>
              </w:rPr>
              <w:t>为0.22mg/kg×</w:t>
            </w:r>
            <w:r>
              <w:rPr>
                <w:rFonts w:hint="eastAsia" w:ascii="Times New Roman" w:hAnsi="Times New Roman" w:eastAsia="宋体" w:cs="Times New Roman"/>
                <w:color w:val="auto"/>
                <w:sz w:val="24"/>
                <w:szCs w:val="24"/>
                <w:highlight w:val="none"/>
                <w:lang w:val="en-US" w:eastAsia="zh-CN"/>
              </w:rPr>
              <w:t>1600</w:t>
            </w:r>
            <w:r>
              <w:rPr>
                <w:rFonts w:hint="default" w:ascii="Times New Roman" w:hAnsi="Times New Roman" w:eastAsia="宋体" w:cs="Times New Roman"/>
                <w:color w:val="auto"/>
                <w:sz w:val="24"/>
                <w:szCs w:val="24"/>
                <w:highlight w:val="none"/>
                <w:lang w:eastAsia="zh-CN"/>
              </w:rPr>
              <w:t>t/a</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0.000</w:t>
            </w:r>
            <w:r>
              <w:rPr>
                <w:rFonts w:hint="eastAsia" w:ascii="Times New Roman" w:hAnsi="Times New Roman" w:eastAsia="宋体" w:cs="Times New Roman"/>
                <w:color w:val="auto"/>
                <w:sz w:val="24"/>
                <w:szCs w:val="24"/>
                <w:highlight w:val="none"/>
                <w:lang w:val="en-US" w:eastAsia="zh-CN"/>
              </w:rPr>
              <w:t>35</w:t>
            </w:r>
            <w:r>
              <w:rPr>
                <w:rFonts w:hint="default" w:ascii="Times New Roman" w:hAnsi="Times New Roman" w:eastAsia="宋体" w:cs="Times New Roman"/>
                <w:color w:val="auto"/>
                <w:sz w:val="24"/>
                <w:szCs w:val="24"/>
                <w:highlight w:val="none"/>
                <w:lang w:val="en-US" w:eastAsia="zh-CN"/>
              </w:rPr>
              <w:t>t/a</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kern w:val="2"/>
                <w:sz w:val="24"/>
                <w:szCs w:val="24"/>
                <w:highlight w:val="none"/>
                <w:lang w:val="en-US" w:eastAsia="zh-CN" w:bidi="ar"/>
              </w:rPr>
              <w:t>烟气除尘和湿法脱硫等污染防治对汞具有协同脱出效果，脱除效率约为70%，本项目取30%，汞排放量为0.000</w:t>
            </w:r>
            <w:r>
              <w:rPr>
                <w:rFonts w:hint="eastAsia" w:ascii="Times New Roman" w:hAnsi="Times New Roman" w:eastAsia="宋体" w:cs="Times New Roman"/>
                <w:color w:val="auto"/>
                <w:kern w:val="2"/>
                <w:sz w:val="24"/>
                <w:szCs w:val="24"/>
                <w:highlight w:val="none"/>
                <w:lang w:val="en-US" w:eastAsia="zh-CN" w:bidi="ar"/>
              </w:rPr>
              <w:t>25</w:t>
            </w:r>
            <w:r>
              <w:rPr>
                <w:rFonts w:hint="default" w:ascii="Times New Roman" w:hAnsi="Times New Roman" w:eastAsia="宋体" w:cs="Times New Roman"/>
                <w:color w:val="auto"/>
                <w:kern w:val="2"/>
                <w:sz w:val="24"/>
                <w:szCs w:val="24"/>
                <w:highlight w:val="none"/>
                <w:lang w:val="en-US" w:eastAsia="zh-CN" w:bidi="ar"/>
              </w:rPr>
              <w:t>t/a。</w:t>
            </w:r>
          </w:p>
          <w:p>
            <w:pPr>
              <w:bidi w:val="0"/>
              <w:rPr>
                <w:rFonts w:hint="default" w:eastAsia="宋体"/>
                <w:b/>
                <w:bCs/>
                <w:color w:val="auto"/>
                <w:highlight w:val="none"/>
                <w:lang w:val="en-US" w:eastAsia="zh-CN"/>
              </w:rPr>
            </w:pPr>
            <w:r>
              <w:rPr>
                <w:rFonts w:hint="eastAsia"/>
                <w:b/>
                <w:bCs/>
                <w:color w:val="auto"/>
                <w:highlight w:val="none"/>
                <w:lang w:val="en-US" w:eastAsia="zh-CN"/>
              </w:rPr>
              <w:t>2.2废水</w:t>
            </w:r>
          </w:p>
          <w:p>
            <w:pPr>
              <w:bidi w:val="0"/>
              <w:rPr>
                <w:rFonts w:hint="eastAsia"/>
                <w:color w:val="auto"/>
                <w:highlight w:val="none"/>
                <w:lang w:eastAsia="zh-CN"/>
              </w:rPr>
            </w:pPr>
            <w:r>
              <w:rPr>
                <w:rFonts w:hint="eastAsia"/>
                <w:color w:val="auto"/>
                <w:highlight w:val="none"/>
                <w:lang w:eastAsia="zh-CN"/>
              </w:rPr>
              <w:t>现有工程运营期产生的废水主要</w:t>
            </w:r>
            <w:r>
              <w:rPr>
                <w:rFonts w:hint="eastAsia"/>
                <w:color w:val="auto"/>
                <w:highlight w:val="none"/>
                <w:lang w:val="en-US" w:eastAsia="zh-CN"/>
              </w:rPr>
              <w:t>为</w:t>
            </w:r>
            <w:r>
              <w:rPr>
                <w:rFonts w:hint="eastAsia"/>
                <w:color w:val="auto"/>
                <w:highlight w:val="none"/>
                <w:lang w:eastAsia="zh-CN"/>
              </w:rPr>
              <w:t>生产废水，包括</w:t>
            </w:r>
            <w:r>
              <w:rPr>
                <w:rFonts w:hint="eastAsia"/>
                <w:color w:val="auto"/>
                <w:highlight w:val="none"/>
                <w:lang w:val="en-US" w:eastAsia="zh-CN"/>
              </w:rPr>
              <w:t>锅炉排水和软化水系统排水</w:t>
            </w:r>
            <w:r>
              <w:rPr>
                <w:rFonts w:hint="eastAsia"/>
                <w:color w:val="auto"/>
                <w:highlight w:val="none"/>
                <w:lang w:eastAsia="zh-CN"/>
              </w:rPr>
              <w:t>。</w:t>
            </w:r>
          </w:p>
          <w:p>
            <w:pPr>
              <w:bidi w:val="0"/>
              <w:rPr>
                <w:rFonts w:hint="default"/>
                <w:color w:val="auto"/>
                <w:highlight w:val="none"/>
                <w:lang w:val="en-US" w:eastAsia="zh-CN"/>
              </w:rPr>
            </w:pPr>
            <w:r>
              <w:rPr>
                <w:rFonts w:hint="eastAsia"/>
                <w:color w:val="auto"/>
                <w:highlight w:val="none"/>
                <w:lang w:val="en-US" w:eastAsia="zh-CN"/>
              </w:rPr>
              <w:t>锅炉排水产生量为3t/d（540t/a），软化水系统排水产生量为1t/d（180t/a），锅炉排水回用于除尘系统补水，软化水系统排水经沉淀池沉淀后，用于灰渣的洒水抑尘。</w:t>
            </w:r>
          </w:p>
          <w:p>
            <w:pPr>
              <w:bidi w:val="0"/>
              <w:rPr>
                <w:rFonts w:hint="default" w:eastAsia="宋体"/>
                <w:b/>
                <w:bCs/>
                <w:color w:val="auto"/>
                <w:highlight w:val="none"/>
                <w:lang w:val="en-US" w:eastAsia="zh-CN"/>
              </w:rPr>
            </w:pPr>
            <w:r>
              <w:rPr>
                <w:rFonts w:hint="eastAsia"/>
                <w:b/>
                <w:bCs/>
                <w:color w:val="auto"/>
                <w:highlight w:val="none"/>
                <w:lang w:val="en-US" w:eastAsia="zh-CN"/>
              </w:rPr>
              <w:t>2.3噪声</w:t>
            </w:r>
          </w:p>
          <w:p>
            <w:pPr>
              <w:shd w:val="clear"/>
              <w:bidi w:val="0"/>
              <w:rPr>
                <w:rFonts w:hint="default"/>
                <w:color w:val="auto"/>
                <w:sz w:val="24"/>
                <w:szCs w:val="24"/>
                <w:highlight w:val="none"/>
              </w:rPr>
            </w:pPr>
            <w:r>
              <w:rPr>
                <w:rFonts w:hint="eastAsia"/>
                <w:color w:val="auto"/>
                <w:sz w:val="24"/>
                <w:szCs w:val="24"/>
                <w:highlight w:val="none"/>
                <w:lang w:val="en-US" w:eastAsia="zh-CN"/>
              </w:rPr>
              <w:t>2022年3月21日对现有工程厂界现状进行噪声监测，</w:t>
            </w:r>
            <w:r>
              <w:rPr>
                <w:rFonts w:hint="eastAsia"/>
                <w:color w:val="auto"/>
                <w:sz w:val="24"/>
                <w:szCs w:val="24"/>
                <w:highlight w:val="none"/>
                <w:lang w:eastAsia="zh-CN"/>
              </w:rPr>
              <w:t>根据</w:t>
            </w:r>
            <w:r>
              <w:rPr>
                <w:rFonts w:hint="eastAsia"/>
                <w:color w:val="auto"/>
                <w:sz w:val="24"/>
                <w:szCs w:val="24"/>
                <w:highlight w:val="none"/>
                <w:lang w:val="en-US" w:eastAsia="zh-CN"/>
              </w:rPr>
              <w:t>包头市智广环境</w:t>
            </w:r>
            <w:r>
              <w:rPr>
                <w:rFonts w:hint="eastAsia"/>
                <w:color w:val="auto"/>
                <w:sz w:val="24"/>
                <w:szCs w:val="24"/>
                <w:highlight w:val="none"/>
                <w:lang w:eastAsia="zh-CN"/>
              </w:rPr>
              <w:t>技术</w:t>
            </w:r>
            <w:r>
              <w:rPr>
                <w:rFonts w:hint="eastAsia"/>
                <w:color w:val="auto"/>
                <w:sz w:val="24"/>
                <w:szCs w:val="24"/>
                <w:highlight w:val="none"/>
                <w:lang w:val="en-US" w:eastAsia="zh-CN"/>
              </w:rPr>
              <w:t>服务</w:t>
            </w:r>
            <w:r>
              <w:rPr>
                <w:rFonts w:hint="eastAsia"/>
                <w:color w:val="auto"/>
                <w:sz w:val="24"/>
                <w:szCs w:val="24"/>
                <w:highlight w:val="none"/>
                <w:lang w:eastAsia="zh-CN"/>
              </w:rPr>
              <w:t>有限公司出具的</w:t>
            </w:r>
            <w:r>
              <w:rPr>
                <w:rFonts w:hint="default"/>
                <w:color w:val="auto"/>
                <w:sz w:val="24"/>
                <w:szCs w:val="24"/>
                <w:highlight w:val="none"/>
              </w:rPr>
              <w:t>《</w:t>
            </w:r>
            <w:r>
              <w:rPr>
                <w:rFonts w:hint="eastAsia"/>
                <w:color w:val="auto"/>
                <w:sz w:val="24"/>
                <w:szCs w:val="24"/>
                <w:highlight w:val="none"/>
                <w:lang w:val="en-US" w:eastAsia="zh-CN"/>
              </w:rPr>
              <w:t>内蒙古大中矿业股份有限公司（书记沟铁矿污染源检测</w:t>
            </w:r>
            <w:r>
              <w:rPr>
                <w:rFonts w:hint="eastAsia"/>
                <w:color w:val="auto"/>
                <w:sz w:val="24"/>
                <w:szCs w:val="24"/>
                <w:highlight w:val="none"/>
                <w:vertAlign w:val="baseline"/>
                <w:lang w:val="en-US" w:eastAsia="zh-CN"/>
              </w:rPr>
              <w:t>报告</w:t>
            </w:r>
            <w:r>
              <w:rPr>
                <w:rFonts w:hint="default"/>
                <w:color w:val="auto"/>
                <w:sz w:val="24"/>
                <w:szCs w:val="24"/>
                <w:highlight w:val="none"/>
              </w:rPr>
              <w:t>》</w:t>
            </w:r>
            <w:r>
              <w:rPr>
                <w:rFonts w:hint="eastAsia"/>
                <w:color w:val="auto"/>
                <w:sz w:val="24"/>
                <w:szCs w:val="24"/>
                <w:highlight w:val="none"/>
                <w:lang w:eastAsia="zh-CN"/>
              </w:rPr>
              <w:t>中噪声监测数据可知，厂界昼间最大噪声值为</w:t>
            </w:r>
            <w:r>
              <w:rPr>
                <w:rFonts w:hint="eastAsia"/>
                <w:color w:val="auto"/>
                <w:sz w:val="24"/>
                <w:szCs w:val="24"/>
                <w:highlight w:val="none"/>
                <w:lang w:val="en-US" w:eastAsia="zh-CN"/>
              </w:rPr>
              <w:t>50.6dB(A)，夜间最大噪声值为46.7dB(A)，</w:t>
            </w:r>
            <w:r>
              <w:rPr>
                <w:rFonts w:hint="default"/>
                <w:color w:val="auto"/>
                <w:sz w:val="24"/>
                <w:szCs w:val="24"/>
                <w:highlight w:val="none"/>
              </w:rPr>
              <w:t>厂界噪声满足《工业企业厂界环境噪声排放标准》(GB12348-2008)中</w:t>
            </w:r>
            <w:r>
              <w:rPr>
                <w:rFonts w:hint="eastAsia"/>
                <w:color w:val="auto"/>
                <w:sz w:val="24"/>
                <w:szCs w:val="24"/>
                <w:highlight w:val="none"/>
                <w:lang w:val="en-US" w:eastAsia="zh-CN"/>
              </w:rPr>
              <w:t>2</w:t>
            </w:r>
            <w:r>
              <w:rPr>
                <w:rFonts w:hint="default"/>
                <w:color w:val="auto"/>
                <w:sz w:val="24"/>
                <w:szCs w:val="24"/>
                <w:highlight w:val="none"/>
              </w:rPr>
              <w:t>类标准的限值</w:t>
            </w:r>
            <w:r>
              <w:rPr>
                <w:rFonts w:hint="eastAsia"/>
                <w:color w:val="auto"/>
                <w:sz w:val="24"/>
                <w:szCs w:val="24"/>
                <w:highlight w:val="none"/>
                <w:lang w:eastAsia="zh-CN"/>
              </w:rPr>
              <w:t>（标准为：昼间</w:t>
            </w:r>
            <w:r>
              <w:rPr>
                <w:rFonts w:hint="eastAsia"/>
                <w:color w:val="auto"/>
                <w:sz w:val="24"/>
                <w:szCs w:val="24"/>
                <w:highlight w:val="none"/>
                <w:lang w:val="en-US" w:eastAsia="zh-CN"/>
              </w:rPr>
              <w:t>60</w:t>
            </w:r>
            <w:r>
              <w:rPr>
                <w:rFonts w:hint="eastAsia"/>
                <w:color w:val="auto"/>
                <w:sz w:val="24"/>
                <w:szCs w:val="24"/>
                <w:highlight w:val="none"/>
                <w:lang w:eastAsia="zh-CN"/>
              </w:rPr>
              <w:t>dB(A)；夜间5</w:t>
            </w:r>
            <w:r>
              <w:rPr>
                <w:rFonts w:hint="eastAsia"/>
                <w:color w:val="auto"/>
                <w:sz w:val="24"/>
                <w:szCs w:val="24"/>
                <w:highlight w:val="none"/>
                <w:lang w:val="en-US" w:eastAsia="zh-CN"/>
              </w:rPr>
              <w:t>0</w:t>
            </w:r>
            <w:r>
              <w:rPr>
                <w:rFonts w:hint="eastAsia"/>
                <w:color w:val="auto"/>
                <w:sz w:val="24"/>
                <w:szCs w:val="24"/>
                <w:highlight w:val="none"/>
                <w:lang w:eastAsia="zh-CN"/>
              </w:rPr>
              <w:t>dB(A)）</w:t>
            </w:r>
            <w:r>
              <w:rPr>
                <w:rFonts w:hint="default"/>
                <w:color w:val="auto"/>
                <w:sz w:val="24"/>
                <w:szCs w:val="24"/>
                <w:highlight w:val="none"/>
              </w:rPr>
              <w:t>要求。</w:t>
            </w:r>
          </w:p>
          <w:p>
            <w:pPr>
              <w:bidi w:val="0"/>
              <w:rPr>
                <w:rFonts w:hint="default" w:eastAsia="宋体"/>
                <w:b/>
                <w:bCs/>
                <w:color w:val="auto"/>
                <w:highlight w:val="none"/>
                <w:lang w:val="en-US" w:eastAsia="zh-CN"/>
              </w:rPr>
            </w:pPr>
            <w:r>
              <w:rPr>
                <w:rFonts w:hint="eastAsia"/>
                <w:b/>
                <w:bCs/>
                <w:color w:val="auto"/>
                <w:highlight w:val="none"/>
                <w:lang w:val="en-US" w:eastAsia="zh-CN"/>
              </w:rPr>
              <w:t>2.4固废</w:t>
            </w:r>
          </w:p>
          <w:p>
            <w:pPr>
              <w:bidi w:val="0"/>
              <w:rPr>
                <w:rFonts w:hint="eastAsia" w:ascii="宋体" w:hAnsi="宋体" w:eastAsia="宋体" w:cs="宋体"/>
                <w:color w:val="auto"/>
                <w:szCs w:val="20"/>
                <w:highlight w:val="none"/>
                <w:lang w:eastAsia="zh-CN"/>
              </w:rPr>
            </w:pPr>
            <w:r>
              <w:rPr>
                <w:rFonts w:hint="eastAsia"/>
                <w:color w:val="auto"/>
                <w:highlight w:val="none"/>
                <w:lang w:eastAsia="zh-CN"/>
              </w:rPr>
              <w:t>现有工程运营期产生的固废</w:t>
            </w:r>
            <w:r>
              <w:rPr>
                <w:color w:val="auto"/>
                <w:highlight w:val="none"/>
              </w:rPr>
              <w:t>主要为</w:t>
            </w:r>
            <w:r>
              <w:rPr>
                <w:rFonts w:hint="eastAsia"/>
                <w:color w:val="auto"/>
                <w:highlight w:val="none"/>
                <w:lang w:val="en-US" w:eastAsia="zh-CN"/>
              </w:rPr>
              <w:t>燃煤</w:t>
            </w:r>
            <w:r>
              <w:rPr>
                <w:color w:val="auto"/>
                <w:highlight w:val="none"/>
              </w:rPr>
              <w:t>锅炉产生的炉渣</w:t>
            </w:r>
            <w:r>
              <w:rPr>
                <w:rFonts w:hint="eastAsia"/>
                <w:color w:val="auto"/>
                <w:highlight w:val="none"/>
                <w:lang w:val="en-US" w:eastAsia="zh-CN"/>
              </w:rPr>
              <w:t>和除尘灰、脱硫塔产生的脱硫废渣、软水制备系统产生的废饱和树脂及生活垃圾。</w:t>
            </w:r>
            <w:r>
              <w:rPr>
                <w:rFonts w:hint="eastAsia"/>
                <w:color w:val="auto"/>
                <w:highlight w:val="none"/>
                <w:lang w:eastAsia="zh-CN"/>
              </w:rPr>
              <w:t>产生情况见下表</w:t>
            </w:r>
            <w:r>
              <w:rPr>
                <w:rFonts w:hint="eastAsia"/>
                <w:color w:val="auto"/>
                <w:highlight w:val="none"/>
                <w:lang w:val="en-US" w:eastAsia="zh-CN"/>
              </w:rPr>
              <w:t>11</w:t>
            </w:r>
            <w:r>
              <w:rPr>
                <w:rFonts w:hint="eastAsia"/>
                <w:color w:val="auto"/>
                <w:highlight w:val="none"/>
                <w:lang w:eastAsia="zh-CN"/>
              </w:rPr>
              <w:t>。</w:t>
            </w:r>
          </w:p>
          <w:p>
            <w:pPr>
              <w:bidi w:val="0"/>
              <w:jc w:val="center"/>
              <w:rPr>
                <w:rFonts w:hint="default" w:eastAsia="宋体"/>
                <w:b/>
                <w:bCs/>
                <w:color w:val="auto"/>
                <w:highlight w:val="none"/>
                <w:lang w:val="en-US" w:eastAsia="zh-CN"/>
              </w:rPr>
            </w:pPr>
            <w:r>
              <w:rPr>
                <w:rFonts w:hint="eastAsia"/>
                <w:b/>
                <w:bCs/>
                <w:color w:val="auto"/>
                <w:highlight w:val="none"/>
                <w:lang w:eastAsia="zh-CN"/>
              </w:rPr>
              <w:t>表</w:t>
            </w:r>
            <w:r>
              <w:rPr>
                <w:rFonts w:hint="eastAsia"/>
                <w:b/>
                <w:bCs/>
                <w:color w:val="auto"/>
                <w:highlight w:val="none"/>
                <w:lang w:val="en-US" w:eastAsia="zh-CN"/>
              </w:rPr>
              <w:t>11 固废产生及处置情况一览表</w:t>
            </w:r>
          </w:p>
          <w:tbl>
            <w:tblPr>
              <w:tblStyle w:val="17"/>
              <w:tblW w:w="79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432"/>
              <w:gridCol w:w="1048"/>
              <w:gridCol w:w="1395"/>
              <w:gridCol w:w="846"/>
              <w:gridCol w:w="670"/>
              <w:gridCol w:w="1691"/>
              <w:gridCol w:w="87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21" w:hRule="atLeast"/>
                <w:jc w:val="center"/>
              </w:trPr>
              <w:tc>
                <w:tcPr>
                  <w:tcW w:w="1432" w:type="dxa"/>
                  <w:tcBorders>
                    <w:tl2br w:val="nil"/>
                    <w:tr2bl w:val="nil"/>
                  </w:tcBorders>
                  <w:vAlign w:val="center"/>
                </w:tcPr>
                <w:p>
                  <w:pPr>
                    <w:spacing w:line="240" w:lineRule="auto"/>
                    <w:ind w:firstLine="0" w:firstLineChars="0"/>
                    <w:jc w:val="center"/>
                    <w:rPr>
                      <w:b/>
                      <w:bCs/>
                      <w:color w:val="auto"/>
                      <w:sz w:val="21"/>
                      <w:szCs w:val="21"/>
                      <w:highlight w:val="none"/>
                    </w:rPr>
                  </w:pPr>
                  <w:r>
                    <w:rPr>
                      <w:rFonts w:hint="eastAsia"/>
                      <w:b/>
                      <w:bCs/>
                      <w:color w:val="auto"/>
                      <w:sz w:val="21"/>
                      <w:szCs w:val="21"/>
                      <w:highlight w:val="none"/>
                    </w:rPr>
                    <w:t>产生环节</w:t>
                  </w:r>
                </w:p>
              </w:tc>
              <w:tc>
                <w:tcPr>
                  <w:tcW w:w="1048" w:type="dxa"/>
                  <w:tcBorders>
                    <w:tl2br w:val="nil"/>
                    <w:tr2bl w:val="nil"/>
                  </w:tcBorders>
                  <w:vAlign w:val="center"/>
                </w:tcPr>
                <w:p>
                  <w:pPr>
                    <w:spacing w:line="240" w:lineRule="auto"/>
                    <w:ind w:firstLine="0" w:firstLineChars="0"/>
                    <w:jc w:val="center"/>
                    <w:rPr>
                      <w:b/>
                      <w:bCs/>
                      <w:color w:val="auto"/>
                      <w:sz w:val="21"/>
                      <w:szCs w:val="21"/>
                      <w:highlight w:val="none"/>
                    </w:rPr>
                  </w:pPr>
                  <w:r>
                    <w:rPr>
                      <w:rFonts w:hint="eastAsia"/>
                      <w:b/>
                      <w:bCs/>
                      <w:color w:val="auto"/>
                      <w:sz w:val="21"/>
                      <w:szCs w:val="21"/>
                      <w:highlight w:val="none"/>
                    </w:rPr>
                    <w:t>名称</w:t>
                  </w:r>
                </w:p>
              </w:tc>
              <w:tc>
                <w:tcPr>
                  <w:tcW w:w="1395" w:type="dxa"/>
                  <w:tcBorders>
                    <w:tl2br w:val="nil"/>
                    <w:tr2bl w:val="nil"/>
                  </w:tcBorders>
                  <w:vAlign w:val="center"/>
                </w:tcPr>
                <w:p>
                  <w:pPr>
                    <w:spacing w:line="240" w:lineRule="auto"/>
                    <w:ind w:firstLine="0" w:firstLineChars="0"/>
                    <w:jc w:val="center"/>
                    <w:rPr>
                      <w:b/>
                      <w:bCs/>
                      <w:color w:val="auto"/>
                      <w:sz w:val="21"/>
                      <w:szCs w:val="21"/>
                      <w:highlight w:val="none"/>
                    </w:rPr>
                  </w:pPr>
                  <w:r>
                    <w:rPr>
                      <w:rFonts w:hint="eastAsia"/>
                      <w:b/>
                      <w:bCs/>
                      <w:color w:val="auto"/>
                      <w:sz w:val="21"/>
                      <w:szCs w:val="21"/>
                      <w:highlight w:val="none"/>
                    </w:rPr>
                    <w:t>属性</w:t>
                  </w:r>
                </w:p>
              </w:tc>
              <w:tc>
                <w:tcPr>
                  <w:tcW w:w="846" w:type="dxa"/>
                  <w:tcBorders>
                    <w:tl2br w:val="nil"/>
                    <w:tr2bl w:val="nil"/>
                  </w:tcBorders>
                  <w:vAlign w:val="center"/>
                </w:tcPr>
                <w:p>
                  <w:pPr>
                    <w:spacing w:line="240" w:lineRule="auto"/>
                    <w:ind w:firstLine="0" w:firstLineChars="0"/>
                    <w:jc w:val="center"/>
                    <w:rPr>
                      <w:b/>
                      <w:bCs/>
                      <w:color w:val="auto"/>
                      <w:sz w:val="21"/>
                      <w:szCs w:val="21"/>
                      <w:highlight w:val="none"/>
                    </w:rPr>
                  </w:pPr>
                  <w:r>
                    <w:rPr>
                      <w:rFonts w:hint="eastAsia"/>
                      <w:b/>
                      <w:bCs/>
                      <w:color w:val="auto"/>
                      <w:sz w:val="21"/>
                      <w:szCs w:val="21"/>
                      <w:highlight w:val="none"/>
                    </w:rPr>
                    <w:t>年产</w:t>
                  </w:r>
                </w:p>
                <w:p>
                  <w:pPr>
                    <w:spacing w:line="240" w:lineRule="auto"/>
                    <w:ind w:firstLine="0" w:firstLineChars="0"/>
                    <w:jc w:val="center"/>
                    <w:rPr>
                      <w:b/>
                      <w:bCs/>
                      <w:color w:val="auto"/>
                      <w:sz w:val="21"/>
                      <w:szCs w:val="21"/>
                      <w:highlight w:val="none"/>
                    </w:rPr>
                  </w:pPr>
                  <w:r>
                    <w:rPr>
                      <w:rFonts w:hint="eastAsia"/>
                      <w:b/>
                      <w:bCs/>
                      <w:color w:val="auto"/>
                      <w:sz w:val="21"/>
                      <w:szCs w:val="21"/>
                      <w:highlight w:val="none"/>
                    </w:rPr>
                    <w:t>生量</w:t>
                  </w:r>
                </w:p>
              </w:tc>
              <w:tc>
                <w:tcPr>
                  <w:tcW w:w="670" w:type="dxa"/>
                  <w:tcBorders>
                    <w:tl2br w:val="nil"/>
                    <w:tr2bl w:val="nil"/>
                  </w:tcBorders>
                  <w:vAlign w:val="center"/>
                </w:tcPr>
                <w:p>
                  <w:pPr>
                    <w:spacing w:line="240" w:lineRule="auto"/>
                    <w:ind w:firstLine="0" w:firstLineChars="0"/>
                    <w:jc w:val="center"/>
                    <w:rPr>
                      <w:b/>
                      <w:bCs/>
                      <w:color w:val="auto"/>
                      <w:sz w:val="21"/>
                      <w:szCs w:val="21"/>
                      <w:highlight w:val="none"/>
                    </w:rPr>
                  </w:pPr>
                  <w:r>
                    <w:rPr>
                      <w:rFonts w:hint="eastAsia"/>
                      <w:b/>
                      <w:bCs/>
                      <w:color w:val="auto"/>
                      <w:sz w:val="21"/>
                      <w:szCs w:val="21"/>
                      <w:highlight w:val="none"/>
                    </w:rPr>
                    <w:t>贮存</w:t>
                  </w:r>
                </w:p>
                <w:p>
                  <w:pPr>
                    <w:spacing w:line="240" w:lineRule="auto"/>
                    <w:ind w:firstLine="0" w:firstLineChars="0"/>
                    <w:jc w:val="center"/>
                    <w:rPr>
                      <w:b/>
                      <w:bCs/>
                      <w:color w:val="auto"/>
                      <w:sz w:val="21"/>
                      <w:szCs w:val="21"/>
                      <w:highlight w:val="none"/>
                    </w:rPr>
                  </w:pPr>
                  <w:r>
                    <w:rPr>
                      <w:rFonts w:hint="eastAsia"/>
                      <w:b/>
                      <w:bCs/>
                      <w:color w:val="auto"/>
                      <w:sz w:val="21"/>
                      <w:szCs w:val="21"/>
                      <w:highlight w:val="none"/>
                    </w:rPr>
                    <w:t>方式</w:t>
                  </w:r>
                </w:p>
              </w:tc>
              <w:tc>
                <w:tcPr>
                  <w:tcW w:w="1691" w:type="dxa"/>
                  <w:tcBorders>
                    <w:tl2br w:val="nil"/>
                    <w:tr2bl w:val="nil"/>
                  </w:tcBorders>
                  <w:vAlign w:val="center"/>
                </w:tcPr>
                <w:p>
                  <w:pPr>
                    <w:spacing w:line="240" w:lineRule="auto"/>
                    <w:ind w:firstLine="0" w:firstLineChars="0"/>
                    <w:jc w:val="center"/>
                    <w:rPr>
                      <w:b/>
                      <w:bCs/>
                      <w:color w:val="auto"/>
                      <w:sz w:val="21"/>
                      <w:szCs w:val="21"/>
                      <w:highlight w:val="none"/>
                    </w:rPr>
                  </w:pPr>
                  <w:r>
                    <w:rPr>
                      <w:rFonts w:hint="eastAsia"/>
                      <w:b/>
                      <w:bCs/>
                      <w:color w:val="auto"/>
                      <w:sz w:val="21"/>
                      <w:szCs w:val="21"/>
                      <w:highlight w:val="none"/>
                    </w:rPr>
                    <w:t>处置方式</w:t>
                  </w:r>
                </w:p>
              </w:tc>
              <w:tc>
                <w:tcPr>
                  <w:tcW w:w="875" w:type="dxa"/>
                  <w:tcBorders>
                    <w:tl2br w:val="nil"/>
                    <w:tr2bl w:val="nil"/>
                  </w:tcBorders>
                  <w:vAlign w:val="center"/>
                </w:tcPr>
                <w:p>
                  <w:pPr>
                    <w:spacing w:line="240" w:lineRule="auto"/>
                    <w:ind w:firstLine="0" w:firstLineChars="0"/>
                    <w:jc w:val="center"/>
                    <w:rPr>
                      <w:b/>
                      <w:bCs/>
                      <w:color w:val="auto"/>
                      <w:sz w:val="21"/>
                      <w:szCs w:val="21"/>
                      <w:highlight w:val="none"/>
                    </w:rPr>
                  </w:pPr>
                  <w:r>
                    <w:rPr>
                      <w:rFonts w:hint="eastAsia"/>
                      <w:b/>
                      <w:bCs/>
                      <w:color w:val="auto"/>
                      <w:sz w:val="21"/>
                      <w:szCs w:val="21"/>
                      <w:highlight w:val="none"/>
                    </w:rPr>
                    <w:t>处置量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21" w:hRule="atLeast"/>
                <w:jc w:val="center"/>
              </w:trPr>
              <w:tc>
                <w:tcPr>
                  <w:tcW w:w="1432" w:type="dxa"/>
                  <w:vMerge w:val="restart"/>
                  <w:tcBorders>
                    <w:tl2br w:val="nil"/>
                    <w:tr2bl w:val="nil"/>
                  </w:tcBorders>
                  <w:vAlign w:val="center"/>
                </w:tcPr>
                <w:p>
                  <w:pPr>
                    <w:spacing w:line="240" w:lineRule="auto"/>
                    <w:ind w:firstLine="0" w:firstLineChars="0"/>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燃煤锅炉</w:t>
                  </w:r>
                </w:p>
              </w:tc>
              <w:tc>
                <w:tcPr>
                  <w:tcW w:w="1048" w:type="dxa"/>
                  <w:tcBorders>
                    <w:tl2br w:val="nil"/>
                    <w:tr2bl w:val="nil"/>
                  </w:tcBorders>
                  <w:vAlign w:val="center"/>
                </w:tcPr>
                <w:p>
                  <w:pPr>
                    <w:spacing w:line="240" w:lineRule="auto"/>
                    <w:ind w:firstLine="0" w:firstLineChars="0"/>
                    <w:jc w:val="center"/>
                    <w:rPr>
                      <w:rFonts w:hint="eastAsia"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灰渣</w:t>
                  </w:r>
                </w:p>
              </w:tc>
              <w:tc>
                <w:tcPr>
                  <w:tcW w:w="1395" w:type="dxa"/>
                  <w:vMerge w:val="restart"/>
                  <w:tcBorders>
                    <w:tl2br w:val="nil"/>
                    <w:tr2bl w:val="nil"/>
                  </w:tcBorders>
                  <w:vAlign w:val="center"/>
                </w:tcPr>
                <w:p>
                  <w:pPr>
                    <w:spacing w:line="240" w:lineRule="auto"/>
                    <w:ind w:firstLine="0" w:firstLineChars="0"/>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一般工业固废</w:t>
                  </w:r>
                </w:p>
              </w:tc>
              <w:tc>
                <w:tcPr>
                  <w:tcW w:w="846" w:type="dxa"/>
                  <w:tcBorders>
                    <w:tl2br w:val="nil"/>
                    <w:tr2bl w:val="nil"/>
                  </w:tcBorders>
                  <w:vAlign w:val="center"/>
                </w:tcPr>
                <w:p>
                  <w:pPr>
                    <w:spacing w:line="240" w:lineRule="auto"/>
                    <w:ind w:firstLine="0" w:firstLineChars="0"/>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42.24</w:t>
                  </w:r>
                  <w:r>
                    <w:rPr>
                      <w:rFonts w:hint="eastAsia"/>
                      <w:b w:val="0"/>
                      <w:bCs w:val="0"/>
                      <w:color w:val="auto"/>
                      <w:sz w:val="21"/>
                      <w:szCs w:val="21"/>
                      <w:highlight w:val="none"/>
                      <w:lang w:val="en-US"/>
                    </w:rPr>
                    <w:t>t/a</w:t>
                  </w:r>
                </w:p>
              </w:tc>
              <w:tc>
                <w:tcPr>
                  <w:tcW w:w="670" w:type="dxa"/>
                  <w:vMerge w:val="restart"/>
                  <w:tcBorders>
                    <w:tl2br w:val="nil"/>
                    <w:tr2bl w:val="nil"/>
                  </w:tcBorders>
                  <w:vAlign w:val="center"/>
                </w:tcPr>
                <w:p>
                  <w:pPr>
                    <w:spacing w:line="240" w:lineRule="auto"/>
                    <w:ind w:firstLine="0" w:firstLineChars="0"/>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暂存于全封闭式灰渣库</w:t>
                  </w:r>
                </w:p>
              </w:tc>
              <w:tc>
                <w:tcPr>
                  <w:tcW w:w="1691" w:type="dxa"/>
                  <w:vMerge w:val="restart"/>
                  <w:tcBorders>
                    <w:tl2br w:val="nil"/>
                    <w:tr2bl w:val="nil"/>
                  </w:tcBorders>
                  <w:vAlign w:val="center"/>
                </w:tcPr>
                <w:p>
                  <w:pPr>
                    <w:spacing w:line="240" w:lineRule="auto"/>
                    <w:ind w:firstLine="0" w:firstLineChars="0"/>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用于厂区铺路，不外排。</w:t>
                  </w:r>
                </w:p>
              </w:tc>
              <w:tc>
                <w:tcPr>
                  <w:tcW w:w="875" w:type="dxa"/>
                  <w:tcBorders>
                    <w:tl2br w:val="nil"/>
                    <w:tr2bl w:val="nil"/>
                  </w:tcBorders>
                  <w:vAlign w:val="center"/>
                </w:tcPr>
                <w:p>
                  <w:pPr>
                    <w:spacing w:line="240" w:lineRule="auto"/>
                    <w:ind w:firstLine="0" w:firstLineChars="0"/>
                    <w:jc w:val="center"/>
                    <w:rPr>
                      <w:rFonts w:hint="eastAsia" w:ascii="Times New Roman" w:hAnsi="Times New Roman" w:eastAsia="宋体" w:cstheme="minorBidi"/>
                      <w:b w:val="0"/>
                      <w:bCs w:val="0"/>
                      <w:color w:val="auto"/>
                      <w:kern w:val="2"/>
                      <w:sz w:val="21"/>
                      <w:szCs w:val="21"/>
                      <w:highlight w:val="none"/>
                      <w:lang w:val="en-US" w:eastAsia="zh-CN" w:bidi="ar-SA"/>
                    </w:rPr>
                  </w:pPr>
                  <w:r>
                    <w:rPr>
                      <w:rFonts w:hint="eastAsia"/>
                      <w:b w:val="0"/>
                      <w:bCs w:val="0"/>
                      <w:color w:val="auto"/>
                      <w:sz w:val="21"/>
                      <w:szCs w:val="21"/>
                      <w:highlight w:val="none"/>
                      <w:lang w:val="en-US" w:eastAsia="zh-CN"/>
                    </w:rPr>
                    <w:t>42.24</w:t>
                  </w:r>
                  <w:r>
                    <w:rPr>
                      <w:rFonts w:hint="eastAsia"/>
                      <w:b w:val="0"/>
                      <w:bCs w:val="0"/>
                      <w:color w:val="auto"/>
                      <w:sz w:val="21"/>
                      <w:szCs w:val="21"/>
                      <w:highlight w:val="none"/>
                      <w:lang w:val="en-US"/>
                    </w:rPr>
                    <w:t>t/a</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21" w:hRule="atLeast"/>
                <w:jc w:val="center"/>
              </w:trPr>
              <w:tc>
                <w:tcPr>
                  <w:tcW w:w="1432" w:type="dxa"/>
                  <w:vMerge w:val="continue"/>
                  <w:tcBorders>
                    <w:tl2br w:val="nil"/>
                    <w:tr2bl w:val="nil"/>
                  </w:tcBorders>
                  <w:vAlign w:val="center"/>
                </w:tcPr>
                <w:p>
                  <w:pPr>
                    <w:spacing w:line="240" w:lineRule="auto"/>
                    <w:ind w:firstLine="0" w:firstLineChars="0"/>
                    <w:jc w:val="center"/>
                    <w:rPr>
                      <w:rFonts w:hint="eastAsia"/>
                      <w:b w:val="0"/>
                      <w:bCs w:val="0"/>
                      <w:color w:val="auto"/>
                      <w:sz w:val="21"/>
                      <w:szCs w:val="21"/>
                      <w:highlight w:val="none"/>
                    </w:rPr>
                  </w:pPr>
                </w:p>
              </w:tc>
              <w:tc>
                <w:tcPr>
                  <w:tcW w:w="1048" w:type="dxa"/>
                  <w:tcBorders>
                    <w:tl2br w:val="nil"/>
                    <w:tr2bl w:val="nil"/>
                  </w:tcBorders>
                  <w:vAlign w:val="center"/>
                </w:tcPr>
                <w:p>
                  <w:pPr>
                    <w:spacing w:line="240" w:lineRule="auto"/>
                    <w:ind w:firstLine="0" w:firstLineChars="0"/>
                    <w:jc w:val="center"/>
                    <w:rPr>
                      <w:rFonts w:hint="eastAsia"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除尘灰</w:t>
                  </w:r>
                </w:p>
              </w:tc>
              <w:tc>
                <w:tcPr>
                  <w:tcW w:w="1395" w:type="dxa"/>
                  <w:vMerge w:val="continue"/>
                  <w:tcBorders>
                    <w:tl2br w:val="nil"/>
                    <w:tr2bl w:val="nil"/>
                  </w:tcBorders>
                  <w:vAlign w:val="center"/>
                </w:tcPr>
                <w:p>
                  <w:pPr>
                    <w:spacing w:line="240" w:lineRule="auto"/>
                    <w:ind w:firstLine="0" w:firstLineChars="0"/>
                    <w:jc w:val="center"/>
                    <w:rPr>
                      <w:rFonts w:hint="eastAsia"/>
                      <w:b w:val="0"/>
                      <w:bCs w:val="0"/>
                      <w:color w:val="auto"/>
                      <w:sz w:val="21"/>
                      <w:szCs w:val="21"/>
                      <w:highlight w:val="none"/>
                    </w:rPr>
                  </w:pPr>
                </w:p>
              </w:tc>
              <w:tc>
                <w:tcPr>
                  <w:tcW w:w="846" w:type="dxa"/>
                  <w:tcBorders>
                    <w:tl2br w:val="nil"/>
                    <w:tr2bl w:val="nil"/>
                  </w:tcBorders>
                  <w:vAlign w:val="center"/>
                </w:tcPr>
                <w:p>
                  <w:pPr>
                    <w:spacing w:line="240" w:lineRule="auto"/>
                    <w:ind w:firstLine="0" w:firstLineChars="0"/>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93.63</w:t>
                  </w:r>
                  <w:r>
                    <w:rPr>
                      <w:rFonts w:hint="eastAsia"/>
                      <w:b w:val="0"/>
                      <w:bCs w:val="0"/>
                      <w:color w:val="auto"/>
                      <w:sz w:val="21"/>
                      <w:szCs w:val="21"/>
                      <w:highlight w:val="none"/>
                      <w:lang w:val="en-US"/>
                    </w:rPr>
                    <w:t>t/a</w:t>
                  </w:r>
                </w:p>
              </w:tc>
              <w:tc>
                <w:tcPr>
                  <w:tcW w:w="670" w:type="dxa"/>
                  <w:vMerge w:val="continue"/>
                  <w:tcBorders>
                    <w:tl2br w:val="nil"/>
                    <w:tr2bl w:val="nil"/>
                  </w:tcBorders>
                  <w:vAlign w:val="center"/>
                </w:tcPr>
                <w:p>
                  <w:pPr>
                    <w:spacing w:line="240" w:lineRule="auto"/>
                    <w:ind w:firstLine="0" w:firstLineChars="0"/>
                    <w:jc w:val="center"/>
                    <w:rPr>
                      <w:rFonts w:hint="eastAsia"/>
                      <w:b w:val="0"/>
                      <w:bCs w:val="0"/>
                      <w:color w:val="auto"/>
                      <w:sz w:val="21"/>
                      <w:szCs w:val="21"/>
                      <w:highlight w:val="none"/>
                    </w:rPr>
                  </w:pPr>
                </w:p>
              </w:tc>
              <w:tc>
                <w:tcPr>
                  <w:tcW w:w="1691" w:type="dxa"/>
                  <w:vMerge w:val="continue"/>
                  <w:tcBorders>
                    <w:tl2br w:val="nil"/>
                    <w:tr2bl w:val="nil"/>
                  </w:tcBorders>
                  <w:vAlign w:val="center"/>
                </w:tcPr>
                <w:p>
                  <w:pPr>
                    <w:spacing w:line="240" w:lineRule="auto"/>
                    <w:ind w:firstLine="0" w:firstLineChars="0"/>
                    <w:jc w:val="center"/>
                    <w:rPr>
                      <w:rFonts w:hint="eastAsia"/>
                      <w:b w:val="0"/>
                      <w:bCs w:val="0"/>
                      <w:color w:val="auto"/>
                      <w:sz w:val="21"/>
                      <w:szCs w:val="21"/>
                      <w:highlight w:val="none"/>
                    </w:rPr>
                  </w:pPr>
                </w:p>
              </w:tc>
              <w:tc>
                <w:tcPr>
                  <w:tcW w:w="875" w:type="dxa"/>
                  <w:tcBorders>
                    <w:tl2br w:val="nil"/>
                    <w:tr2bl w:val="nil"/>
                  </w:tcBorders>
                  <w:vAlign w:val="center"/>
                </w:tcPr>
                <w:p>
                  <w:pPr>
                    <w:spacing w:line="240" w:lineRule="auto"/>
                    <w:ind w:firstLine="0" w:firstLineChars="0"/>
                    <w:jc w:val="center"/>
                    <w:rPr>
                      <w:rFonts w:hint="eastAsia" w:ascii="Times New Roman" w:hAnsi="Times New Roman" w:eastAsia="宋体" w:cstheme="minorBidi"/>
                      <w:b w:val="0"/>
                      <w:bCs w:val="0"/>
                      <w:color w:val="auto"/>
                      <w:kern w:val="2"/>
                      <w:sz w:val="21"/>
                      <w:szCs w:val="21"/>
                      <w:highlight w:val="none"/>
                      <w:lang w:val="en-US" w:eastAsia="zh-CN" w:bidi="ar-SA"/>
                    </w:rPr>
                  </w:pPr>
                  <w:r>
                    <w:rPr>
                      <w:rFonts w:hint="eastAsia"/>
                      <w:b w:val="0"/>
                      <w:bCs w:val="0"/>
                      <w:color w:val="auto"/>
                      <w:sz w:val="21"/>
                      <w:szCs w:val="21"/>
                      <w:highlight w:val="none"/>
                      <w:lang w:val="en-US" w:eastAsia="zh-CN"/>
                    </w:rPr>
                    <w:t>93.63</w:t>
                  </w:r>
                  <w:r>
                    <w:rPr>
                      <w:rFonts w:hint="eastAsia"/>
                      <w:b w:val="0"/>
                      <w:bCs w:val="0"/>
                      <w:color w:val="auto"/>
                      <w:sz w:val="21"/>
                      <w:szCs w:val="21"/>
                      <w:highlight w:val="none"/>
                      <w:lang w:val="en-US"/>
                    </w:rPr>
                    <w:t>t/a</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21" w:hRule="atLeast"/>
                <w:jc w:val="center"/>
              </w:trPr>
              <w:tc>
                <w:tcPr>
                  <w:tcW w:w="1432" w:type="dxa"/>
                  <w:tcBorders>
                    <w:tl2br w:val="nil"/>
                    <w:tr2bl w:val="nil"/>
                  </w:tcBorders>
                  <w:vAlign w:val="center"/>
                </w:tcPr>
                <w:p>
                  <w:pPr>
                    <w:spacing w:line="240" w:lineRule="auto"/>
                    <w:ind w:firstLine="0" w:firstLineChars="0"/>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脱硫塔</w:t>
                  </w:r>
                </w:p>
              </w:tc>
              <w:tc>
                <w:tcPr>
                  <w:tcW w:w="1048" w:type="dxa"/>
                  <w:tcBorders>
                    <w:tl2br w:val="nil"/>
                    <w:tr2bl w:val="nil"/>
                  </w:tcBorders>
                  <w:vAlign w:val="center"/>
                </w:tcPr>
                <w:p>
                  <w:pPr>
                    <w:spacing w:line="240" w:lineRule="auto"/>
                    <w:ind w:firstLine="0" w:firstLineChars="0"/>
                    <w:jc w:val="center"/>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脱硫废渣</w:t>
                  </w:r>
                </w:p>
              </w:tc>
              <w:tc>
                <w:tcPr>
                  <w:tcW w:w="1395" w:type="dxa"/>
                  <w:vMerge w:val="continue"/>
                  <w:tcBorders>
                    <w:tl2br w:val="nil"/>
                    <w:tr2bl w:val="nil"/>
                  </w:tcBorders>
                  <w:vAlign w:val="center"/>
                </w:tcPr>
                <w:p>
                  <w:pPr>
                    <w:spacing w:line="240" w:lineRule="auto"/>
                    <w:ind w:firstLine="0" w:firstLineChars="0"/>
                    <w:jc w:val="center"/>
                    <w:rPr>
                      <w:rFonts w:hint="eastAsia"/>
                      <w:b w:val="0"/>
                      <w:bCs w:val="0"/>
                      <w:color w:val="auto"/>
                      <w:sz w:val="21"/>
                      <w:szCs w:val="21"/>
                      <w:highlight w:val="none"/>
                    </w:rPr>
                  </w:pPr>
                </w:p>
              </w:tc>
              <w:tc>
                <w:tcPr>
                  <w:tcW w:w="846" w:type="dxa"/>
                  <w:tcBorders>
                    <w:tl2br w:val="nil"/>
                    <w:tr2bl w:val="nil"/>
                  </w:tcBorders>
                  <w:vAlign w:val="center"/>
                </w:tcPr>
                <w:p>
                  <w:pPr>
                    <w:spacing w:line="240" w:lineRule="auto"/>
                    <w:ind w:firstLine="0" w:firstLineChars="0"/>
                    <w:jc w:val="center"/>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9.08</w:t>
                  </w:r>
                  <w:r>
                    <w:rPr>
                      <w:rFonts w:hint="eastAsia"/>
                      <w:b w:val="0"/>
                      <w:bCs w:val="0"/>
                      <w:color w:val="auto"/>
                      <w:sz w:val="21"/>
                      <w:szCs w:val="21"/>
                      <w:highlight w:val="none"/>
                      <w:lang w:val="en-US"/>
                    </w:rPr>
                    <w:t>t/a</w:t>
                  </w:r>
                </w:p>
              </w:tc>
              <w:tc>
                <w:tcPr>
                  <w:tcW w:w="670" w:type="dxa"/>
                  <w:tcBorders>
                    <w:tl2br w:val="nil"/>
                    <w:tr2bl w:val="nil"/>
                  </w:tcBorders>
                  <w:vAlign w:val="center"/>
                </w:tcPr>
                <w:p>
                  <w:pPr>
                    <w:spacing w:line="240" w:lineRule="auto"/>
                    <w:ind w:firstLine="0" w:firstLineChars="0"/>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不暂存</w:t>
                  </w:r>
                </w:p>
              </w:tc>
              <w:tc>
                <w:tcPr>
                  <w:tcW w:w="1691" w:type="dxa"/>
                  <w:tcBorders>
                    <w:tl2br w:val="nil"/>
                    <w:tr2bl w:val="nil"/>
                  </w:tcBorders>
                  <w:vAlign w:val="center"/>
                </w:tcPr>
                <w:p>
                  <w:pPr>
                    <w:spacing w:line="240" w:lineRule="auto"/>
                    <w:ind w:firstLine="0" w:firstLineChars="0"/>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由建材公司回收利用</w:t>
                  </w:r>
                </w:p>
              </w:tc>
              <w:tc>
                <w:tcPr>
                  <w:tcW w:w="875" w:type="dxa"/>
                  <w:tcBorders>
                    <w:tl2br w:val="nil"/>
                    <w:tr2bl w:val="nil"/>
                  </w:tcBorders>
                  <w:vAlign w:val="center"/>
                </w:tcPr>
                <w:p>
                  <w:pPr>
                    <w:spacing w:line="240" w:lineRule="auto"/>
                    <w:ind w:firstLine="0" w:firstLineChars="0"/>
                    <w:jc w:val="center"/>
                    <w:rPr>
                      <w:rFonts w:hint="eastAsia" w:ascii="Times New Roman" w:hAnsi="Times New Roman" w:eastAsia="宋体" w:cstheme="minorBidi"/>
                      <w:b w:val="0"/>
                      <w:bCs w:val="0"/>
                      <w:color w:val="auto"/>
                      <w:kern w:val="2"/>
                      <w:sz w:val="21"/>
                      <w:szCs w:val="21"/>
                      <w:highlight w:val="none"/>
                      <w:lang w:val="en-US" w:eastAsia="zh-CN" w:bidi="ar-SA"/>
                    </w:rPr>
                  </w:pPr>
                  <w:r>
                    <w:rPr>
                      <w:rFonts w:hint="eastAsia"/>
                      <w:b w:val="0"/>
                      <w:bCs w:val="0"/>
                      <w:color w:val="auto"/>
                      <w:sz w:val="21"/>
                      <w:szCs w:val="21"/>
                      <w:highlight w:val="none"/>
                      <w:lang w:val="en-US" w:eastAsia="zh-CN"/>
                    </w:rPr>
                    <w:t>9.08</w:t>
                  </w:r>
                  <w:r>
                    <w:rPr>
                      <w:rFonts w:hint="eastAsia"/>
                      <w:b w:val="0"/>
                      <w:bCs w:val="0"/>
                      <w:color w:val="auto"/>
                      <w:sz w:val="21"/>
                      <w:szCs w:val="21"/>
                      <w:highlight w:val="none"/>
                      <w:lang w:val="en-US"/>
                    </w:rPr>
                    <w:t>t/a</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21" w:hRule="atLeast"/>
                <w:jc w:val="center"/>
              </w:trPr>
              <w:tc>
                <w:tcPr>
                  <w:tcW w:w="1432" w:type="dxa"/>
                  <w:tcBorders>
                    <w:tl2br w:val="nil"/>
                    <w:tr2bl w:val="nil"/>
                  </w:tcBorders>
                  <w:vAlign w:val="center"/>
                </w:tcPr>
                <w:p>
                  <w:pPr>
                    <w:spacing w:line="240" w:lineRule="auto"/>
                    <w:ind w:firstLine="0" w:firstLineChars="0"/>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软水制备</w:t>
                  </w:r>
                </w:p>
              </w:tc>
              <w:tc>
                <w:tcPr>
                  <w:tcW w:w="1048" w:type="dxa"/>
                  <w:tcBorders>
                    <w:tl2br w:val="nil"/>
                    <w:tr2bl w:val="nil"/>
                  </w:tcBorders>
                  <w:vAlign w:val="center"/>
                </w:tcPr>
                <w:p>
                  <w:pPr>
                    <w:spacing w:line="240" w:lineRule="auto"/>
                    <w:ind w:firstLine="0" w:firstLineChars="0"/>
                    <w:jc w:val="center"/>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废饱和树脂</w:t>
                  </w:r>
                </w:p>
              </w:tc>
              <w:tc>
                <w:tcPr>
                  <w:tcW w:w="1395" w:type="dxa"/>
                  <w:vMerge w:val="continue"/>
                  <w:tcBorders>
                    <w:tl2br w:val="nil"/>
                    <w:tr2bl w:val="nil"/>
                  </w:tcBorders>
                  <w:vAlign w:val="center"/>
                </w:tcPr>
                <w:p>
                  <w:pPr>
                    <w:spacing w:line="240" w:lineRule="auto"/>
                    <w:ind w:firstLine="0" w:firstLineChars="0"/>
                    <w:jc w:val="center"/>
                    <w:rPr>
                      <w:rFonts w:hint="eastAsia"/>
                      <w:b w:val="0"/>
                      <w:bCs w:val="0"/>
                      <w:color w:val="auto"/>
                      <w:sz w:val="21"/>
                      <w:szCs w:val="21"/>
                      <w:highlight w:val="none"/>
                    </w:rPr>
                  </w:pPr>
                </w:p>
              </w:tc>
              <w:tc>
                <w:tcPr>
                  <w:tcW w:w="846" w:type="dxa"/>
                  <w:tcBorders>
                    <w:tl2br w:val="nil"/>
                    <w:tr2bl w:val="nil"/>
                  </w:tcBorders>
                  <w:vAlign w:val="center"/>
                </w:tcPr>
                <w:p>
                  <w:pPr>
                    <w:spacing w:line="240" w:lineRule="auto"/>
                    <w:ind w:firstLine="0" w:firstLineChars="0"/>
                    <w:jc w:val="center"/>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0.3</w:t>
                  </w:r>
                  <w:r>
                    <w:rPr>
                      <w:rFonts w:hint="eastAsia"/>
                      <w:b w:val="0"/>
                      <w:bCs w:val="0"/>
                      <w:color w:val="auto"/>
                      <w:sz w:val="21"/>
                      <w:szCs w:val="21"/>
                      <w:highlight w:val="none"/>
                      <w:lang w:val="en-US"/>
                    </w:rPr>
                    <w:t>t/a</w:t>
                  </w:r>
                </w:p>
              </w:tc>
              <w:tc>
                <w:tcPr>
                  <w:tcW w:w="670" w:type="dxa"/>
                  <w:tcBorders>
                    <w:tl2br w:val="nil"/>
                    <w:tr2bl w:val="nil"/>
                  </w:tcBorders>
                  <w:vAlign w:val="center"/>
                </w:tcPr>
                <w:p>
                  <w:pPr>
                    <w:spacing w:line="240" w:lineRule="auto"/>
                    <w:ind w:firstLine="0" w:firstLineChars="0"/>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不在厂区内暂存</w:t>
                  </w:r>
                </w:p>
              </w:tc>
              <w:tc>
                <w:tcPr>
                  <w:tcW w:w="1691" w:type="dxa"/>
                  <w:tcBorders>
                    <w:tl2br w:val="nil"/>
                    <w:tr2bl w:val="nil"/>
                  </w:tcBorders>
                  <w:vAlign w:val="center"/>
                </w:tcPr>
                <w:p>
                  <w:pPr>
                    <w:spacing w:line="240" w:lineRule="auto"/>
                    <w:ind w:firstLine="0" w:firstLineChars="0"/>
                    <w:jc w:val="center"/>
                    <w:rPr>
                      <w:rFonts w:hint="eastAsia"/>
                      <w:b w:val="0"/>
                      <w:bCs w:val="0"/>
                      <w:color w:val="auto"/>
                      <w:sz w:val="21"/>
                      <w:szCs w:val="21"/>
                      <w:highlight w:val="none"/>
                    </w:rPr>
                  </w:pPr>
                  <w:r>
                    <w:rPr>
                      <w:rFonts w:hint="eastAsia"/>
                      <w:b w:val="0"/>
                      <w:bCs w:val="0"/>
                      <w:color w:val="auto"/>
                      <w:sz w:val="21"/>
                      <w:szCs w:val="21"/>
                      <w:highlight w:val="none"/>
                      <w:lang w:val="en-US" w:eastAsia="zh-CN"/>
                    </w:rPr>
                    <w:t>由销售厂家回收，不在厂区内暂存</w:t>
                  </w:r>
                </w:p>
              </w:tc>
              <w:tc>
                <w:tcPr>
                  <w:tcW w:w="875" w:type="dxa"/>
                  <w:tcBorders>
                    <w:tl2br w:val="nil"/>
                    <w:tr2bl w:val="nil"/>
                  </w:tcBorders>
                  <w:vAlign w:val="center"/>
                </w:tcPr>
                <w:p>
                  <w:pPr>
                    <w:spacing w:line="240" w:lineRule="auto"/>
                    <w:ind w:firstLine="0" w:firstLineChars="0"/>
                    <w:jc w:val="center"/>
                    <w:rPr>
                      <w:rFonts w:hint="eastAsia" w:ascii="Times New Roman" w:hAnsi="Times New Roman" w:eastAsia="宋体" w:cstheme="minorBidi"/>
                      <w:b w:val="0"/>
                      <w:bCs w:val="0"/>
                      <w:color w:val="auto"/>
                      <w:kern w:val="2"/>
                      <w:sz w:val="21"/>
                      <w:szCs w:val="21"/>
                      <w:highlight w:val="none"/>
                      <w:lang w:val="en-US" w:eastAsia="zh-CN" w:bidi="ar-SA"/>
                    </w:rPr>
                  </w:pPr>
                  <w:r>
                    <w:rPr>
                      <w:rFonts w:hint="eastAsia"/>
                      <w:b w:val="0"/>
                      <w:bCs w:val="0"/>
                      <w:color w:val="auto"/>
                      <w:sz w:val="21"/>
                      <w:szCs w:val="21"/>
                      <w:highlight w:val="none"/>
                      <w:lang w:val="en-US" w:eastAsia="zh-CN"/>
                    </w:rPr>
                    <w:t>0.3</w:t>
                  </w:r>
                  <w:r>
                    <w:rPr>
                      <w:rFonts w:hint="eastAsia"/>
                      <w:b w:val="0"/>
                      <w:bCs w:val="0"/>
                      <w:color w:val="auto"/>
                      <w:sz w:val="21"/>
                      <w:szCs w:val="21"/>
                      <w:highlight w:val="none"/>
                      <w:lang w:val="en-US"/>
                    </w:rPr>
                    <w:t>t/a</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21" w:hRule="atLeast"/>
                <w:jc w:val="center"/>
              </w:trPr>
              <w:tc>
                <w:tcPr>
                  <w:tcW w:w="1432" w:type="dxa"/>
                  <w:tcBorders>
                    <w:tl2br w:val="nil"/>
                    <w:tr2bl w:val="nil"/>
                  </w:tcBorders>
                  <w:vAlign w:val="center"/>
                </w:tcPr>
                <w:p>
                  <w:pPr>
                    <w:spacing w:line="240" w:lineRule="auto"/>
                    <w:ind w:firstLine="0" w:firstLineChars="0"/>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职工生活</w:t>
                  </w:r>
                </w:p>
              </w:tc>
              <w:tc>
                <w:tcPr>
                  <w:tcW w:w="1048" w:type="dxa"/>
                  <w:tcBorders>
                    <w:tl2br w:val="nil"/>
                    <w:tr2bl w:val="nil"/>
                  </w:tcBorders>
                  <w:vAlign w:val="center"/>
                </w:tcPr>
                <w:p>
                  <w:pPr>
                    <w:spacing w:line="240" w:lineRule="auto"/>
                    <w:ind w:firstLine="0" w:firstLineChars="0"/>
                    <w:jc w:val="center"/>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生活垃圾</w:t>
                  </w:r>
                </w:p>
              </w:tc>
              <w:tc>
                <w:tcPr>
                  <w:tcW w:w="1395" w:type="dxa"/>
                  <w:tcBorders>
                    <w:tl2br w:val="nil"/>
                    <w:tr2bl w:val="nil"/>
                  </w:tcBorders>
                  <w:vAlign w:val="center"/>
                </w:tcPr>
                <w:p>
                  <w:pPr>
                    <w:spacing w:line="240" w:lineRule="auto"/>
                    <w:ind w:firstLine="0" w:firstLineChars="0"/>
                    <w:jc w:val="center"/>
                    <w:rPr>
                      <w:rFonts w:hint="eastAsia"/>
                      <w:b w:val="0"/>
                      <w:bCs w:val="0"/>
                      <w:color w:val="auto"/>
                      <w:sz w:val="21"/>
                      <w:szCs w:val="21"/>
                      <w:highlight w:val="none"/>
                    </w:rPr>
                  </w:pPr>
                </w:p>
              </w:tc>
              <w:tc>
                <w:tcPr>
                  <w:tcW w:w="846" w:type="dxa"/>
                  <w:tcBorders>
                    <w:tl2br w:val="nil"/>
                    <w:tr2bl w:val="nil"/>
                  </w:tcBorders>
                  <w:vAlign w:val="center"/>
                </w:tcPr>
                <w:p>
                  <w:pPr>
                    <w:spacing w:line="240" w:lineRule="auto"/>
                    <w:ind w:firstLine="0" w:firstLineChars="0"/>
                    <w:jc w:val="center"/>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0.72</w:t>
                  </w:r>
                  <w:r>
                    <w:rPr>
                      <w:rFonts w:hint="eastAsia"/>
                      <w:b w:val="0"/>
                      <w:bCs w:val="0"/>
                      <w:color w:val="auto"/>
                      <w:sz w:val="21"/>
                      <w:szCs w:val="21"/>
                      <w:highlight w:val="none"/>
                      <w:lang w:val="en-US"/>
                    </w:rPr>
                    <w:t>t/a</w:t>
                  </w:r>
                </w:p>
              </w:tc>
              <w:tc>
                <w:tcPr>
                  <w:tcW w:w="670" w:type="dxa"/>
                  <w:tcBorders>
                    <w:tl2br w:val="nil"/>
                    <w:tr2bl w:val="nil"/>
                  </w:tcBorders>
                  <w:vAlign w:val="center"/>
                </w:tcPr>
                <w:p>
                  <w:pPr>
                    <w:spacing w:line="240" w:lineRule="auto"/>
                    <w:ind w:firstLine="0" w:firstLineChars="0"/>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厂区垃圾桶</w:t>
                  </w:r>
                </w:p>
              </w:tc>
              <w:tc>
                <w:tcPr>
                  <w:tcW w:w="1691" w:type="dxa"/>
                  <w:tcBorders>
                    <w:tl2br w:val="nil"/>
                    <w:tr2bl w:val="nil"/>
                  </w:tcBorders>
                  <w:vAlign w:val="center"/>
                </w:tcPr>
                <w:p>
                  <w:pPr>
                    <w:spacing w:line="240" w:lineRule="auto"/>
                    <w:ind w:firstLine="0" w:firstLineChars="0"/>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环卫部门清运</w:t>
                  </w:r>
                </w:p>
              </w:tc>
              <w:tc>
                <w:tcPr>
                  <w:tcW w:w="875" w:type="dxa"/>
                  <w:tcBorders>
                    <w:tl2br w:val="nil"/>
                    <w:tr2bl w:val="nil"/>
                  </w:tcBorders>
                  <w:vAlign w:val="center"/>
                </w:tcPr>
                <w:p>
                  <w:pPr>
                    <w:spacing w:line="240" w:lineRule="auto"/>
                    <w:ind w:firstLine="0" w:firstLineChars="0"/>
                    <w:jc w:val="center"/>
                    <w:rPr>
                      <w:rFonts w:hint="eastAsia" w:ascii="Times New Roman" w:hAnsi="Times New Roman" w:eastAsia="宋体" w:cstheme="minorBidi"/>
                      <w:b w:val="0"/>
                      <w:bCs w:val="0"/>
                      <w:color w:val="auto"/>
                      <w:kern w:val="2"/>
                      <w:sz w:val="21"/>
                      <w:szCs w:val="21"/>
                      <w:highlight w:val="none"/>
                      <w:lang w:val="en-US" w:eastAsia="zh-CN" w:bidi="ar-SA"/>
                    </w:rPr>
                  </w:pPr>
                  <w:r>
                    <w:rPr>
                      <w:rFonts w:hint="eastAsia"/>
                      <w:b w:val="0"/>
                      <w:bCs w:val="0"/>
                      <w:color w:val="auto"/>
                      <w:sz w:val="21"/>
                      <w:szCs w:val="21"/>
                      <w:highlight w:val="none"/>
                      <w:lang w:val="en-US" w:eastAsia="zh-CN"/>
                    </w:rPr>
                    <w:t>0.72</w:t>
                  </w:r>
                  <w:r>
                    <w:rPr>
                      <w:rFonts w:hint="eastAsia"/>
                      <w:b w:val="0"/>
                      <w:bCs w:val="0"/>
                      <w:color w:val="auto"/>
                      <w:sz w:val="21"/>
                      <w:szCs w:val="21"/>
                      <w:highlight w:val="none"/>
                      <w:lang w:val="en-US"/>
                    </w:rPr>
                    <w:t>t/a</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b/>
                <w:bCs/>
                <w:color w:val="auto"/>
                <w:sz w:val="24"/>
                <w:szCs w:val="24"/>
                <w:highlight w:val="none"/>
                <w:lang w:val="en-US" w:eastAsia="zh-CN"/>
              </w:rPr>
            </w:pPr>
            <w:r>
              <w:rPr>
                <w:rFonts w:hint="eastAsia"/>
                <w:b/>
                <w:bCs/>
                <w:color w:val="auto"/>
                <w:highlight w:val="none"/>
                <w:lang w:val="en-US" w:eastAsia="zh-CN"/>
              </w:rPr>
              <w:t>2.5</w:t>
            </w:r>
            <w:r>
              <w:rPr>
                <w:rFonts w:hint="eastAsia"/>
                <w:b/>
                <w:bCs/>
                <w:color w:val="auto"/>
                <w:sz w:val="24"/>
                <w:szCs w:val="24"/>
                <w:highlight w:val="none"/>
                <w:lang w:val="en-US" w:eastAsia="zh-CN"/>
              </w:rPr>
              <w:t>现有工程污染物排放情况汇总</w:t>
            </w:r>
          </w:p>
          <w:p>
            <w:pPr>
              <w:bidi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现有工程污染物排放情况汇总见</w:t>
            </w:r>
            <w:r>
              <w:rPr>
                <w:rFonts w:hint="eastAsia" w:cs="Times New Roman"/>
                <w:color w:val="auto"/>
                <w:sz w:val="24"/>
                <w:szCs w:val="24"/>
                <w:highlight w:val="none"/>
                <w:lang w:eastAsia="zh-CN"/>
              </w:rPr>
              <w:t>下表</w:t>
            </w:r>
            <w:r>
              <w:rPr>
                <w:rFonts w:hint="eastAsia"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bCs/>
                <w:color w:val="auto"/>
                <w:sz w:val="24"/>
                <w:szCs w:val="24"/>
                <w:highlight w:val="none"/>
              </w:rPr>
            </w:pPr>
            <w:r>
              <w:rPr>
                <w:rFonts w:hint="default"/>
                <w:b/>
                <w:bCs/>
                <w:color w:val="auto"/>
                <w:sz w:val="24"/>
                <w:szCs w:val="24"/>
                <w:highlight w:val="none"/>
              </w:rPr>
              <w:t>表</w:t>
            </w:r>
            <w:r>
              <w:rPr>
                <w:rFonts w:hint="eastAsia"/>
                <w:b/>
                <w:bCs/>
                <w:color w:val="auto"/>
                <w:sz w:val="24"/>
                <w:szCs w:val="24"/>
                <w:highlight w:val="none"/>
                <w:lang w:val="en-US" w:eastAsia="zh-CN"/>
              </w:rPr>
              <w:t xml:space="preserve">12    </w:t>
            </w:r>
            <w:r>
              <w:rPr>
                <w:rFonts w:hint="default"/>
                <w:b/>
                <w:bCs/>
                <w:color w:val="auto"/>
                <w:sz w:val="24"/>
                <w:szCs w:val="24"/>
                <w:highlight w:val="none"/>
              </w:rPr>
              <w:t>现有工程污染物排放情况一览表</w:t>
            </w:r>
          </w:p>
          <w:tbl>
            <w:tblPr>
              <w:tblStyle w:val="18"/>
              <w:tblW w:w="7961"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0"/>
              <w:gridCol w:w="1146"/>
              <w:gridCol w:w="1160"/>
              <w:gridCol w:w="1160"/>
              <w:gridCol w:w="1040"/>
              <w:gridCol w:w="1187"/>
              <w:gridCol w:w="17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rPr>
                    <w:t>项目</w:t>
                  </w:r>
                </w:p>
              </w:tc>
              <w:tc>
                <w:tcPr>
                  <w:tcW w:w="11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bCs/>
                      <w:color w:val="auto"/>
                      <w:sz w:val="21"/>
                      <w:szCs w:val="21"/>
                      <w:highlight w:val="none"/>
                      <w:vertAlign w:val="baseline"/>
                    </w:rPr>
                  </w:pPr>
                  <w:r>
                    <w:rPr>
                      <w:rFonts w:hint="default" w:ascii="Times New Roman" w:hAnsi="Times New Roman" w:eastAsia="宋体" w:cs="Times New Roman"/>
                      <w:b/>
                      <w:bCs/>
                      <w:color w:val="auto"/>
                      <w:sz w:val="21"/>
                      <w:szCs w:val="21"/>
                      <w:highlight w:val="none"/>
                    </w:rPr>
                    <w:t>污染物名称</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bCs/>
                      <w:color w:val="auto"/>
                      <w:sz w:val="21"/>
                      <w:szCs w:val="21"/>
                      <w:highlight w:val="none"/>
                      <w:vertAlign w:val="baseline"/>
                    </w:rPr>
                  </w:pPr>
                  <w:r>
                    <w:rPr>
                      <w:rFonts w:hint="eastAsia" w:cs="Times New Roman"/>
                      <w:b/>
                      <w:bCs/>
                      <w:color w:val="auto"/>
                      <w:sz w:val="21"/>
                      <w:szCs w:val="21"/>
                      <w:highlight w:val="none"/>
                      <w:lang w:eastAsia="zh-CN"/>
                    </w:rPr>
                    <w:t>排放量</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bCs/>
                      <w:color w:val="auto"/>
                      <w:sz w:val="21"/>
                      <w:szCs w:val="21"/>
                      <w:highlight w:val="none"/>
                      <w:vertAlign w:val="baseline"/>
                    </w:rPr>
                  </w:pPr>
                  <w:r>
                    <w:rPr>
                      <w:rFonts w:hint="eastAsia" w:cs="Times New Roman"/>
                      <w:b/>
                      <w:bCs/>
                      <w:color w:val="auto"/>
                      <w:sz w:val="21"/>
                      <w:szCs w:val="21"/>
                      <w:highlight w:val="none"/>
                      <w:lang w:eastAsia="zh-CN"/>
                    </w:rPr>
                    <w:t>排放浓度</w:t>
                  </w:r>
                </w:p>
              </w:tc>
              <w:tc>
                <w:tcPr>
                  <w:tcW w:w="104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bCs/>
                      <w:color w:val="auto"/>
                      <w:sz w:val="21"/>
                      <w:szCs w:val="21"/>
                      <w:highlight w:val="none"/>
                      <w:vertAlign w:val="baseline"/>
                    </w:rPr>
                  </w:pPr>
                  <w:r>
                    <w:rPr>
                      <w:rFonts w:hint="eastAsia" w:cs="Times New Roman"/>
                      <w:b/>
                      <w:bCs/>
                      <w:color w:val="auto"/>
                      <w:kern w:val="2"/>
                      <w:sz w:val="21"/>
                      <w:szCs w:val="21"/>
                      <w:highlight w:val="none"/>
                      <w:lang w:val="en-US" w:eastAsia="zh-CN" w:bidi="ar-SA"/>
                    </w:rPr>
                    <w:t>排放速率</w:t>
                  </w:r>
                </w:p>
              </w:tc>
              <w:tc>
                <w:tcPr>
                  <w:tcW w:w="118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bCs/>
                      <w:color w:val="auto"/>
                      <w:sz w:val="21"/>
                      <w:szCs w:val="21"/>
                      <w:highlight w:val="none"/>
                      <w:vertAlign w:val="baseline"/>
                    </w:rPr>
                  </w:pPr>
                  <w:r>
                    <w:rPr>
                      <w:rFonts w:hint="eastAsia" w:cs="Times New Roman"/>
                      <w:b/>
                      <w:bCs/>
                      <w:color w:val="auto"/>
                      <w:sz w:val="21"/>
                      <w:szCs w:val="21"/>
                      <w:highlight w:val="none"/>
                      <w:lang w:eastAsia="zh-CN"/>
                    </w:rPr>
                    <w:t>治理措施</w:t>
                  </w:r>
                </w:p>
              </w:tc>
              <w:tc>
                <w:tcPr>
                  <w:tcW w:w="171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bCs/>
                      <w:color w:val="auto"/>
                      <w:sz w:val="21"/>
                      <w:szCs w:val="21"/>
                      <w:highlight w:val="none"/>
                      <w:vertAlign w:val="baseline"/>
                    </w:rPr>
                  </w:pPr>
                  <w:r>
                    <w:rPr>
                      <w:rFonts w:hint="eastAsia" w:cs="Times New Roman"/>
                      <w:b/>
                      <w:bCs/>
                      <w:color w:val="auto"/>
                      <w:sz w:val="21"/>
                      <w:szCs w:val="21"/>
                      <w:highlight w:val="none"/>
                      <w:lang w:eastAsia="zh-CN"/>
                    </w:rPr>
                    <w:t>达标情况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55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锅炉废气</w:t>
                  </w:r>
                </w:p>
              </w:tc>
              <w:tc>
                <w:tcPr>
                  <w:tcW w:w="11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颗粒物</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lang w:val="en-US" w:eastAsia="zh-CN"/>
                    </w:rPr>
                    <w:t>3.283</w:t>
                  </w:r>
                  <w:r>
                    <w:rPr>
                      <w:rFonts w:hint="default"/>
                      <w:color w:val="auto"/>
                      <w:sz w:val="21"/>
                      <w:szCs w:val="21"/>
                      <w:highlight w:val="none"/>
                    </w:rPr>
                    <w:t>t/a</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28.5mg/m</w:t>
                  </w:r>
                  <w:r>
                    <w:rPr>
                      <w:rFonts w:hint="eastAsia"/>
                      <w:b w:val="0"/>
                      <w:bCs w:val="0"/>
                      <w:color w:val="auto"/>
                      <w:sz w:val="21"/>
                      <w:szCs w:val="21"/>
                      <w:highlight w:val="none"/>
                      <w:vertAlign w:val="superscript"/>
                      <w:lang w:val="en-US" w:eastAsia="zh-CN"/>
                    </w:rPr>
                    <w:t>3</w:t>
                  </w:r>
                </w:p>
              </w:tc>
              <w:tc>
                <w:tcPr>
                  <w:tcW w:w="104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0.76kg/h</w:t>
                  </w:r>
                </w:p>
              </w:tc>
              <w:tc>
                <w:tcPr>
                  <w:tcW w:w="11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废气经布袋除尘器+双碱法除尘脱硫系统处理后，由1根45m高的排气筒进行排放</w:t>
                  </w:r>
                </w:p>
              </w:tc>
              <w:tc>
                <w:tcPr>
                  <w:tcW w:w="1718"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排放标准可以满足《锅炉大气污染物排放标准》（GB13271-2014）中的表1燃煤锅炉：颗粒物80mg/m</w:t>
                  </w:r>
                  <w:r>
                    <w:rPr>
                      <w:rFonts w:hint="eastAsia"/>
                      <w:b w:val="0"/>
                      <w:bCs w:val="0"/>
                      <w:color w:val="auto"/>
                      <w:sz w:val="21"/>
                      <w:szCs w:val="21"/>
                      <w:highlight w:val="none"/>
                      <w:vertAlign w:val="superscript"/>
                      <w:lang w:val="en-US" w:eastAsia="zh-CN"/>
                    </w:rPr>
                    <w:t>3</w:t>
                  </w:r>
                  <w:r>
                    <w:rPr>
                      <w:rFonts w:hint="eastAsia"/>
                      <w:b w:val="0"/>
                      <w:bCs w:val="0"/>
                      <w:color w:val="auto"/>
                      <w:sz w:val="21"/>
                      <w:szCs w:val="21"/>
                      <w:highlight w:val="none"/>
                      <w:vertAlign w:val="baseline"/>
                      <w:lang w:val="en-US" w:eastAsia="zh-CN"/>
                    </w:rPr>
                    <w:t>，二氧化硫400mg/m</w:t>
                  </w:r>
                  <w:r>
                    <w:rPr>
                      <w:rFonts w:hint="eastAsia"/>
                      <w:b w:val="0"/>
                      <w:bCs w:val="0"/>
                      <w:color w:val="auto"/>
                      <w:sz w:val="21"/>
                      <w:szCs w:val="21"/>
                      <w:highlight w:val="none"/>
                      <w:vertAlign w:val="superscript"/>
                      <w:lang w:val="en-US" w:eastAsia="zh-CN"/>
                    </w:rPr>
                    <w:t>3</w:t>
                  </w:r>
                  <w:r>
                    <w:rPr>
                      <w:rFonts w:hint="eastAsia"/>
                      <w:b w:val="0"/>
                      <w:bCs w:val="0"/>
                      <w:color w:val="auto"/>
                      <w:sz w:val="21"/>
                      <w:szCs w:val="21"/>
                      <w:highlight w:val="none"/>
                      <w:vertAlign w:val="baseline"/>
                      <w:lang w:val="en-US" w:eastAsia="zh-CN"/>
                    </w:rPr>
                    <w:t>，氮氧化物400mg/m</w:t>
                  </w:r>
                  <w:r>
                    <w:rPr>
                      <w:rFonts w:hint="eastAsia"/>
                      <w:b w:val="0"/>
                      <w:bCs w:val="0"/>
                      <w:color w:val="auto"/>
                      <w:sz w:val="21"/>
                      <w:szCs w:val="21"/>
                      <w:highlight w:val="none"/>
                      <w:vertAlign w:val="superscript"/>
                      <w:lang w:val="en-US" w:eastAsia="zh-CN"/>
                    </w:rPr>
                    <w:t>3</w:t>
                  </w:r>
                  <w:r>
                    <w:rPr>
                      <w:rFonts w:hint="eastAsia"/>
                      <w:b w:val="0"/>
                      <w:bCs w:val="0"/>
                      <w:color w:val="auto"/>
                      <w:sz w:val="21"/>
                      <w:szCs w:val="21"/>
                      <w:highlight w:val="none"/>
                      <w:vertAlign w:val="baseline"/>
                      <w:lang w:val="en-US" w:eastAsia="zh-CN"/>
                    </w:rPr>
                    <w:t>的限值要求。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55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p>
              </w:tc>
              <w:tc>
                <w:tcPr>
                  <w:tcW w:w="11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NOx</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lang w:val="en-US" w:eastAsia="zh-CN"/>
                    </w:rPr>
                    <w:t>12.960</w:t>
                  </w:r>
                  <w:r>
                    <w:rPr>
                      <w:rFonts w:hint="default"/>
                      <w:color w:val="auto"/>
                      <w:sz w:val="21"/>
                      <w:szCs w:val="21"/>
                      <w:highlight w:val="none"/>
                    </w:rPr>
                    <w:t>t/a</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106mg/m</w:t>
                  </w:r>
                  <w:r>
                    <w:rPr>
                      <w:rFonts w:hint="eastAsia"/>
                      <w:b w:val="0"/>
                      <w:bCs w:val="0"/>
                      <w:color w:val="auto"/>
                      <w:sz w:val="21"/>
                      <w:szCs w:val="21"/>
                      <w:highlight w:val="none"/>
                      <w:vertAlign w:val="superscript"/>
                      <w:lang w:val="en-US" w:eastAsia="zh-CN"/>
                    </w:rPr>
                    <w:t>3</w:t>
                  </w:r>
                </w:p>
              </w:tc>
              <w:tc>
                <w:tcPr>
                  <w:tcW w:w="104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3.0kg/h</w:t>
                  </w:r>
                </w:p>
              </w:tc>
              <w:tc>
                <w:tcPr>
                  <w:tcW w:w="11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p>
              </w:tc>
              <w:tc>
                <w:tcPr>
                  <w:tcW w:w="171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55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p>
              </w:tc>
              <w:tc>
                <w:tcPr>
                  <w:tcW w:w="11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SO</w:t>
                  </w:r>
                  <w:r>
                    <w:rPr>
                      <w:rFonts w:hint="eastAsia" w:cs="Times New Roman"/>
                      <w:color w:val="auto"/>
                      <w:sz w:val="21"/>
                      <w:szCs w:val="21"/>
                      <w:highlight w:val="none"/>
                      <w:vertAlign w:val="subscript"/>
                      <w:lang w:val="en-US" w:eastAsia="zh-CN"/>
                    </w:rPr>
                    <w:t>2</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lang w:val="en-US" w:eastAsia="zh-CN"/>
                    </w:rPr>
                    <w:t>12.096</w:t>
                  </w:r>
                  <w:r>
                    <w:rPr>
                      <w:rFonts w:hint="default"/>
                      <w:color w:val="auto"/>
                      <w:sz w:val="21"/>
                      <w:szCs w:val="21"/>
                      <w:highlight w:val="none"/>
                    </w:rPr>
                    <w:t>t/a</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106mg/m</w:t>
                  </w:r>
                  <w:r>
                    <w:rPr>
                      <w:rFonts w:hint="eastAsia"/>
                      <w:b w:val="0"/>
                      <w:bCs w:val="0"/>
                      <w:color w:val="auto"/>
                      <w:sz w:val="21"/>
                      <w:szCs w:val="21"/>
                      <w:highlight w:val="none"/>
                      <w:vertAlign w:val="superscript"/>
                      <w:lang w:val="en-US" w:eastAsia="zh-CN"/>
                    </w:rPr>
                    <w:t>3</w:t>
                  </w:r>
                </w:p>
              </w:tc>
              <w:tc>
                <w:tcPr>
                  <w:tcW w:w="104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2.8kg/h</w:t>
                  </w:r>
                </w:p>
              </w:tc>
              <w:tc>
                <w:tcPr>
                  <w:tcW w:w="11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p>
              </w:tc>
              <w:tc>
                <w:tcPr>
                  <w:tcW w:w="171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55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p>
              </w:tc>
              <w:tc>
                <w:tcPr>
                  <w:tcW w:w="11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汞及其化合物</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0.00025</w:t>
                  </w:r>
                  <w:r>
                    <w:rPr>
                      <w:rFonts w:hint="default"/>
                      <w:color w:val="auto"/>
                      <w:sz w:val="21"/>
                      <w:szCs w:val="21"/>
                      <w:highlight w:val="none"/>
                    </w:rPr>
                    <w:t>t/a</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0.0019mg/m</w:t>
                  </w:r>
                  <w:r>
                    <w:rPr>
                      <w:rFonts w:hint="eastAsia"/>
                      <w:b w:val="0"/>
                      <w:bCs w:val="0"/>
                      <w:color w:val="auto"/>
                      <w:sz w:val="21"/>
                      <w:szCs w:val="21"/>
                      <w:highlight w:val="none"/>
                      <w:vertAlign w:val="superscript"/>
                      <w:lang w:val="en-US" w:eastAsia="zh-CN"/>
                    </w:rPr>
                    <w:t>3</w:t>
                  </w:r>
                </w:p>
              </w:tc>
              <w:tc>
                <w:tcPr>
                  <w:tcW w:w="104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0.000058kg/h</w:t>
                  </w:r>
                </w:p>
              </w:tc>
              <w:tc>
                <w:tcPr>
                  <w:tcW w:w="11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p>
              </w:tc>
              <w:tc>
                <w:tcPr>
                  <w:tcW w:w="171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55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生产废水</w:t>
                  </w:r>
                </w:p>
              </w:tc>
              <w:tc>
                <w:tcPr>
                  <w:tcW w:w="11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锅炉排水</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lang w:val="en-US" w:eastAsia="zh-CN"/>
                    </w:rPr>
                    <w:t>540</w:t>
                  </w:r>
                  <w:r>
                    <w:rPr>
                      <w:rFonts w:hint="default"/>
                      <w:color w:val="auto"/>
                      <w:sz w:val="21"/>
                      <w:szCs w:val="21"/>
                      <w:highlight w:val="none"/>
                    </w:rPr>
                    <w:t>t/a</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w:t>
                  </w:r>
                </w:p>
              </w:tc>
              <w:tc>
                <w:tcPr>
                  <w:tcW w:w="104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r>
                    <w:rPr>
                      <w:rFonts w:hint="eastAsia"/>
                      <w:b w:val="0"/>
                      <w:bCs w:val="0"/>
                      <w:color w:val="auto"/>
                      <w:sz w:val="21"/>
                      <w:szCs w:val="21"/>
                      <w:highlight w:val="none"/>
                      <w:vertAlign w:val="baseline"/>
                      <w:lang w:val="en-US" w:eastAsia="zh-CN"/>
                    </w:rPr>
                    <w:t>/</w:t>
                  </w:r>
                </w:p>
              </w:tc>
              <w:tc>
                <w:tcPr>
                  <w:tcW w:w="118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回用于除尘系统补水</w:t>
                  </w:r>
                </w:p>
              </w:tc>
              <w:tc>
                <w:tcPr>
                  <w:tcW w:w="1718"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55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b w:val="0"/>
                      <w:bCs w:val="0"/>
                      <w:color w:val="auto"/>
                      <w:sz w:val="21"/>
                      <w:szCs w:val="21"/>
                      <w:highlight w:val="none"/>
                      <w:vertAlign w:val="baseline"/>
                      <w:lang w:val="en-US" w:eastAsia="zh-CN"/>
                    </w:rPr>
                  </w:pPr>
                </w:p>
              </w:tc>
              <w:tc>
                <w:tcPr>
                  <w:tcW w:w="11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软化水系统排水</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lang w:val="en-US" w:eastAsia="zh-CN" w:bidi="ar-SA"/>
                    </w:rPr>
                  </w:pPr>
                  <w:r>
                    <w:rPr>
                      <w:rFonts w:hint="eastAsia"/>
                      <w:color w:val="auto"/>
                      <w:sz w:val="21"/>
                      <w:szCs w:val="21"/>
                      <w:highlight w:val="none"/>
                      <w:lang w:val="en-US" w:eastAsia="zh-CN"/>
                    </w:rPr>
                    <w:t>180</w:t>
                  </w:r>
                  <w:r>
                    <w:rPr>
                      <w:rFonts w:hint="default"/>
                      <w:color w:val="auto"/>
                      <w:sz w:val="21"/>
                      <w:szCs w:val="21"/>
                      <w:highlight w:val="none"/>
                    </w:rPr>
                    <w:t>t/a</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w:t>
                  </w:r>
                </w:p>
              </w:tc>
              <w:tc>
                <w:tcPr>
                  <w:tcW w:w="104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r>
                    <w:rPr>
                      <w:rFonts w:hint="eastAsia"/>
                      <w:b w:val="0"/>
                      <w:bCs w:val="0"/>
                      <w:color w:val="auto"/>
                      <w:sz w:val="21"/>
                      <w:szCs w:val="21"/>
                      <w:highlight w:val="none"/>
                      <w:vertAlign w:val="baseline"/>
                      <w:lang w:val="en-US" w:eastAsia="zh-CN"/>
                    </w:rPr>
                    <w:t>/</w:t>
                  </w:r>
                </w:p>
              </w:tc>
              <w:tc>
                <w:tcPr>
                  <w:tcW w:w="118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沉淀后，用于渣库抑尘</w:t>
                  </w:r>
                </w:p>
              </w:tc>
              <w:tc>
                <w:tcPr>
                  <w:tcW w:w="171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55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一般工业固废</w:t>
                  </w:r>
                </w:p>
              </w:tc>
              <w:tc>
                <w:tcPr>
                  <w:tcW w:w="11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灰渣</w:t>
                  </w:r>
                </w:p>
              </w:tc>
              <w:tc>
                <w:tcPr>
                  <w:tcW w:w="1160" w:type="dxa"/>
                  <w:tcBorders>
                    <w:tl2br w:val="nil"/>
                    <w:tr2bl w:val="nil"/>
                  </w:tcBorders>
                  <w:vAlign w:val="center"/>
                </w:tcPr>
                <w:p>
                  <w:pPr>
                    <w:spacing w:line="240" w:lineRule="auto"/>
                    <w:ind w:firstLine="0" w:firstLineChars="0"/>
                    <w:jc w:val="center"/>
                    <w:rPr>
                      <w:rFonts w:hint="default" w:ascii="Times New Roman" w:hAnsi="Times New Roman" w:eastAsia="宋体" w:cstheme="minorBidi"/>
                      <w:b w:val="0"/>
                      <w:bCs w:val="0"/>
                      <w:color w:val="auto"/>
                      <w:kern w:val="2"/>
                      <w:sz w:val="21"/>
                      <w:szCs w:val="21"/>
                      <w:highlight w:val="none"/>
                      <w:lang w:val="en-US" w:eastAsia="zh-CN" w:bidi="ar-SA"/>
                    </w:rPr>
                  </w:pPr>
                  <w:r>
                    <w:rPr>
                      <w:rFonts w:hint="eastAsia"/>
                      <w:b w:val="0"/>
                      <w:bCs w:val="0"/>
                      <w:color w:val="auto"/>
                      <w:sz w:val="21"/>
                      <w:szCs w:val="21"/>
                      <w:highlight w:val="none"/>
                      <w:lang w:val="en-US" w:eastAsia="zh-CN"/>
                    </w:rPr>
                    <w:t>42.24</w:t>
                  </w:r>
                  <w:r>
                    <w:rPr>
                      <w:rFonts w:hint="default"/>
                      <w:color w:val="auto"/>
                      <w:sz w:val="21"/>
                      <w:szCs w:val="21"/>
                      <w:highlight w:val="none"/>
                    </w:rPr>
                    <w:t>t/a</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heme="minorBidi"/>
                      <w:b w:val="0"/>
                      <w:bCs w:val="0"/>
                      <w:color w:val="auto"/>
                      <w:kern w:val="2"/>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w:t>
                  </w:r>
                </w:p>
              </w:tc>
              <w:tc>
                <w:tcPr>
                  <w:tcW w:w="104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heme="minorBidi"/>
                      <w:b w:val="0"/>
                      <w:bCs w:val="0"/>
                      <w:color w:val="auto"/>
                      <w:kern w:val="2"/>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w:t>
                  </w:r>
                </w:p>
              </w:tc>
              <w:tc>
                <w:tcPr>
                  <w:tcW w:w="11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用于厂区铺路</w:t>
                  </w:r>
                </w:p>
              </w:tc>
              <w:tc>
                <w:tcPr>
                  <w:tcW w:w="1718"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r>
                    <w:rPr>
                      <w:rFonts w:hint="eastAsia" w:cs="Times New Roman"/>
                      <w:color w:val="auto"/>
                      <w:sz w:val="21"/>
                      <w:szCs w:val="21"/>
                      <w:highlight w:val="none"/>
                      <w:lang w:val="en-US" w:eastAsia="zh-CN"/>
                    </w:rPr>
                    <w:t>《一般工业固体废物贮存和填埋污染物控制标准》（GB18599-2020）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55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eastAsia="宋体"/>
                      <w:b w:val="0"/>
                      <w:bCs w:val="0"/>
                      <w:color w:val="auto"/>
                      <w:sz w:val="21"/>
                      <w:szCs w:val="21"/>
                      <w:highlight w:val="none"/>
                      <w:vertAlign w:val="baseline"/>
                      <w:lang w:val="en-US" w:eastAsia="zh-CN"/>
                    </w:rPr>
                  </w:pPr>
                </w:p>
              </w:tc>
              <w:tc>
                <w:tcPr>
                  <w:tcW w:w="11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除尘灰</w:t>
                  </w:r>
                </w:p>
              </w:tc>
              <w:tc>
                <w:tcPr>
                  <w:tcW w:w="1160" w:type="dxa"/>
                  <w:tcBorders>
                    <w:tl2br w:val="nil"/>
                    <w:tr2bl w:val="nil"/>
                  </w:tcBorders>
                  <w:vAlign w:val="center"/>
                </w:tcPr>
                <w:p>
                  <w:pPr>
                    <w:spacing w:line="240" w:lineRule="auto"/>
                    <w:ind w:firstLine="0" w:firstLineChars="0"/>
                    <w:jc w:val="center"/>
                    <w:rPr>
                      <w:rFonts w:hint="default" w:ascii="Times New Roman" w:hAnsi="Times New Roman" w:eastAsia="宋体" w:cstheme="minorBidi"/>
                      <w:b w:val="0"/>
                      <w:bCs w:val="0"/>
                      <w:color w:val="auto"/>
                      <w:kern w:val="2"/>
                      <w:sz w:val="21"/>
                      <w:szCs w:val="21"/>
                      <w:highlight w:val="none"/>
                      <w:lang w:val="en-US" w:eastAsia="zh-CN" w:bidi="ar-SA"/>
                    </w:rPr>
                  </w:pPr>
                  <w:r>
                    <w:rPr>
                      <w:rFonts w:hint="eastAsia"/>
                      <w:b w:val="0"/>
                      <w:bCs w:val="0"/>
                      <w:color w:val="auto"/>
                      <w:sz w:val="21"/>
                      <w:szCs w:val="21"/>
                      <w:highlight w:val="none"/>
                      <w:lang w:val="en-US" w:eastAsia="zh-CN"/>
                    </w:rPr>
                    <w:t>93.63</w:t>
                  </w:r>
                  <w:r>
                    <w:rPr>
                      <w:rFonts w:hint="eastAsia"/>
                      <w:b w:val="0"/>
                      <w:bCs w:val="0"/>
                      <w:color w:val="auto"/>
                      <w:sz w:val="21"/>
                      <w:szCs w:val="21"/>
                      <w:highlight w:val="none"/>
                      <w:lang w:val="en-US"/>
                    </w:rPr>
                    <w:t>t/a</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heme="minorBidi"/>
                      <w:b w:val="0"/>
                      <w:bCs w:val="0"/>
                      <w:color w:val="auto"/>
                      <w:kern w:val="2"/>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w:t>
                  </w:r>
                </w:p>
              </w:tc>
              <w:tc>
                <w:tcPr>
                  <w:tcW w:w="104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heme="minorBidi"/>
                      <w:b w:val="0"/>
                      <w:bCs w:val="0"/>
                      <w:color w:val="auto"/>
                      <w:kern w:val="2"/>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w:t>
                  </w:r>
                </w:p>
              </w:tc>
              <w:tc>
                <w:tcPr>
                  <w:tcW w:w="11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p>
              </w:tc>
              <w:tc>
                <w:tcPr>
                  <w:tcW w:w="171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55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eastAsia="宋体"/>
                      <w:b w:val="0"/>
                      <w:bCs w:val="0"/>
                      <w:color w:val="auto"/>
                      <w:sz w:val="21"/>
                      <w:szCs w:val="21"/>
                      <w:highlight w:val="none"/>
                      <w:vertAlign w:val="baseline"/>
                      <w:lang w:val="en-US" w:eastAsia="zh-CN"/>
                    </w:rPr>
                  </w:pPr>
                </w:p>
              </w:tc>
              <w:tc>
                <w:tcPr>
                  <w:tcW w:w="11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脱硫废渣</w:t>
                  </w:r>
                </w:p>
              </w:tc>
              <w:tc>
                <w:tcPr>
                  <w:tcW w:w="1160" w:type="dxa"/>
                  <w:tcBorders>
                    <w:tl2br w:val="nil"/>
                    <w:tr2bl w:val="nil"/>
                  </w:tcBorders>
                  <w:vAlign w:val="center"/>
                </w:tcPr>
                <w:p>
                  <w:pPr>
                    <w:spacing w:line="240" w:lineRule="auto"/>
                    <w:ind w:firstLine="0" w:firstLineChars="0"/>
                    <w:jc w:val="center"/>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9.08</w:t>
                  </w:r>
                  <w:r>
                    <w:rPr>
                      <w:rFonts w:hint="eastAsia"/>
                      <w:b w:val="0"/>
                      <w:bCs w:val="0"/>
                      <w:color w:val="auto"/>
                      <w:sz w:val="21"/>
                      <w:szCs w:val="21"/>
                      <w:highlight w:val="none"/>
                      <w:lang w:val="en-US"/>
                    </w:rPr>
                    <w:t>t/a</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宋体" w:cstheme="minorBidi"/>
                      <w:b w:val="0"/>
                      <w:bCs w:val="0"/>
                      <w:color w:val="auto"/>
                      <w:kern w:val="2"/>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w:t>
                  </w:r>
                </w:p>
              </w:tc>
              <w:tc>
                <w:tcPr>
                  <w:tcW w:w="104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宋体" w:cstheme="minorBidi"/>
                      <w:b w:val="0"/>
                      <w:bCs w:val="0"/>
                      <w:color w:val="auto"/>
                      <w:kern w:val="2"/>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w:t>
                  </w:r>
                </w:p>
              </w:tc>
              <w:tc>
                <w:tcPr>
                  <w:tcW w:w="118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外售建材公司综合利用</w:t>
                  </w:r>
                </w:p>
              </w:tc>
              <w:tc>
                <w:tcPr>
                  <w:tcW w:w="171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55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eastAsia="宋体"/>
                      <w:b w:val="0"/>
                      <w:bCs w:val="0"/>
                      <w:color w:val="auto"/>
                      <w:sz w:val="21"/>
                      <w:szCs w:val="21"/>
                      <w:highlight w:val="none"/>
                      <w:vertAlign w:val="baseline"/>
                      <w:lang w:val="en-US" w:eastAsia="zh-CN"/>
                    </w:rPr>
                  </w:pPr>
                </w:p>
              </w:tc>
              <w:tc>
                <w:tcPr>
                  <w:tcW w:w="11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废饱和树脂</w:t>
                  </w:r>
                </w:p>
              </w:tc>
              <w:tc>
                <w:tcPr>
                  <w:tcW w:w="1160" w:type="dxa"/>
                  <w:tcBorders>
                    <w:tl2br w:val="nil"/>
                    <w:tr2bl w:val="nil"/>
                  </w:tcBorders>
                  <w:vAlign w:val="center"/>
                </w:tcPr>
                <w:p>
                  <w:pPr>
                    <w:spacing w:line="240" w:lineRule="auto"/>
                    <w:ind w:firstLine="0" w:firstLineChars="0"/>
                    <w:jc w:val="center"/>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0.3</w:t>
                  </w:r>
                  <w:r>
                    <w:rPr>
                      <w:rFonts w:hint="eastAsia"/>
                      <w:b w:val="0"/>
                      <w:bCs w:val="0"/>
                      <w:color w:val="auto"/>
                      <w:sz w:val="21"/>
                      <w:szCs w:val="21"/>
                      <w:highlight w:val="none"/>
                      <w:lang w:val="en-US"/>
                    </w:rPr>
                    <w:t>t/a</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宋体" w:cstheme="minorBidi"/>
                      <w:b w:val="0"/>
                      <w:bCs w:val="0"/>
                      <w:color w:val="auto"/>
                      <w:kern w:val="2"/>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w:t>
                  </w:r>
                </w:p>
              </w:tc>
              <w:tc>
                <w:tcPr>
                  <w:tcW w:w="104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宋体" w:cstheme="minorBidi"/>
                      <w:b w:val="0"/>
                      <w:bCs w:val="0"/>
                      <w:color w:val="auto"/>
                      <w:kern w:val="2"/>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w:t>
                  </w:r>
                </w:p>
              </w:tc>
              <w:tc>
                <w:tcPr>
                  <w:tcW w:w="118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厂家回收</w:t>
                  </w:r>
                </w:p>
              </w:tc>
              <w:tc>
                <w:tcPr>
                  <w:tcW w:w="171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生活垃圾</w:t>
                  </w:r>
                </w:p>
              </w:tc>
              <w:tc>
                <w:tcPr>
                  <w:tcW w:w="11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生活垃圾</w:t>
                  </w:r>
                </w:p>
              </w:tc>
              <w:tc>
                <w:tcPr>
                  <w:tcW w:w="1160" w:type="dxa"/>
                  <w:tcBorders>
                    <w:tl2br w:val="nil"/>
                    <w:tr2bl w:val="nil"/>
                  </w:tcBorders>
                  <w:vAlign w:val="center"/>
                </w:tcPr>
                <w:p>
                  <w:pPr>
                    <w:spacing w:line="240" w:lineRule="auto"/>
                    <w:ind w:firstLine="0" w:firstLineChars="0"/>
                    <w:jc w:val="center"/>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0.72</w:t>
                  </w:r>
                  <w:r>
                    <w:rPr>
                      <w:rFonts w:hint="eastAsia"/>
                      <w:b w:val="0"/>
                      <w:bCs w:val="0"/>
                      <w:color w:val="auto"/>
                      <w:sz w:val="21"/>
                      <w:szCs w:val="21"/>
                      <w:highlight w:val="none"/>
                      <w:lang w:val="en-US"/>
                    </w:rPr>
                    <w:t>t/a</w:t>
                  </w:r>
                </w:p>
              </w:tc>
              <w:tc>
                <w:tcPr>
                  <w:tcW w:w="116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宋体" w:cstheme="minorBidi"/>
                      <w:b w:val="0"/>
                      <w:bCs w:val="0"/>
                      <w:color w:val="auto"/>
                      <w:kern w:val="2"/>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w:t>
                  </w:r>
                </w:p>
              </w:tc>
              <w:tc>
                <w:tcPr>
                  <w:tcW w:w="104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宋体" w:cstheme="minorBidi"/>
                      <w:b w:val="0"/>
                      <w:bCs w:val="0"/>
                      <w:color w:val="auto"/>
                      <w:kern w:val="2"/>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w:t>
                  </w:r>
                </w:p>
              </w:tc>
              <w:tc>
                <w:tcPr>
                  <w:tcW w:w="118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环卫部门清运</w:t>
                  </w:r>
                </w:p>
              </w:tc>
              <w:tc>
                <w:tcPr>
                  <w:tcW w:w="171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w:t>
                  </w:r>
                </w:p>
              </w:tc>
            </w:tr>
          </w:tbl>
          <w:p>
            <w:pPr>
              <w:bidi w:val="0"/>
              <w:rPr>
                <w:rFonts w:hint="eastAsia"/>
                <w:b/>
                <w:bCs/>
                <w:color w:val="auto"/>
                <w:highlight w:val="none"/>
                <w:lang w:val="en-US" w:eastAsia="zh-CN"/>
              </w:rPr>
            </w:pPr>
            <w:r>
              <w:rPr>
                <w:rFonts w:hint="eastAsia"/>
                <w:b/>
                <w:bCs/>
                <w:color w:val="auto"/>
                <w:highlight w:val="none"/>
                <w:lang w:val="en-US" w:eastAsia="zh-CN"/>
              </w:rPr>
              <w:t>3、现有工程存在问题</w:t>
            </w:r>
          </w:p>
          <w:p>
            <w:pPr>
              <w:keepNext w:val="0"/>
              <w:keepLines w:val="0"/>
              <w:pageBreakBefore w:val="0"/>
              <w:widowControl w:val="0"/>
              <w:kinsoku/>
              <w:wordWrap/>
              <w:overflowPunct/>
              <w:topLinePunct w:val="0"/>
              <w:autoSpaceDE w:val="0"/>
              <w:autoSpaceDN w:val="0"/>
              <w:bidi w:val="0"/>
              <w:adjustRightInd/>
              <w:snapToGrid/>
              <w:spacing w:before="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经对现有工程现场踏勘，现有工程主要存在以下问题：</w:t>
            </w:r>
          </w:p>
          <w:p>
            <w:pPr>
              <w:bidi w:val="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未张贴环保标识，建设单位应在“三废”产生点张贴符合要求的</w:t>
            </w:r>
            <w:r>
              <w:rPr>
                <w:rFonts w:hint="eastAsia"/>
                <w:color w:val="auto"/>
                <w:highlight w:val="none"/>
                <w:lang w:val="en-US" w:eastAsia="zh-CN"/>
              </w:rPr>
              <w:t>环</w:t>
            </w:r>
            <w:r>
              <w:rPr>
                <w:rFonts w:hint="default"/>
                <w:color w:val="auto"/>
                <w:highlight w:val="none"/>
                <w:lang w:val="en-US" w:eastAsia="zh-CN"/>
              </w:rPr>
              <w:t>保标识。</w:t>
            </w:r>
          </w:p>
          <w:p>
            <w:pPr>
              <w:bidi w:val="0"/>
              <w:rPr>
                <w:rFonts w:hint="default"/>
                <w:color w:val="auto"/>
                <w:highlight w:val="none"/>
                <w:lang w:val="en-US" w:eastAsia="zh-CN"/>
              </w:rPr>
            </w:pPr>
            <w:r>
              <w:rPr>
                <w:rFonts w:hint="eastAsia"/>
                <w:color w:val="auto"/>
                <w:highlight w:val="none"/>
                <w:lang w:val="en-US" w:eastAsia="zh-CN"/>
              </w:rPr>
              <w:t>（2）储料间和灰渣库的半封闭设施需要进行全封闭。</w:t>
            </w:r>
          </w:p>
          <w:p>
            <w:pPr>
              <w:bidi w:val="0"/>
              <w:rPr>
                <w:rFonts w:hint="eastAsia"/>
                <w:b/>
                <w:bCs/>
                <w:color w:val="auto"/>
                <w:highlight w:val="none"/>
                <w:lang w:val="en-US" w:eastAsia="zh-CN"/>
              </w:rPr>
            </w:pPr>
            <w:r>
              <w:rPr>
                <w:rFonts w:hint="eastAsia"/>
                <w:b/>
                <w:bCs/>
                <w:color w:val="auto"/>
                <w:highlight w:val="none"/>
                <w:lang w:val="en-US" w:eastAsia="zh-CN"/>
              </w:rPr>
              <w:t>4、整改措施</w:t>
            </w:r>
          </w:p>
          <w:p>
            <w:pPr>
              <w:rPr>
                <w:rFonts w:hint="default"/>
                <w:color w:val="auto"/>
                <w:highlight w:val="none"/>
              </w:rPr>
            </w:pPr>
            <w:r>
              <w:rPr>
                <w:rFonts w:hint="default"/>
                <w:color w:val="auto"/>
                <w:highlight w:val="none"/>
              </w:rPr>
              <w:t>根据《环境保护图形标志 排放口（源）》（GB15562.1-1995）的相关要求在噪声排放源及废气排放源设置环保标识；</w:t>
            </w:r>
          </w:p>
          <w:p>
            <w:pPr>
              <w:keepNext w:val="0"/>
              <w:keepLines w:val="0"/>
              <w:pageBreakBefore w:val="0"/>
              <w:widowControl w:val="0"/>
              <w:kinsoku/>
              <w:wordWrap/>
              <w:overflowPunct/>
              <w:topLinePunct w:val="0"/>
              <w:autoSpaceDE w:val="0"/>
              <w:autoSpaceDN w:val="0"/>
              <w:bidi w:val="0"/>
              <w:adjustRightInd/>
              <w:snapToGrid/>
              <w:spacing w:before="0"/>
              <w:ind w:left="0" w:leftChars="0"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color w:val="auto"/>
                <w:sz w:val="24"/>
                <w:szCs w:val="24"/>
                <w:highlight w:val="none"/>
                <w:lang w:eastAsia="zh-CN"/>
              </w:rPr>
              <w:t>表</w:t>
            </w:r>
            <w:r>
              <w:rPr>
                <w:rFonts w:hint="eastAsia" w:cs="Times New Roman"/>
                <w:b/>
                <w:color w:val="auto"/>
                <w:sz w:val="24"/>
                <w:szCs w:val="24"/>
                <w:highlight w:val="none"/>
                <w:lang w:val="en-US" w:eastAsia="zh-CN"/>
              </w:rPr>
              <w:t>13</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污染源排放图形标志</w:t>
            </w:r>
          </w:p>
          <w:tbl>
            <w:tblPr>
              <w:tblStyle w:val="17"/>
              <w:tblW w:w="79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630"/>
              <w:gridCol w:w="2544"/>
              <w:gridCol w:w="282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32" w:hRule="atLeast"/>
                <w:jc w:val="center"/>
              </w:trPr>
              <w:tc>
                <w:tcPr>
                  <w:tcW w:w="2630" w:type="dxa"/>
                  <w:tcBorders>
                    <w:tl2br w:val="nil"/>
                    <w:tr2bl w:val="nil"/>
                  </w:tcBorders>
                  <w:noWrap w:val="0"/>
                  <w:vAlign w:val="top"/>
                </w:tcPr>
                <w:p>
                  <w:pPr>
                    <w:bidi w:val="0"/>
                    <w:spacing w:line="240" w:lineRule="auto"/>
                    <w:rPr>
                      <w:color w:val="auto"/>
                      <w:sz w:val="21"/>
                      <w:szCs w:val="21"/>
                      <w:highlight w:val="none"/>
                    </w:rPr>
                  </w:pPr>
                  <w:r>
                    <w:rPr>
                      <w:color w:val="auto"/>
                      <w:sz w:val="21"/>
                      <w:szCs w:val="21"/>
                      <w:highlight w:val="none"/>
                    </w:rPr>
                    <w:drawing>
                      <wp:anchor distT="0" distB="0" distL="114300" distR="114300" simplePos="0" relativeHeight="251660288" behindDoc="0" locked="0" layoutInCell="1" allowOverlap="1">
                        <wp:simplePos x="0" y="0"/>
                        <wp:positionH relativeFrom="column">
                          <wp:posOffset>289560</wp:posOffset>
                        </wp:positionH>
                        <wp:positionV relativeFrom="paragraph">
                          <wp:posOffset>60325</wp:posOffset>
                        </wp:positionV>
                        <wp:extent cx="743585" cy="743585"/>
                        <wp:effectExtent l="0" t="0" r="3175" b="3175"/>
                        <wp:wrapNone/>
                        <wp:docPr id="3" name="图片 23" descr="点击看大图及详细资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descr="点击看大图及详细资料"/>
                                <pic:cNvPicPr>
                                  <a:picLocks noChangeAspect="1"/>
                                </pic:cNvPicPr>
                              </pic:nvPicPr>
                              <pic:blipFill>
                                <a:blip r:embed="rId19"/>
                                <a:stretch>
                                  <a:fillRect/>
                                </a:stretch>
                              </pic:blipFill>
                              <pic:spPr>
                                <a:xfrm>
                                  <a:off x="0" y="0"/>
                                  <a:ext cx="743585" cy="743585"/>
                                </a:xfrm>
                                <a:prstGeom prst="rect">
                                  <a:avLst/>
                                </a:prstGeom>
                                <a:noFill/>
                                <a:ln>
                                  <a:noFill/>
                                </a:ln>
                              </pic:spPr>
                            </pic:pic>
                          </a:graphicData>
                        </a:graphic>
                      </wp:anchor>
                    </w:drawing>
                  </w:r>
                </w:p>
                <w:p>
                  <w:pPr>
                    <w:bidi w:val="0"/>
                    <w:spacing w:line="240" w:lineRule="auto"/>
                    <w:rPr>
                      <w:color w:val="auto"/>
                      <w:sz w:val="21"/>
                      <w:szCs w:val="21"/>
                      <w:highlight w:val="none"/>
                    </w:rPr>
                  </w:pPr>
                </w:p>
                <w:p>
                  <w:pPr>
                    <w:bidi w:val="0"/>
                    <w:spacing w:line="240" w:lineRule="auto"/>
                    <w:rPr>
                      <w:color w:val="auto"/>
                      <w:sz w:val="21"/>
                      <w:szCs w:val="21"/>
                      <w:highlight w:val="none"/>
                    </w:rPr>
                  </w:pPr>
                </w:p>
                <w:p>
                  <w:pPr>
                    <w:bidi w:val="0"/>
                    <w:spacing w:line="240" w:lineRule="auto"/>
                    <w:rPr>
                      <w:color w:val="auto"/>
                      <w:sz w:val="21"/>
                      <w:szCs w:val="21"/>
                      <w:highlight w:val="none"/>
                    </w:rPr>
                  </w:pPr>
                </w:p>
              </w:tc>
              <w:tc>
                <w:tcPr>
                  <w:tcW w:w="2544" w:type="dxa"/>
                  <w:tcBorders>
                    <w:tl2br w:val="nil"/>
                    <w:tr2bl w:val="nil"/>
                  </w:tcBorders>
                  <w:noWrap w:val="0"/>
                  <w:vAlign w:val="center"/>
                </w:tcPr>
                <w:p>
                  <w:pPr>
                    <w:bidi w:val="0"/>
                    <w:spacing w:line="240" w:lineRule="auto"/>
                    <w:rPr>
                      <w:color w:val="auto"/>
                      <w:sz w:val="21"/>
                      <w:szCs w:val="21"/>
                      <w:highlight w:val="none"/>
                    </w:rPr>
                  </w:pPr>
                  <w:r>
                    <w:rPr>
                      <w:color w:val="auto"/>
                      <w:sz w:val="21"/>
                      <w:szCs w:val="21"/>
                      <w:highlight w:val="none"/>
                    </w:rPr>
                    <w:t>标志名称：噪声排放源</w:t>
                  </w:r>
                </w:p>
                <w:p>
                  <w:pPr>
                    <w:bidi w:val="0"/>
                    <w:spacing w:line="240" w:lineRule="auto"/>
                    <w:rPr>
                      <w:color w:val="auto"/>
                      <w:sz w:val="21"/>
                      <w:szCs w:val="21"/>
                      <w:highlight w:val="none"/>
                    </w:rPr>
                  </w:pPr>
                  <w:r>
                    <w:rPr>
                      <w:color w:val="auto"/>
                      <w:sz w:val="21"/>
                      <w:szCs w:val="21"/>
                      <w:highlight w:val="none"/>
                    </w:rPr>
                    <w:t>国标代码：GB 15562.1－1995</w:t>
                  </w:r>
                </w:p>
              </w:tc>
              <w:tc>
                <w:tcPr>
                  <w:tcW w:w="2825" w:type="dxa"/>
                  <w:tcBorders>
                    <w:tl2br w:val="nil"/>
                    <w:tr2bl w:val="nil"/>
                  </w:tcBorders>
                  <w:noWrap w:val="0"/>
                  <w:vAlign w:val="center"/>
                </w:tcPr>
                <w:p>
                  <w:pPr>
                    <w:bidi w:val="0"/>
                    <w:spacing w:line="240" w:lineRule="auto"/>
                    <w:ind w:left="0" w:leftChars="0" w:firstLine="0" w:firstLineChars="0"/>
                    <w:rPr>
                      <w:color w:val="auto"/>
                      <w:sz w:val="21"/>
                      <w:szCs w:val="21"/>
                      <w:highlight w:val="none"/>
                    </w:rPr>
                  </w:pPr>
                  <w:r>
                    <w:rPr>
                      <w:color w:val="auto"/>
                      <w:sz w:val="21"/>
                      <w:szCs w:val="21"/>
                      <w:highlight w:val="none"/>
                    </w:rPr>
                    <w:t>简介：</w:t>
                  </w:r>
                </w:p>
                <w:p>
                  <w:pPr>
                    <w:bidi w:val="0"/>
                    <w:spacing w:line="240" w:lineRule="auto"/>
                    <w:rPr>
                      <w:color w:val="auto"/>
                      <w:sz w:val="21"/>
                      <w:szCs w:val="21"/>
                      <w:highlight w:val="none"/>
                    </w:rPr>
                  </w:pPr>
                  <w:r>
                    <w:rPr>
                      <w:color w:val="auto"/>
                      <w:sz w:val="21"/>
                      <w:szCs w:val="21"/>
                      <w:highlight w:val="none"/>
                    </w:rPr>
                    <w:t>提示图形符号</w:t>
                  </w:r>
                </w:p>
                <w:p>
                  <w:pPr>
                    <w:bidi w:val="0"/>
                    <w:spacing w:line="240" w:lineRule="auto"/>
                    <w:rPr>
                      <w:color w:val="auto"/>
                      <w:sz w:val="21"/>
                      <w:szCs w:val="21"/>
                      <w:highlight w:val="none"/>
                    </w:rPr>
                  </w:pPr>
                  <w:r>
                    <w:rPr>
                      <w:color w:val="auto"/>
                      <w:sz w:val="21"/>
                      <w:szCs w:val="21"/>
                      <w:highlight w:val="none"/>
                    </w:rPr>
                    <w:t>噪声排放源</w:t>
                  </w:r>
                </w:p>
                <w:p>
                  <w:pPr>
                    <w:bidi w:val="0"/>
                    <w:spacing w:line="240" w:lineRule="auto"/>
                    <w:rPr>
                      <w:color w:val="auto"/>
                      <w:sz w:val="21"/>
                      <w:szCs w:val="21"/>
                      <w:highlight w:val="none"/>
                    </w:rPr>
                  </w:pPr>
                  <w:r>
                    <w:rPr>
                      <w:color w:val="auto"/>
                      <w:sz w:val="21"/>
                      <w:szCs w:val="21"/>
                      <w:highlight w:val="none"/>
                    </w:rPr>
                    <w:t>表示噪声向外环境排放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7" w:hRule="atLeast"/>
                <w:jc w:val="center"/>
              </w:trPr>
              <w:tc>
                <w:tcPr>
                  <w:tcW w:w="2630" w:type="dxa"/>
                  <w:tcBorders>
                    <w:tl2br w:val="nil"/>
                    <w:tr2bl w:val="nil"/>
                  </w:tcBorders>
                  <w:noWrap w:val="0"/>
                  <w:vAlign w:val="top"/>
                </w:tcPr>
                <w:p>
                  <w:pPr>
                    <w:bidi w:val="0"/>
                    <w:spacing w:line="240" w:lineRule="auto"/>
                    <w:rPr>
                      <w:color w:val="auto"/>
                      <w:sz w:val="21"/>
                      <w:szCs w:val="21"/>
                      <w:highlight w:val="none"/>
                    </w:rPr>
                  </w:pPr>
                  <w:r>
                    <w:rPr>
                      <w:color w:val="auto"/>
                      <w:sz w:val="21"/>
                      <w:szCs w:val="21"/>
                      <w:highlight w:val="none"/>
                    </w:rPr>
                    <w:drawing>
                      <wp:anchor distT="0" distB="0" distL="114300" distR="114300" simplePos="0" relativeHeight="251661312" behindDoc="0" locked="0" layoutInCell="1" allowOverlap="1">
                        <wp:simplePos x="0" y="0"/>
                        <wp:positionH relativeFrom="column">
                          <wp:posOffset>318135</wp:posOffset>
                        </wp:positionH>
                        <wp:positionV relativeFrom="paragraph">
                          <wp:posOffset>51435</wp:posOffset>
                        </wp:positionV>
                        <wp:extent cx="742950" cy="742950"/>
                        <wp:effectExtent l="0" t="0" r="3810" b="3810"/>
                        <wp:wrapNone/>
                        <wp:docPr id="4" name="图片 22" descr="点击看大图及详细资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 descr="点击看大图及详细资料"/>
                                <pic:cNvPicPr>
                                  <a:picLocks noChangeAspect="1"/>
                                </pic:cNvPicPr>
                              </pic:nvPicPr>
                              <pic:blipFill>
                                <a:blip r:embed="rId20"/>
                                <a:stretch>
                                  <a:fillRect/>
                                </a:stretch>
                              </pic:blipFill>
                              <pic:spPr>
                                <a:xfrm>
                                  <a:off x="0" y="0"/>
                                  <a:ext cx="742950" cy="742950"/>
                                </a:xfrm>
                                <a:prstGeom prst="rect">
                                  <a:avLst/>
                                </a:prstGeom>
                                <a:noFill/>
                                <a:ln>
                                  <a:noFill/>
                                </a:ln>
                              </pic:spPr>
                            </pic:pic>
                          </a:graphicData>
                        </a:graphic>
                      </wp:anchor>
                    </w:drawing>
                  </w:r>
                </w:p>
                <w:p>
                  <w:pPr>
                    <w:bidi w:val="0"/>
                    <w:spacing w:line="240" w:lineRule="auto"/>
                    <w:rPr>
                      <w:color w:val="auto"/>
                      <w:sz w:val="21"/>
                      <w:szCs w:val="21"/>
                      <w:highlight w:val="none"/>
                    </w:rPr>
                  </w:pPr>
                </w:p>
                <w:p>
                  <w:pPr>
                    <w:bidi w:val="0"/>
                    <w:spacing w:line="240" w:lineRule="auto"/>
                    <w:rPr>
                      <w:color w:val="auto"/>
                      <w:sz w:val="21"/>
                      <w:szCs w:val="21"/>
                      <w:highlight w:val="none"/>
                    </w:rPr>
                  </w:pPr>
                </w:p>
                <w:p>
                  <w:pPr>
                    <w:bidi w:val="0"/>
                    <w:spacing w:line="240" w:lineRule="auto"/>
                    <w:rPr>
                      <w:color w:val="auto"/>
                      <w:sz w:val="21"/>
                      <w:szCs w:val="21"/>
                      <w:highlight w:val="none"/>
                    </w:rPr>
                  </w:pPr>
                </w:p>
              </w:tc>
              <w:tc>
                <w:tcPr>
                  <w:tcW w:w="2544" w:type="dxa"/>
                  <w:tcBorders>
                    <w:tl2br w:val="nil"/>
                    <w:tr2bl w:val="nil"/>
                  </w:tcBorders>
                  <w:noWrap w:val="0"/>
                  <w:vAlign w:val="center"/>
                </w:tcPr>
                <w:p>
                  <w:pPr>
                    <w:bidi w:val="0"/>
                    <w:spacing w:line="240" w:lineRule="auto"/>
                    <w:rPr>
                      <w:color w:val="auto"/>
                      <w:sz w:val="21"/>
                      <w:szCs w:val="21"/>
                      <w:highlight w:val="none"/>
                    </w:rPr>
                  </w:pPr>
                  <w:r>
                    <w:rPr>
                      <w:color w:val="auto"/>
                      <w:sz w:val="21"/>
                      <w:szCs w:val="21"/>
                      <w:highlight w:val="none"/>
                    </w:rPr>
                    <w:t>标志名称：废气排放口</w:t>
                  </w:r>
                </w:p>
                <w:p>
                  <w:pPr>
                    <w:bidi w:val="0"/>
                    <w:spacing w:line="240" w:lineRule="auto"/>
                    <w:rPr>
                      <w:color w:val="auto"/>
                      <w:sz w:val="21"/>
                      <w:szCs w:val="21"/>
                      <w:highlight w:val="none"/>
                    </w:rPr>
                  </w:pPr>
                  <w:r>
                    <w:rPr>
                      <w:color w:val="auto"/>
                      <w:sz w:val="21"/>
                      <w:szCs w:val="21"/>
                      <w:highlight w:val="none"/>
                    </w:rPr>
                    <w:t>国标代码：GB 15562.1－1995</w:t>
                  </w:r>
                </w:p>
              </w:tc>
              <w:tc>
                <w:tcPr>
                  <w:tcW w:w="2825" w:type="dxa"/>
                  <w:tcBorders>
                    <w:tl2br w:val="nil"/>
                    <w:tr2bl w:val="nil"/>
                  </w:tcBorders>
                  <w:noWrap w:val="0"/>
                  <w:vAlign w:val="center"/>
                </w:tcPr>
                <w:p>
                  <w:pPr>
                    <w:bidi w:val="0"/>
                    <w:spacing w:line="240" w:lineRule="auto"/>
                    <w:ind w:left="0" w:leftChars="0" w:firstLine="0" w:firstLineChars="0"/>
                    <w:rPr>
                      <w:color w:val="auto"/>
                      <w:sz w:val="21"/>
                      <w:szCs w:val="21"/>
                      <w:highlight w:val="none"/>
                    </w:rPr>
                  </w:pPr>
                  <w:r>
                    <w:rPr>
                      <w:color w:val="auto"/>
                      <w:sz w:val="21"/>
                      <w:szCs w:val="21"/>
                      <w:highlight w:val="none"/>
                    </w:rPr>
                    <w:t>简介：</w:t>
                  </w:r>
                </w:p>
                <w:p>
                  <w:pPr>
                    <w:bidi w:val="0"/>
                    <w:spacing w:line="240" w:lineRule="auto"/>
                    <w:rPr>
                      <w:color w:val="auto"/>
                      <w:sz w:val="21"/>
                      <w:szCs w:val="21"/>
                      <w:highlight w:val="none"/>
                    </w:rPr>
                  </w:pPr>
                  <w:r>
                    <w:rPr>
                      <w:color w:val="auto"/>
                      <w:sz w:val="21"/>
                      <w:szCs w:val="21"/>
                      <w:highlight w:val="none"/>
                    </w:rPr>
                    <w:t>提示图形符号</w:t>
                  </w:r>
                </w:p>
                <w:p>
                  <w:pPr>
                    <w:bidi w:val="0"/>
                    <w:spacing w:line="240" w:lineRule="auto"/>
                    <w:rPr>
                      <w:color w:val="auto"/>
                      <w:sz w:val="21"/>
                      <w:szCs w:val="21"/>
                      <w:highlight w:val="none"/>
                    </w:rPr>
                  </w:pPr>
                  <w:r>
                    <w:rPr>
                      <w:color w:val="auto"/>
                      <w:sz w:val="21"/>
                      <w:szCs w:val="21"/>
                      <w:highlight w:val="none"/>
                    </w:rPr>
                    <w:t>废气排放口</w:t>
                  </w:r>
                </w:p>
                <w:p>
                  <w:pPr>
                    <w:bidi w:val="0"/>
                    <w:spacing w:line="240" w:lineRule="auto"/>
                    <w:rPr>
                      <w:color w:val="auto"/>
                      <w:sz w:val="21"/>
                      <w:szCs w:val="21"/>
                      <w:highlight w:val="none"/>
                    </w:rPr>
                  </w:pPr>
                  <w:r>
                    <w:rPr>
                      <w:color w:val="auto"/>
                      <w:sz w:val="21"/>
                      <w:szCs w:val="21"/>
                      <w:highlight w:val="none"/>
                    </w:rPr>
                    <w:t>表示废气向大气环境排放</w:t>
                  </w:r>
                </w:p>
              </w:tc>
            </w:tr>
          </w:tbl>
          <w:p>
            <w:pPr>
              <w:keepNext w:val="0"/>
              <w:keepLines w:val="0"/>
              <w:pageBreakBefore w:val="0"/>
              <w:widowControl w:val="0"/>
              <w:kinsoku/>
              <w:wordWrap/>
              <w:overflowPunct/>
              <w:topLinePunct w:val="0"/>
              <w:autoSpaceDE w:val="0"/>
              <w:autoSpaceDN w:val="0"/>
              <w:bidi w:val="0"/>
              <w:adjustRightInd/>
              <w:snapToGrid/>
              <w:spacing w:before="0"/>
              <w:ind w:left="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具体整改内容级整改投资见下表。</w:t>
            </w:r>
          </w:p>
          <w:p>
            <w:pPr>
              <w:keepNext w:val="0"/>
              <w:keepLines w:val="0"/>
              <w:pageBreakBefore w:val="0"/>
              <w:widowControl w:val="0"/>
              <w:kinsoku/>
              <w:wordWrap/>
              <w:overflowPunct/>
              <w:topLinePunct w:val="0"/>
              <w:autoSpaceDE w:val="0"/>
              <w:autoSpaceDN w:val="0"/>
              <w:bidi w:val="0"/>
              <w:adjustRightInd/>
              <w:snapToGrid/>
              <w:spacing w:before="0"/>
              <w:ind w:firstLine="0" w:firstLineChars="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表14   整改内容及整改投资一览表</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30"/>
              <w:gridCol w:w="1988"/>
              <w:gridCol w:w="2514"/>
              <w:gridCol w:w="1023"/>
              <w:gridCol w:w="175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39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序号</w:t>
                  </w:r>
                </w:p>
              </w:tc>
              <w:tc>
                <w:tcPr>
                  <w:tcW w:w="125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存在问题</w:t>
                  </w:r>
                </w:p>
              </w:tc>
              <w:tc>
                <w:tcPr>
                  <w:tcW w:w="158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整改措施</w:t>
                  </w:r>
                </w:p>
              </w:tc>
              <w:tc>
                <w:tcPr>
                  <w:tcW w:w="6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整改时限</w:t>
                  </w:r>
                </w:p>
              </w:tc>
              <w:tc>
                <w:tcPr>
                  <w:tcW w:w="110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整改投资（万元）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39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bidi="zh-CN"/>
                    </w:rPr>
                  </w:pPr>
                  <w:r>
                    <w:rPr>
                      <w:rFonts w:hint="eastAsia" w:eastAsia="宋体" w:cs="Times New Roman"/>
                      <w:color w:val="auto"/>
                      <w:sz w:val="21"/>
                      <w:szCs w:val="21"/>
                      <w:highlight w:val="none"/>
                      <w:vertAlign w:val="baseline"/>
                      <w:lang w:val="en-US" w:eastAsia="zh-CN"/>
                    </w:rPr>
                    <w:t>1</w:t>
                  </w:r>
                </w:p>
              </w:tc>
              <w:tc>
                <w:tcPr>
                  <w:tcW w:w="125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未张贴环保标识，建设单位应在“三废”产生点张贴符合要求的保标识</w:t>
                  </w:r>
                </w:p>
              </w:tc>
              <w:tc>
                <w:tcPr>
                  <w:tcW w:w="158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根据《环境保护图形标志 排放口（源）》（GB15562.1-1995）的相关要求在噪声排放源及废气排放源设置环保标识</w:t>
                  </w:r>
                </w:p>
              </w:tc>
              <w:tc>
                <w:tcPr>
                  <w:tcW w:w="6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0" w:right="0" w:right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2022年12月-2023年3月</w:t>
                  </w:r>
                </w:p>
              </w:tc>
              <w:tc>
                <w:tcPr>
                  <w:tcW w:w="110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0.05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39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w:t>
                  </w:r>
                </w:p>
              </w:tc>
              <w:tc>
                <w:tcPr>
                  <w:tcW w:w="125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整改储料间和灰渣库的半封闭设施</w:t>
                  </w:r>
                </w:p>
              </w:tc>
              <w:tc>
                <w:tcPr>
                  <w:tcW w:w="158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修缮储料间和灰渣库的全封闭设施。</w:t>
                  </w:r>
                </w:p>
              </w:tc>
              <w:tc>
                <w:tcPr>
                  <w:tcW w:w="6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0" w:right="0" w:right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2022年12月-2023年3月</w:t>
                  </w:r>
                </w:p>
              </w:tc>
              <w:tc>
                <w:tcPr>
                  <w:tcW w:w="110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3891" w:type="pct"/>
                  <w:gridSpan w:val="4"/>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合计</w:t>
                  </w:r>
                </w:p>
              </w:tc>
              <w:tc>
                <w:tcPr>
                  <w:tcW w:w="110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1.05</w:t>
                  </w:r>
                </w:p>
              </w:tc>
            </w:tr>
          </w:tbl>
          <w:p>
            <w:pPr>
              <w:rPr>
                <w:rFonts w:hint="default"/>
                <w:color w:val="auto"/>
                <w:highlight w:val="none"/>
              </w:rPr>
            </w:pPr>
          </w:p>
          <w:p>
            <w:pPr>
              <w:bidi w:val="0"/>
              <w:rPr>
                <w:rFonts w:hint="default"/>
                <w:color w:val="auto"/>
                <w:highlight w:val="none"/>
                <w:lang w:val="en-US" w:eastAsia="zh-CN"/>
              </w:rPr>
            </w:pPr>
          </w:p>
        </w:tc>
      </w:tr>
    </w:tbl>
    <w:p>
      <w:pPr>
        <w:rPr>
          <w:rFonts w:hint="default" w:ascii="Times New Roman" w:hAnsi="Times New Roman" w:eastAsia="宋体"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三、区域环境质量现状、环境保护目标及评价标准</w:t>
      </w:r>
    </w:p>
    <w:tbl>
      <w:tblPr>
        <w:tblStyle w:val="17"/>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8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68" w:type="dxa"/>
            <w:vAlign w:val="center"/>
          </w:tcPr>
          <w:p>
            <w:pPr>
              <w:adjustRightInd w:val="0"/>
              <w:snapToGrid w:val="0"/>
              <w:ind w:firstLine="0" w:firstLineChars="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区域</w:t>
            </w:r>
          </w:p>
          <w:p>
            <w:pPr>
              <w:adjustRightInd w:val="0"/>
              <w:snapToGrid w:val="0"/>
              <w:ind w:firstLine="0" w:firstLineChars="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环境</w:t>
            </w:r>
          </w:p>
          <w:p>
            <w:pPr>
              <w:adjustRightInd w:val="0"/>
              <w:snapToGrid w:val="0"/>
              <w:ind w:firstLine="0" w:firstLineChars="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质量</w:t>
            </w:r>
          </w:p>
          <w:p>
            <w:pPr>
              <w:adjustRightInd w:val="0"/>
              <w:snapToGrid w:val="0"/>
              <w:ind w:firstLine="0" w:firstLineChars="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现状</w:t>
            </w:r>
          </w:p>
        </w:tc>
        <w:tc>
          <w:tcPr>
            <w:tcW w:w="7854" w:type="dxa"/>
            <w:vAlign w:val="center"/>
          </w:tcPr>
          <w:p>
            <w:pPr>
              <w:ind w:firstLine="48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1、环境空气质量现状</w:t>
            </w:r>
          </w:p>
          <w:p>
            <w:pPr>
              <w:ind w:firstLine="48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1.1</w:t>
            </w:r>
            <w:r>
              <w:rPr>
                <w:rFonts w:hint="eastAsia" w:cs="Times New Roman"/>
                <w:b/>
                <w:bCs/>
                <w:color w:val="auto"/>
                <w:highlight w:val="none"/>
                <w:lang w:val="en-US" w:eastAsia="zh-CN"/>
              </w:rPr>
              <w:t>项目所在</w:t>
            </w:r>
            <w:r>
              <w:rPr>
                <w:rFonts w:hint="default" w:ascii="Times New Roman" w:hAnsi="Times New Roman" w:eastAsia="宋体" w:cs="Times New Roman"/>
                <w:b/>
                <w:bCs/>
                <w:color w:val="auto"/>
                <w:highlight w:val="none"/>
              </w:rPr>
              <w:t>区域环境质量达标情况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根据《环境影响评价技术导则 大气环境》（HJ2.2-2018）中6.4.1.1中的内容“城市环境空气质量达标评价指标为SO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、NO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10</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2.5</w:t>
            </w:r>
            <w:r>
              <w:rPr>
                <w:rFonts w:hint="default" w:ascii="Times New Roman" w:hAnsi="Times New Roman" w:eastAsia="宋体" w:cs="Times New Roman"/>
                <w:color w:val="auto"/>
                <w:kern w:val="0"/>
                <w:sz w:val="24"/>
                <w:szCs w:val="24"/>
                <w:highlight w:val="none"/>
              </w:rPr>
              <w:t>、CO和O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，六项污染物全部达标即为城市环境空气质量达标”。</w:t>
            </w:r>
          </w:p>
          <w:p>
            <w:pPr>
              <w:pStyle w:val="7"/>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kern w:val="0"/>
                <w:sz w:val="24"/>
                <w:szCs w:val="24"/>
                <w:highlight w:val="none"/>
              </w:rPr>
              <w:t>本项目环境质量现状数据来源于乌拉特前旗区控自动站2021年数据作为评价区域达标情况的依据</w:t>
            </w:r>
            <w:r>
              <w:rPr>
                <w:rFonts w:hint="default"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eastAsia="zh-CN"/>
              </w:rPr>
              <w:t>见下表</w:t>
            </w:r>
            <w:r>
              <w:rPr>
                <w:rFonts w:hint="eastAsia" w:cs="Times New Roman"/>
                <w:color w:val="auto"/>
                <w:kern w:val="0"/>
                <w:sz w:val="24"/>
                <w:szCs w:val="24"/>
                <w:highlight w:val="none"/>
                <w:lang w:val="en-US" w:eastAsia="zh-CN"/>
              </w:rPr>
              <w:t>1</w:t>
            </w:r>
            <w:r>
              <w:rPr>
                <w:rFonts w:hint="default" w:ascii="Times New Roman" w:hAnsi="Times New Roman" w:eastAsia="宋体" w:cs="Times New Roman"/>
                <w:color w:val="auto"/>
                <w:kern w:val="0"/>
                <w:sz w:val="24"/>
                <w:szCs w:val="24"/>
                <w:highlight w:val="none"/>
              </w:rPr>
              <w:t>。</w:t>
            </w:r>
          </w:p>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482" w:firstLineChars="200"/>
              <w:jc w:val="center"/>
              <w:textAlignment w:val="bottom"/>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大气环境质量现状与评价结果一览表</w:t>
            </w:r>
          </w:p>
          <w:tbl>
            <w:tblPr>
              <w:tblStyle w:val="17"/>
              <w:tblW w:w="77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087"/>
              <w:gridCol w:w="1701"/>
              <w:gridCol w:w="1124"/>
              <w:gridCol w:w="1222"/>
              <w:gridCol w:w="764"/>
              <w:gridCol w:w="8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2" w:hRule="atLeast"/>
                <w:tblHeader/>
                <w:jc w:val="center"/>
              </w:trPr>
              <w:tc>
                <w:tcPr>
                  <w:tcW w:w="20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r>
                    <w:rPr>
                      <w:rFonts w:hint="default"/>
                      <w:b/>
                      <w:bCs/>
                      <w:color w:val="auto"/>
                      <w:sz w:val="21"/>
                      <w:szCs w:val="21"/>
                      <w:highlight w:val="none"/>
                    </w:rPr>
                    <w:t>污染物</w:t>
                  </w:r>
                </w:p>
              </w:tc>
              <w:tc>
                <w:tcPr>
                  <w:tcW w:w="170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r>
                    <w:rPr>
                      <w:rFonts w:hint="default"/>
                      <w:b/>
                      <w:bCs/>
                      <w:color w:val="auto"/>
                      <w:sz w:val="21"/>
                      <w:szCs w:val="21"/>
                      <w:highlight w:val="none"/>
                    </w:rPr>
                    <w:t>年评价指标</w:t>
                  </w:r>
                </w:p>
              </w:tc>
              <w:tc>
                <w:tcPr>
                  <w:tcW w:w="112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r>
                    <w:rPr>
                      <w:rFonts w:hint="default"/>
                      <w:b/>
                      <w:bCs/>
                      <w:color w:val="auto"/>
                      <w:sz w:val="21"/>
                      <w:szCs w:val="21"/>
                      <w:highlight w:val="none"/>
                    </w:rPr>
                    <w:t>现状浓度（ug/m</w:t>
                  </w:r>
                  <w:r>
                    <w:rPr>
                      <w:rFonts w:hint="default"/>
                      <w:b/>
                      <w:bCs/>
                      <w:color w:val="auto"/>
                      <w:sz w:val="21"/>
                      <w:szCs w:val="21"/>
                      <w:highlight w:val="none"/>
                      <w:vertAlign w:val="superscript"/>
                    </w:rPr>
                    <w:t>3</w:t>
                  </w:r>
                  <w:r>
                    <w:rPr>
                      <w:rFonts w:hint="default"/>
                      <w:b/>
                      <w:bCs/>
                      <w:color w:val="auto"/>
                      <w:sz w:val="21"/>
                      <w:szCs w:val="21"/>
                      <w:highlight w:val="none"/>
                    </w:rPr>
                    <w:t>）</w:t>
                  </w:r>
                </w:p>
              </w:tc>
              <w:tc>
                <w:tcPr>
                  <w:tcW w:w="12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r>
                    <w:rPr>
                      <w:rFonts w:hint="default"/>
                      <w:b/>
                      <w:bCs/>
                      <w:color w:val="auto"/>
                      <w:sz w:val="21"/>
                      <w:szCs w:val="21"/>
                      <w:highlight w:val="none"/>
                    </w:rPr>
                    <w:t>标准值（ug/m</w:t>
                  </w:r>
                  <w:r>
                    <w:rPr>
                      <w:rFonts w:hint="default"/>
                      <w:b/>
                      <w:bCs/>
                      <w:color w:val="auto"/>
                      <w:sz w:val="21"/>
                      <w:szCs w:val="21"/>
                      <w:highlight w:val="none"/>
                      <w:vertAlign w:val="superscript"/>
                    </w:rPr>
                    <w:t>3</w:t>
                  </w:r>
                  <w:r>
                    <w:rPr>
                      <w:rFonts w:hint="default"/>
                      <w:b/>
                      <w:bCs/>
                      <w:color w:val="auto"/>
                      <w:sz w:val="21"/>
                      <w:szCs w:val="21"/>
                      <w:highlight w:val="none"/>
                    </w:rPr>
                    <w:t>）</w:t>
                  </w:r>
                </w:p>
              </w:tc>
              <w:tc>
                <w:tcPr>
                  <w:tcW w:w="76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r>
                    <w:rPr>
                      <w:rFonts w:hint="default"/>
                      <w:b/>
                      <w:bCs/>
                      <w:color w:val="auto"/>
                      <w:sz w:val="21"/>
                      <w:szCs w:val="21"/>
                      <w:highlight w:val="none"/>
                    </w:rPr>
                    <w:t>占标率%</w:t>
                  </w:r>
                </w:p>
              </w:tc>
              <w:tc>
                <w:tcPr>
                  <w:tcW w:w="8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r>
                    <w:rPr>
                      <w:rFonts w:hint="default"/>
                      <w:b/>
                      <w:bCs/>
                      <w:color w:val="auto"/>
                      <w:sz w:val="21"/>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0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细颗粒物（PM2.5）</w:t>
                  </w:r>
                </w:p>
              </w:tc>
              <w:tc>
                <w:tcPr>
                  <w:tcW w:w="170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年平均质量</w:t>
                  </w:r>
                </w:p>
              </w:tc>
              <w:tc>
                <w:tcPr>
                  <w:tcW w:w="112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15</w:t>
                  </w:r>
                </w:p>
              </w:tc>
              <w:tc>
                <w:tcPr>
                  <w:tcW w:w="12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35</w:t>
                  </w:r>
                </w:p>
              </w:tc>
              <w:tc>
                <w:tcPr>
                  <w:tcW w:w="76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lang w:val="en-US"/>
                    </w:rPr>
                  </w:pPr>
                  <w:r>
                    <w:rPr>
                      <w:rFonts w:hint="eastAsia"/>
                      <w:color w:val="auto"/>
                      <w:sz w:val="21"/>
                      <w:szCs w:val="21"/>
                      <w:highlight w:val="none"/>
                      <w:lang w:val="en-US" w:eastAsia="zh-CN"/>
                    </w:rPr>
                    <w:t>42.9</w:t>
                  </w:r>
                </w:p>
              </w:tc>
              <w:tc>
                <w:tcPr>
                  <w:tcW w:w="8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0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可吸入颗粒（PM10）</w:t>
                  </w:r>
                </w:p>
              </w:tc>
              <w:tc>
                <w:tcPr>
                  <w:tcW w:w="170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年平均质量</w:t>
                  </w:r>
                </w:p>
              </w:tc>
              <w:tc>
                <w:tcPr>
                  <w:tcW w:w="112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59</w:t>
                  </w:r>
                </w:p>
              </w:tc>
              <w:tc>
                <w:tcPr>
                  <w:tcW w:w="12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70</w:t>
                  </w:r>
                </w:p>
              </w:tc>
              <w:tc>
                <w:tcPr>
                  <w:tcW w:w="76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lang w:val="en-US"/>
                    </w:rPr>
                  </w:pPr>
                  <w:r>
                    <w:rPr>
                      <w:rFonts w:hint="eastAsia"/>
                      <w:color w:val="auto"/>
                      <w:sz w:val="21"/>
                      <w:szCs w:val="21"/>
                      <w:highlight w:val="none"/>
                      <w:lang w:val="en-US" w:eastAsia="zh-CN"/>
                    </w:rPr>
                    <w:t>84.3</w:t>
                  </w:r>
                </w:p>
              </w:tc>
              <w:tc>
                <w:tcPr>
                  <w:tcW w:w="8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6" w:hRule="atLeast"/>
                <w:jc w:val="center"/>
              </w:trPr>
              <w:tc>
                <w:tcPr>
                  <w:tcW w:w="20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二氧化硫</w:t>
                  </w:r>
                </w:p>
              </w:tc>
              <w:tc>
                <w:tcPr>
                  <w:tcW w:w="170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年平均质量</w:t>
                  </w:r>
                </w:p>
              </w:tc>
              <w:tc>
                <w:tcPr>
                  <w:tcW w:w="112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13</w:t>
                  </w:r>
                </w:p>
              </w:tc>
              <w:tc>
                <w:tcPr>
                  <w:tcW w:w="12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60</w:t>
                  </w:r>
                </w:p>
              </w:tc>
              <w:tc>
                <w:tcPr>
                  <w:tcW w:w="76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lang w:val="en-US"/>
                    </w:rPr>
                  </w:pPr>
                  <w:r>
                    <w:rPr>
                      <w:rFonts w:hint="eastAsia"/>
                      <w:color w:val="auto"/>
                      <w:sz w:val="21"/>
                      <w:szCs w:val="21"/>
                      <w:highlight w:val="none"/>
                      <w:lang w:val="en-US" w:eastAsia="zh-CN"/>
                    </w:rPr>
                    <w:t>21.7</w:t>
                  </w:r>
                </w:p>
              </w:tc>
              <w:tc>
                <w:tcPr>
                  <w:tcW w:w="8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0" w:hRule="atLeast"/>
                <w:jc w:val="center"/>
              </w:trPr>
              <w:tc>
                <w:tcPr>
                  <w:tcW w:w="20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二氧化氮</w:t>
                  </w:r>
                </w:p>
              </w:tc>
              <w:tc>
                <w:tcPr>
                  <w:tcW w:w="170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年平均质量</w:t>
                  </w:r>
                </w:p>
              </w:tc>
              <w:tc>
                <w:tcPr>
                  <w:tcW w:w="112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26</w:t>
                  </w:r>
                </w:p>
              </w:tc>
              <w:tc>
                <w:tcPr>
                  <w:tcW w:w="12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40</w:t>
                  </w:r>
                </w:p>
              </w:tc>
              <w:tc>
                <w:tcPr>
                  <w:tcW w:w="76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lang w:val="en-US"/>
                    </w:rPr>
                  </w:pPr>
                  <w:r>
                    <w:rPr>
                      <w:rFonts w:hint="eastAsia"/>
                      <w:color w:val="auto"/>
                      <w:sz w:val="21"/>
                      <w:szCs w:val="21"/>
                      <w:highlight w:val="none"/>
                      <w:lang w:val="en-US" w:eastAsia="zh-CN"/>
                    </w:rPr>
                    <w:t>65.0</w:t>
                  </w:r>
                </w:p>
              </w:tc>
              <w:tc>
                <w:tcPr>
                  <w:tcW w:w="8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0" w:hRule="atLeast"/>
                <w:jc w:val="center"/>
              </w:trPr>
              <w:tc>
                <w:tcPr>
                  <w:tcW w:w="20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一氧化碳</w:t>
                  </w:r>
                </w:p>
              </w:tc>
              <w:tc>
                <w:tcPr>
                  <w:tcW w:w="170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日平均浓度</w:t>
                  </w:r>
                </w:p>
              </w:tc>
              <w:tc>
                <w:tcPr>
                  <w:tcW w:w="112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1200</w:t>
                  </w:r>
                </w:p>
              </w:tc>
              <w:tc>
                <w:tcPr>
                  <w:tcW w:w="12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4000</w:t>
                  </w:r>
                </w:p>
              </w:tc>
              <w:tc>
                <w:tcPr>
                  <w:tcW w:w="76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30.0</w:t>
                  </w:r>
                </w:p>
              </w:tc>
              <w:tc>
                <w:tcPr>
                  <w:tcW w:w="8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0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臭氧</w:t>
                  </w:r>
                </w:p>
              </w:tc>
              <w:tc>
                <w:tcPr>
                  <w:tcW w:w="170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8小时平均浓度</w:t>
                  </w:r>
                </w:p>
              </w:tc>
              <w:tc>
                <w:tcPr>
                  <w:tcW w:w="112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140</w:t>
                  </w:r>
                </w:p>
              </w:tc>
              <w:tc>
                <w:tcPr>
                  <w:tcW w:w="12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160</w:t>
                  </w:r>
                </w:p>
              </w:tc>
              <w:tc>
                <w:tcPr>
                  <w:tcW w:w="76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87.5</w:t>
                  </w:r>
                </w:p>
              </w:tc>
              <w:tc>
                <w:tcPr>
                  <w:tcW w:w="8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highlight w:val="none"/>
                    </w:rPr>
                  </w:pPr>
                  <w:r>
                    <w:rPr>
                      <w:rFonts w:hint="default"/>
                      <w:color w:val="auto"/>
                      <w:sz w:val="21"/>
                      <w:szCs w:val="21"/>
                      <w:highlight w:val="none"/>
                    </w:rPr>
                    <w:t>达标</w:t>
                  </w:r>
                </w:p>
              </w:tc>
            </w:tr>
          </w:tbl>
          <w:p>
            <w:pPr>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从上表可以看出，</w:t>
            </w:r>
            <w:r>
              <w:rPr>
                <w:rFonts w:hint="default" w:ascii="Times New Roman" w:hAnsi="Times New Roman" w:eastAsia="宋体" w:cs="Times New Roman"/>
                <w:color w:val="auto"/>
                <w:kern w:val="0"/>
                <w:sz w:val="24"/>
                <w:szCs w:val="24"/>
                <w:highlight w:val="none"/>
                <w:lang w:eastAsia="zh-CN"/>
              </w:rPr>
              <w:t>巴彦淖尔市乌拉特前旗</w:t>
            </w:r>
            <w:r>
              <w:rPr>
                <w:rFonts w:hint="default" w:ascii="Times New Roman" w:hAnsi="Times New Roman" w:eastAsia="宋体" w:cs="Times New Roman"/>
                <w:color w:val="auto"/>
                <w:kern w:val="0"/>
                <w:sz w:val="24"/>
                <w:szCs w:val="24"/>
                <w:highlight w:val="none"/>
                <w:lang w:val="en-US" w:eastAsia="zh-CN"/>
              </w:rPr>
              <w:t>2021年大气环境中6项</w:t>
            </w:r>
            <w:r>
              <w:rPr>
                <w:rFonts w:hint="default" w:ascii="Times New Roman" w:hAnsi="Times New Roman" w:eastAsia="宋体" w:cs="Times New Roman"/>
                <w:color w:val="auto"/>
                <w:kern w:val="0"/>
                <w:sz w:val="24"/>
                <w:szCs w:val="24"/>
                <w:highlight w:val="none"/>
              </w:rPr>
              <w:t>污染物</w:t>
            </w:r>
            <w:r>
              <w:rPr>
                <w:rFonts w:hint="default" w:ascii="Times New Roman" w:hAnsi="Times New Roman" w:eastAsia="宋体" w:cs="Times New Roman"/>
                <w:color w:val="auto"/>
                <w:kern w:val="0"/>
                <w:sz w:val="24"/>
                <w:szCs w:val="24"/>
                <w:highlight w:val="none"/>
                <w:lang w:eastAsia="zh-CN"/>
              </w:rPr>
              <w:t>中</w:t>
            </w:r>
            <w:r>
              <w:rPr>
                <w:rFonts w:hint="default" w:ascii="Times New Roman" w:hAnsi="Times New Roman" w:eastAsia="宋体" w:cs="Times New Roman"/>
                <w:color w:val="auto"/>
                <w:kern w:val="0"/>
                <w:sz w:val="24"/>
                <w:szCs w:val="24"/>
                <w:highlight w:val="none"/>
              </w:rPr>
              <w:t>SO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、NO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10</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2.5</w:t>
            </w:r>
            <w:r>
              <w:rPr>
                <w:rFonts w:hint="default" w:ascii="Times New Roman" w:hAnsi="Times New Roman" w:eastAsia="宋体" w:cs="Times New Roman"/>
                <w:color w:val="auto"/>
                <w:kern w:val="0"/>
                <w:sz w:val="24"/>
                <w:szCs w:val="24"/>
                <w:highlight w:val="none"/>
              </w:rPr>
              <w:t>、CO和O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质量浓度</w:t>
            </w:r>
            <w:r>
              <w:rPr>
                <w:rFonts w:hint="default" w:ascii="Times New Roman" w:hAnsi="Times New Roman" w:eastAsia="宋体" w:cs="Times New Roman"/>
                <w:color w:val="auto"/>
                <w:kern w:val="0"/>
                <w:sz w:val="24"/>
                <w:szCs w:val="24"/>
                <w:highlight w:val="none"/>
                <w:lang w:eastAsia="zh-CN"/>
              </w:rPr>
              <w:t>均满足</w:t>
            </w:r>
            <w:r>
              <w:rPr>
                <w:rFonts w:hint="default" w:ascii="Times New Roman" w:hAnsi="Times New Roman" w:eastAsia="宋体" w:cs="Times New Roman"/>
                <w:color w:val="auto"/>
                <w:kern w:val="0"/>
                <w:sz w:val="24"/>
                <w:szCs w:val="24"/>
                <w:highlight w:val="none"/>
              </w:rPr>
              <w:t>《环境空气质量标准》（GB3095-2012）二级标准</w:t>
            </w:r>
            <w:r>
              <w:rPr>
                <w:rFonts w:hint="default" w:ascii="Times New Roman" w:hAnsi="Times New Roman" w:eastAsia="宋体" w:cs="Times New Roman"/>
                <w:color w:val="auto"/>
                <w:kern w:val="0"/>
                <w:sz w:val="24"/>
                <w:szCs w:val="24"/>
                <w:highlight w:val="none"/>
                <w:vertAlign w:val="baseline"/>
              </w:rPr>
              <w:t>限值</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由此可判断</w:t>
            </w:r>
            <w:r>
              <w:rPr>
                <w:rFonts w:hint="default" w:ascii="Times New Roman" w:hAnsi="Times New Roman" w:eastAsia="宋体" w:cs="Times New Roman"/>
                <w:color w:val="auto"/>
                <w:kern w:val="0"/>
                <w:sz w:val="24"/>
                <w:szCs w:val="24"/>
                <w:highlight w:val="none"/>
                <w:lang w:eastAsia="zh-CN"/>
              </w:rPr>
              <w:t>乌拉特前旗为</w:t>
            </w:r>
            <w:r>
              <w:rPr>
                <w:rFonts w:hint="default" w:ascii="Times New Roman" w:hAnsi="Times New Roman" w:eastAsia="宋体" w:cs="Times New Roman"/>
                <w:color w:val="auto"/>
                <w:kern w:val="0"/>
                <w:sz w:val="24"/>
                <w:szCs w:val="24"/>
                <w:highlight w:val="none"/>
              </w:rPr>
              <w:t>达标区</w:t>
            </w:r>
            <w:r>
              <w:rPr>
                <w:rFonts w:hint="default" w:ascii="Times New Roman" w:hAnsi="Times New Roman" w:eastAsia="宋体" w:cs="Times New Roman"/>
                <w:color w:val="auto"/>
                <w:sz w:val="24"/>
                <w:highlight w:val="none"/>
              </w:rPr>
              <w:t>。</w:t>
            </w:r>
          </w:p>
          <w:p>
            <w:pPr>
              <w:pStyle w:val="10"/>
              <w:spacing w:after="0" w:line="360" w:lineRule="auto"/>
              <w:ind w:firstLine="482" w:firstLineChars="200"/>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lang w:val="en-US" w:eastAsia="zh-CN"/>
              </w:rPr>
              <w:t>2</w:t>
            </w:r>
            <w:r>
              <w:rPr>
                <w:rFonts w:hint="default" w:ascii="Times New Roman" w:hAnsi="Times New Roman" w:eastAsia="宋体" w:cs="Times New Roman"/>
                <w:b/>
                <w:color w:val="auto"/>
                <w:kern w:val="0"/>
                <w:sz w:val="24"/>
                <w:szCs w:val="24"/>
                <w:highlight w:val="none"/>
              </w:rPr>
              <w:t>、</w:t>
            </w:r>
            <w:r>
              <w:rPr>
                <w:rFonts w:hint="default" w:ascii="Times New Roman" w:hAnsi="Times New Roman" w:eastAsia="宋体" w:cs="Times New Roman"/>
                <w:b/>
                <w:color w:val="auto"/>
                <w:kern w:val="0"/>
                <w:sz w:val="24"/>
                <w:szCs w:val="24"/>
                <w:highlight w:val="none"/>
                <w:lang w:eastAsia="zh-CN"/>
              </w:rPr>
              <w:t>声</w:t>
            </w:r>
            <w:r>
              <w:rPr>
                <w:rFonts w:hint="default" w:ascii="Times New Roman" w:hAnsi="Times New Roman" w:eastAsia="宋体" w:cs="Times New Roman"/>
                <w:b/>
                <w:color w:val="auto"/>
                <w:kern w:val="0"/>
                <w:sz w:val="24"/>
                <w:szCs w:val="24"/>
                <w:highlight w:val="none"/>
              </w:rPr>
              <w:t>环境质量</w:t>
            </w:r>
          </w:p>
          <w:p>
            <w:pPr>
              <w:bidi w:val="0"/>
              <w:rPr>
                <w:rFonts w:hint="eastAsia" w:cs="Times New Roman"/>
                <w:bCs/>
                <w:color w:val="auto"/>
                <w:szCs w:val="24"/>
                <w:highlight w:val="none"/>
                <w:lang w:eastAsia="zh-CN" w:bidi="ar"/>
              </w:rPr>
            </w:pPr>
            <w:r>
              <w:rPr>
                <w:rFonts w:hint="default" w:ascii="Times New Roman" w:hAnsi="Times New Roman" w:eastAsia="宋体" w:cs="Times New Roman"/>
                <w:bCs/>
                <w:color w:val="auto"/>
                <w:szCs w:val="24"/>
                <w:highlight w:val="none"/>
                <w:lang w:bidi="ar"/>
              </w:rPr>
              <w:t>根据《建设项目环境影响报告表编制技术指南（污染影响类）》（试行），本项目厂界外50米范围内不存在声环境保护目标，可不开展声环境质量现状调查</w:t>
            </w:r>
            <w:r>
              <w:rPr>
                <w:rFonts w:hint="eastAsia" w:cs="Times New Roman"/>
                <w:bCs/>
                <w:color w:val="auto"/>
                <w:szCs w:val="24"/>
                <w:highlight w:val="none"/>
                <w:lang w:eastAsia="zh-CN" w:bidi="ar"/>
              </w:rPr>
              <w:t>。</w:t>
            </w:r>
          </w:p>
          <w:p>
            <w:pPr>
              <w:bidi w:val="0"/>
              <w:rPr>
                <w:rFonts w:hint="eastAsia" w:cs="Times New Roman"/>
                <w:b/>
                <w:bCs w:val="0"/>
                <w:color w:val="auto"/>
                <w:szCs w:val="24"/>
                <w:highlight w:val="none"/>
                <w:lang w:eastAsia="zh-CN" w:bidi="ar"/>
              </w:rPr>
            </w:pPr>
            <w:r>
              <w:rPr>
                <w:rFonts w:hint="eastAsia" w:cs="Times New Roman"/>
                <w:b/>
                <w:bCs w:val="0"/>
                <w:color w:val="auto"/>
                <w:szCs w:val="24"/>
                <w:highlight w:val="none"/>
                <w:lang w:val="en-US" w:eastAsia="zh-CN" w:bidi="ar"/>
              </w:rPr>
              <w:t>3、地下水和土壤的区域环境质量现状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按照《建设项目环境影响报告表编制技术指南</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污染影响类）</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试行）》，原则上不开展地下水、土壤环境质量现状调查。</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依据《环境影响评价技术导则 地下水环境》</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HJ610-2016</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附录A-地下水环境影响评价行业分类表之划分，建设项目地下水环境影响评价项目类别属</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4 \* ROMAN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IV</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类</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参见附录A-地下水环境影响评价行业分类表- 142、热力生产和供应工程-其他</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。因此无需进行地下水监测及评价。</w:t>
            </w:r>
          </w:p>
          <w:p>
            <w:pPr>
              <w:bidi w:val="0"/>
              <w:rPr>
                <w:rFonts w:hint="default" w:eastAsia="宋体"/>
                <w:color w:val="auto"/>
                <w:highlight w:val="none"/>
                <w:lang w:val="en-US" w:eastAsia="zh-CN"/>
              </w:rPr>
            </w:pPr>
            <w:r>
              <w:rPr>
                <w:rFonts w:hint="default" w:ascii="Times New Roman" w:hAnsi="Times New Roman" w:eastAsia="宋体" w:cs="Times New Roman"/>
                <w:color w:val="auto"/>
                <w:sz w:val="24"/>
                <w:szCs w:val="24"/>
                <w:highlight w:val="none"/>
              </w:rPr>
              <w:t>对照《环境影响评价技术导则  土壤环境</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试行）》</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HJ964-2018），判定本项目土壤类别为“其他”，为Ⅳ类建设项目，根据《环境影响评价技术导则  土壤环境</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试行）》</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HJ964-2018）4.2.2“Ⅳ类项目可不开展土壤环境影响评价”。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Align w:val="center"/>
          </w:tcPr>
          <w:p>
            <w:pPr>
              <w:adjustRightInd w:val="0"/>
              <w:snapToGrid w:val="0"/>
              <w:ind w:firstLine="0" w:firstLineChars="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环境</w:t>
            </w:r>
          </w:p>
          <w:p>
            <w:pPr>
              <w:adjustRightInd w:val="0"/>
              <w:snapToGrid w:val="0"/>
              <w:ind w:firstLine="0" w:firstLineChars="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保护</w:t>
            </w:r>
          </w:p>
          <w:p>
            <w:pPr>
              <w:adjustRightInd w:val="0"/>
              <w:snapToGrid w:val="0"/>
              <w:ind w:firstLine="0" w:firstLineChars="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目标</w:t>
            </w:r>
          </w:p>
        </w:tc>
        <w:tc>
          <w:tcPr>
            <w:tcW w:w="7854" w:type="dxa"/>
          </w:tcPr>
          <w:p>
            <w:pPr>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本项目位于巴彦淖尔市乌拉特前旗</w:t>
            </w:r>
            <w:r>
              <w:rPr>
                <w:rFonts w:hint="eastAsia" w:cs="Times New Roman"/>
                <w:color w:val="auto"/>
                <w:highlight w:val="none"/>
                <w:lang w:val="en-US" w:eastAsia="zh-CN"/>
              </w:rPr>
              <w:t>小佘太镇张二</w:t>
            </w:r>
            <w:r>
              <w:rPr>
                <w:rFonts w:hint="eastAsia" w:cs="Times New Roman"/>
                <w:b w:val="0"/>
                <w:bCs w:val="0"/>
                <w:color w:val="auto"/>
                <w:sz w:val="24"/>
                <w:szCs w:val="24"/>
                <w:highlight w:val="none"/>
                <w:vertAlign w:val="baseline"/>
                <w:lang w:val="en-US" w:eastAsia="zh-CN"/>
              </w:rPr>
              <w:t>口村书记沟矿区</w:t>
            </w:r>
            <w:r>
              <w:rPr>
                <w:rFonts w:hint="default" w:ascii="Times New Roman" w:hAnsi="Times New Roman" w:eastAsia="宋体" w:cs="Times New Roman"/>
                <w:color w:val="auto"/>
                <w:highlight w:val="none"/>
              </w:rPr>
              <w:t>，</w:t>
            </w:r>
            <w:r>
              <w:rPr>
                <w:rFonts w:hint="default"/>
                <w:color w:val="auto"/>
                <w:highlight w:val="none"/>
              </w:rPr>
              <w:t>根据现场踏勘，</w:t>
            </w:r>
            <w:r>
              <w:rPr>
                <w:rFonts w:hint="default"/>
                <w:color w:val="auto"/>
                <w:highlight w:val="none"/>
                <w:lang w:val="en-US" w:eastAsia="zh-CN"/>
              </w:rPr>
              <w:t>项目厂界外500m范围内无自然保护区、风景名胜区、居住区、文化区和村庄等保护目标；500m范围内也</w:t>
            </w:r>
            <w:r>
              <w:rPr>
                <w:rFonts w:hint="eastAsia"/>
                <w:color w:val="auto"/>
                <w:highlight w:val="none"/>
                <w:lang w:val="en-US" w:eastAsia="zh-CN"/>
              </w:rPr>
              <w:t>无</w:t>
            </w:r>
            <w:r>
              <w:rPr>
                <w:rFonts w:hint="default"/>
                <w:color w:val="auto"/>
                <w:highlight w:val="none"/>
                <w:lang w:val="en-US" w:eastAsia="zh-CN"/>
              </w:rPr>
              <w:t>地下水集中式饮用水水源和热水、矿泉水、温泉等特殊地下水资源；厂界外50m范围内无声环境保护目标</w:t>
            </w:r>
            <w:r>
              <w:rPr>
                <w:rFonts w:hint="default"/>
                <w:color w:val="auto"/>
                <w:highlight w:val="none"/>
              </w:rPr>
              <w:t>。</w:t>
            </w:r>
            <w:r>
              <w:rPr>
                <w:rFonts w:hint="default" w:ascii="Times New Roman" w:hAnsi="Times New Roman" w:eastAsia="宋体" w:cs="Times New Roman"/>
                <w:color w:val="auto"/>
                <w:highlight w:val="none"/>
              </w:rPr>
              <w:t>本项目环境保护目标见表</w:t>
            </w:r>
            <w:r>
              <w:rPr>
                <w:rFonts w:hint="eastAsia" w:cs="Times New Roman"/>
                <w:color w:val="auto"/>
                <w:highlight w:val="none"/>
                <w:lang w:val="en-US" w:eastAsia="zh-CN"/>
              </w:rPr>
              <w:t>2</w:t>
            </w:r>
            <w:r>
              <w:rPr>
                <w:rFonts w:hint="default" w:ascii="Times New Roman" w:hAnsi="Times New Roman" w:eastAsia="宋体" w:cs="Times New Roman"/>
                <w:color w:val="auto"/>
                <w:highlight w:val="none"/>
              </w:rPr>
              <w:t>。</w:t>
            </w:r>
          </w:p>
          <w:p>
            <w:pPr>
              <w:bidi w:val="0"/>
              <w:jc w:val="center"/>
              <w:rPr>
                <w:rFonts w:hint="default"/>
                <w:b/>
                <w:bCs/>
                <w:color w:val="auto"/>
                <w:highlight w:val="none"/>
              </w:rPr>
            </w:pPr>
            <w:r>
              <w:rPr>
                <w:rFonts w:hint="default"/>
                <w:b/>
                <w:bCs/>
                <w:color w:val="auto"/>
                <w:highlight w:val="none"/>
              </w:rPr>
              <w:t>表</w:t>
            </w:r>
            <w:r>
              <w:rPr>
                <w:rFonts w:hint="eastAsia"/>
                <w:b/>
                <w:bCs/>
                <w:color w:val="auto"/>
                <w:highlight w:val="none"/>
                <w:lang w:val="en-US" w:eastAsia="zh-CN"/>
              </w:rPr>
              <w:t>2</w:t>
            </w:r>
            <w:r>
              <w:rPr>
                <w:rFonts w:hint="default"/>
                <w:b/>
                <w:bCs/>
                <w:color w:val="auto"/>
                <w:highlight w:val="none"/>
              </w:rPr>
              <w:t xml:space="preserve"> 主要环境保护目标一览表</w:t>
            </w:r>
          </w:p>
          <w:tbl>
            <w:tblPr>
              <w:tblStyle w:val="17"/>
              <w:tblW w:w="762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083"/>
              <w:gridCol w:w="937"/>
              <w:gridCol w:w="1371"/>
              <w:gridCol w:w="2169"/>
              <w:gridCol w:w="20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42" w:hRule="atLeast"/>
                <w:tblHeader/>
                <w:jc w:val="center"/>
              </w:trPr>
              <w:tc>
                <w:tcPr>
                  <w:tcW w:w="108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环境要素</w:t>
                  </w:r>
                </w:p>
              </w:tc>
              <w:tc>
                <w:tcPr>
                  <w:tcW w:w="937"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1371"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相对方位</w:t>
                  </w:r>
                </w:p>
              </w:tc>
              <w:tc>
                <w:tcPr>
                  <w:tcW w:w="2169"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相对厂界最近距离/m</w:t>
                  </w:r>
                </w:p>
              </w:tc>
              <w:tc>
                <w:tcPr>
                  <w:tcW w:w="2065"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环境功能区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95" w:hRule="atLeast"/>
                <w:jc w:val="center"/>
              </w:trPr>
              <w:tc>
                <w:tcPr>
                  <w:tcW w:w="108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w:t>
                  </w:r>
                </w:p>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空气</w:t>
                  </w:r>
                </w:p>
              </w:tc>
              <w:tc>
                <w:tcPr>
                  <w:tcW w:w="4477" w:type="dxa"/>
                  <w:gridSpan w:val="3"/>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厂界外500m范围内无自然保护区、风景名胜区、居民区、文化区和农村地区中人群较集中的区域等保护目标。</w:t>
                  </w:r>
                </w:p>
              </w:tc>
              <w:tc>
                <w:tcPr>
                  <w:tcW w:w="2065"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《环境空气质量标准》（GB3095-2012）中二类功能区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108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声环境</w:t>
                  </w:r>
                </w:p>
              </w:tc>
              <w:tc>
                <w:tcPr>
                  <w:tcW w:w="4477" w:type="dxa"/>
                  <w:gridSpan w:val="3"/>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highlight w:val="none"/>
                    </w:rPr>
                  </w:pPr>
                  <w:r>
                    <w:rPr>
                      <w:rStyle w:val="22"/>
                      <w:rFonts w:hint="default" w:ascii="Times New Roman" w:hAnsi="Times New Roman" w:eastAsia="宋体" w:cs="Times New Roman"/>
                      <w:color w:val="auto"/>
                      <w:sz w:val="21"/>
                      <w:szCs w:val="21"/>
                      <w:highlight w:val="none"/>
                    </w:rPr>
                    <w:t>厂界外50m范围内无声环境保护目标</w:t>
                  </w:r>
                </w:p>
              </w:tc>
              <w:tc>
                <w:tcPr>
                  <w:tcW w:w="2065"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《声环境质量标准》（GB3096-2008）</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类标准</w:t>
                  </w:r>
                </w:p>
              </w:tc>
            </w:tr>
          </w:tbl>
          <w:p>
            <w:pPr>
              <w:widowControl/>
              <w:ind w:left="0" w:leftChars="0" w:firstLine="0" w:firstLineChars="0"/>
              <w:rPr>
                <w:rFonts w:hint="default" w:ascii="Times New Roman" w:hAnsi="Times New Roman" w:eastAsia="宋体" w:cs="Times New Roman"/>
                <w:color w:val="auto"/>
                <w:kern w:val="0"/>
                <w:sz w:val="21"/>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Align w:val="center"/>
          </w:tcPr>
          <w:p>
            <w:pPr>
              <w:adjustRightInd w:val="0"/>
              <w:snapToGrid w:val="0"/>
              <w:ind w:firstLine="0" w:firstLineChars="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污染</w:t>
            </w:r>
          </w:p>
          <w:p>
            <w:pPr>
              <w:adjustRightInd w:val="0"/>
              <w:snapToGrid w:val="0"/>
              <w:ind w:firstLine="0" w:firstLineChars="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物排</w:t>
            </w:r>
          </w:p>
          <w:p>
            <w:pPr>
              <w:adjustRightInd w:val="0"/>
              <w:snapToGrid w:val="0"/>
              <w:ind w:firstLine="0" w:firstLineChars="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放控</w:t>
            </w:r>
          </w:p>
          <w:p>
            <w:pPr>
              <w:adjustRightInd w:val="0"/>
              <w:snapToGrid w:val="0"/>
              <w:ind w:firstLine="0" w:firstLineChars="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制标</w:t>
            </w:r>
          </w:p>
          <w:p>
            <w:pPr>
              <w:adjustRightInd w:val="0"/>
              <w:snapToGrid w:val="0"/>
              <w:ind w:firstLine="0" w:firstLineChars="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准</w:t>
            </w:r>
          </w:p>
        </w:tc>
        <w:tc>
          <w:tcPr>
            <w:tcW w:w="7854" w:type="dxa"/>
          </w:tcPr>
          <w:p>
            <w:pPr>
              <w:keepNext w:val="0"/>
              <w:keepLines w:val="0"/>
              <w:pageBreakBefore w:val="0"/>
              <w:widowControl w:val="0"/>
              <w:numPr>
                <w:ilvl w:val="0"/>
                <w:numId w:val="0"/>
              </w:numPr>
              <w:kinsoku/>
              <w:wordWrap/>
              <w:overflowPunct/>
              <w:topLinePunct w:val="0"/>
              <w:autoSpaceDE/>
              <w:autoSpaceDN/>
              <w:bidi w:val="0"/>
              <w:adjustRightInd w:val="0"/>
              <w:snapToGrid w:val="0"/>
              <w:ind w:firstLine="482" w:firstLineChars="200"/>
              <w:textAlignment w:val="auto"/>
              <w:rPr>
                <w:rFonts w:hint="default" w:ascii="Times New Roman" w:hAnsi="Times New Roman" w:eastAsia="宋体" w:cs="Times New Roman"/>
                <w:b/>
                <w:bCs/>
                <w:color w:val="auto"/>
                <w:highlight w:val="none"/>
                <w:lang w:eastAsia="zh-CN"/>
              </w:rPr>
            </w:pPr>
            <w:r>
              <w:rPr>
                <w:rFonts w:hint="eastAsia" w:cs="Times New Roman"/>
                <w:b/>
                <w:bCs/>
                <w:color w:val="auto"/>
                <w:highlight w:val="none"/>
                <w:lang w:val="en-US" w:eastAsia="zh-CN"/>
              </w:rPr>
              <w:t>1、</w:t>
            </w:r>
            <w:r>
              <w:rPr>
                <w:rFonts w:hint="default" w:ascii="Times New Roman" w:hAnsi="Times New Roman" w:eastAsia="宋体" w:cs="Times New Roman"/>
                <w:b/>
                <w:bCs/>
                <w:color w:val="auto"/>
                <w:highlight w:val="none"/>
                <w:lang w:eastAsia="zh-CN"/>
              </w:rPr>
              <w:t>废气排放标准</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2" w:firstLineChars="200"/>
              <w:textAlignment w:val="auto"/>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1.1施工期</w:t>
            </w:r>
          </w:p>
          <w:p>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施工期</w:t>
            </w:r>
            <w:r>
              <w:rPr>
                <w:rFonts w:hint="default" w:ascii="Times New Roman" w:hAnsi="Times New Roman" w:cs="Times New Roman"/>
                <w:color w:val="auto"/>
                <w:sz w:val="24"/>
                <w:szCs w:val="24"/>
                <w:highlight w:val="none"/>
                <w:lang w:val="en-US" w:eastAsia="zh-CN"/>
              </w:rPr>
              <w:t>废气排放执行《大气污染物综合排放标准》（GB16297-1996）</w:t>
            </w:r>
            <w:r>
              <w:rPr>
                <w:rFonts w:hint="eastAsia" w:ascii="Times New Roman" w:hAnsi="Times New Roman" w:cs="Times New Roman"/>
                <w:color w:val="auto"/>
                <w:sz w:val="24"/>
                <w:szCs w:val="24"/>
                <w:highlight w:val="none"/>
                <w:lang w:val="en-US" w:eastAsia="zh-CN"/>
              </w:rPr>
              <w:t>表2新污染源大气污染物排放限值中无组织排放监控浓度限值</w:t>
            </w:r>
            <w:r>
              <w:rPr>
                <w:rFonts w:hint="default" w:ascii="Times New Roman" w:hAnsi="Times New Roman" w:cs="Times New Roman"/>
                <w:color w:val="auto"/>
                <w:sz w:val="24"/>
                <w:szCs w:val="24"/>
                <w:highlight w:val="none"/>
                <w:lang w:val="en-US" w:eastAsia="zh-CN"/>
              </w:rPr>
              <w:t>，具体标准值见表</w:t>
            </w:r>
            <w:r>
              <w:rPr>
                <w:rFonts w:hint="eastAsia"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表</w:t>
            </w:r>
            <w:r>
              <w:rPr>
                <w:rFonts w:hint="eastAsia"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lang w:val="en-US" w:eastAsia="zh-CN"/>
              </w:rPr>
              <w:t xml:space="preserve"> 《大气污染物综合排放标准》（GB16297-1996）</w:t>
            </w:r>
          </w:p>
          <w:tbl>
            <w:tblPr>
              <w:tblStyle w:val="18"/>
              <w:tblW w:w="7679"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558"/>
              <w:gridCol w:w="2558"/>
              <w:gridCol w:w="256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4" w:hRule="atLeast"/>
              </w:trPr>
              <w:tc>
                <w:tcPr>
                  <w:tcW w:w="255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污染源</w:t>
                  </w:r>
                </w:p>
              </w:tc>
              <w:tc>
                <w:tcPr>
                  <w:tcW w:w="512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表2新污染源大气污染物排放限值</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8" w:hRule="atLeast"/>
              </w:trPr>
              <w:tc>
                <w:tcPr>
                  <w:tcW w:w="25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highlight w:val="none"/>
                      <w:lang w:val="en-US" w:eastAsia="zh-CN"/>
                    </w:rPr>
                  </w:pPr>
                </w:p>
              </w:tc>
              <w:tc>
                <w:tcPr>
                  <w:tcW w:w="25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监控点</w:t>
                  </w:r>
                </w:p>
              </w:tc>
              <w:tc>
                <w:tcPr>
                  <w:tcW w:w="25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浓度（mg/m</w:t>
                  </w:r>
                  <w:r>
                    <w:rPr>
                      <w:rFonts w:hint="default" w:ascii="Times New Roman" w:hAnsi="Times New Roman" w:cs="Times New Roman"/>
                      <w:b/>
                      <w:bCs/>
                      <w:color w:val="auto"/>
                      <w:sz w:val="21"/>
                      <w:szCs w:val="21"/>
                      <w:highlight w:val="none"/>
                      <w:vertAlign w:val="superscript"/>
                      <w:lang w:val="en-US" w:eastAsia="zh-CN"/>
                    </w:rPr>
                    <w:t>3</w:t>
                  </w:r>
                  <w:r>
                    <w:rPr>
                      <w:rFonts w:hint="default" w:ascii="Times New Roman" w:hAnsi="Times New Roman" w:cs="Times New Roman"/>
                      <w:b/>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76" w:hRule="atLeast"/>
              </w:trPr>
              <w:tc>
                <w:tcPr>
                  <w:tcW w:w="25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颗粒物</w:t>
                  </w:r>
                </w:p>
              </w:tc>
              <w:tc>
                <w:tcPr>
                  <w:tcW w:w="25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周界外浓度最高点</w:t>
                  </w:r>
                </w:p>
              </w:tc>
              <w:tc>
                <w:tcPr>
                  <w:tcW w:w="25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w:t>
                  </w:r>
                </w:p>
              </w:tc>
            </w:tr>
          </w:tbl>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1.2运营期</w:t>
            </w:r>
          </w:p>
          <w:p>
            <w:pPr>
              <w:numPr>
                <w:ilvl w:val="0"/>
                <w:numId w:val="4"/>
              </w:numPr>
              <w:bidi w:val="0"/>
              <w:ind w:left="-240" w:leftChars="0" w:firstLineChars="0"/>
              <w:rPr>
                <w:rFonts w:hint="eastAsia"/>
                <w:color w:val="auto"/>
                <w:highlight w:val="none"/>
                <w:lang w:val="en-US" w:eastAsia="zh-CN"/>
              </w:rPr>
            </w:pPr>
            <w:r>
              <w:rPr>
                <w:rFonts w:hint="eastAsia"/>
                <w:color w:val="auto"/>
                <w:highlight w:val="none"/>
                <w:lang w:val="en-US" w:eastAsia="zh-CN"/>
              </w:rPr>
              <w:t>锅炉废气</w:t>
            </w:r>
          </w:p>
          <w:p>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t>根据《锅炉大气污染物排放标准》</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GB12371-2014）中规定，</w:t>
            </w:r>
            <w:r>
              <w:rPr>
                <w:rFonts w:hint="default" w:ascii="Times New Roman" w:hAnsi="Times New Roman" w:eastAsia="宋体" w:cs="Times New Roman"/>
                <w:color w:val="auto"/>
                <w:sz w:val="24"/>
                <w:highlight w:val="none"/>
                <w:lang w:eastAsia="zh-CN"/>
              </w:rPr>
              <w:t>生物质热水锅炉</w:t>
            </w:r>
            <w:r>
              <w:rPr>
                <w:rFonts w:hint="default" w:ascii="Times New Roman" w:hAnsi="Times New Roman" w:eastAsia="宋体" w:cs="Times New Roman"/>
                <w:color w:val="auto"/>
                <w:sz w:val="24"/>
                <w:highlight w:val="none"/>
              </w:rPr>
              <w:t>参照该标准中燃煤锅炉排放控制要求执行，</w:t>
            </w:r>
            <w:r>
              <w:rPr>
                <w:rFonts w:hint="default" w:ascii="Times New Roman" w:hAnsi="Times New Roman" w:eastAsia="宋体" w:cs="Times New Roman"/>
                <w:color w:val="auto"/>
                <w:sz w:val="24"/>
                <w:highlight w:val="none"/>
                <w:lang w:eastAsia="zh-CN"/>
              </w:rPr>
              <w:t>因此，本项目新建生物质热水锅炉执行</w:t>
            </w:r>
            <w:r>
              <w:rPr>
                <w:rFonts w:hint="default" w:ascii="Times New Roman" w:hAnsi="Times New Roman" w:eastAsia="宋体" w:cs="Times New Roman"/>
                <w:color w:val="auto"/>
                <w:sz w:val="24"/>
                <w:highlight w:val="none"/>
              </w:rPr>
              <w:t>《锅炉大气污染物排放标准》</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GB12371-2014）</w:t>
            </w:r>
            <w:r>
              <w:rPr>
                <w:rFonts w:hint="default" w:ascii="Times New Roman" w:hAnsi="Times New Roman" w:eastAsia="宋体" w:cs="Times New Roman"/>
                <w:color w:val="auto"/>
                <w:sz w:val="24"/>
                <w:highlight w:val="none"/>
                <w:lang w:eastAsia="zh-CN"/>
              </w:rPr>
              <w:t>表</w:t>
            </w:r>
            <w:r>
              <w:rPr>
                <w:rFonts w:hint="default" w:ascii="Times New Roman" w:hAnsi="Times New Roman" w:eastAsia="宋体" w:cs="Times New Roman"/>
                <w:color w:val="auto"/>
                <w:sz w:val="24"/>
                <w:highlight w:val="none"/>
                <w:lang w:val="en-US" w:eastAsia="zh-CN"/>
              </w:rPr>
              <w:t>2新建锅炉大气污染物排放限值中“燃煤锅炉”限值</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bCs/>
                <w:color w:val="auto"/>
                <w:sz w:val="24"/>
                <w:highlight w:val="none"/>
              </w:rPr>
              <w:t>具体见表</w:t>
            </w:r>
            <w:r>
              <w:rPr>
                <w:rFonts w:hint="eastAsia" w:cs="Times New Roman"/>
                <w:bCs/>
                <w:color w:val="auto"/>
                <w:sz w:val="24"/>
                <w:highlight w:val="none"/>
                <w:lang w:val="en-US" w:eastAsia="zh-CN"/>
              </w:rPr>
              <w:t>4</w:t>
            </w:r>
            <w:r>
              <w:rPr>
                <w:rFonts w:hint="default" w:ascii="Times New Roman" w:hAnsi="Times New Roman" w:eastAsia="宋体" w:cs="Times New Roman"/>
                <w:bCs/>
                <w:color w:val="auto"/>
                <w:sz w:val="24"/>
                <w:highlight w:val="none"/>
              </w:rPr>
              <w:t>。</w:t>
            </w:r>
          </w:p>
          <w:p>
            <w:pPr>
              <w:ind w:left="0" w:leftChars="0" w:firstLine="482" w:firstLineChars="200"/>
              <w:jc w:val="center"/>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表4  《锅炉大气污染物排放标准》（GB13271-2014）</w:t>
            </w:r>
          </w:p>
          <w:tbl>
            <w:tblPr>
              <w:tblStyle w:val="17"/>
              <w:tblW w:w="779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834"/>
              <w:gridCol w:w="1834"/>
              <w:gridCol w:w="2295"/>
              <w:gridCol w:w="183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61" w:hRule="atLeast"/>
                <w:jc w:val="center"/>
              </w:trPr>
              <w:tc>
                <w:tcPr>
                  <w:tcW w:w="117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pacing w:val="0"/>
                      <w:sz w:val="21"/>
                      <w:szCs w:val="21"/>
                      <w:highlight w:val="none"/>
                    </w:rPr>
                  </w:pPr>
                  <w:r>
                    <w:rPr>
                      <w:rFonts w:hint="default" w:ascii="Times New Roman" w:hAnsi="Times New Roman" w:eastAsia="宋体" w:cs="Times New Roman"/>
                      <w:b/>
                      <w:bCs w:val="0"/>
                      <w:color w:val="auto"/>
                      <w:spacing w:val="0"/>
                      <w:sz w:val="21"/>
                      <w:szCs w:val="21"/>
                      <w:highlight w:val="none"/>
                    </w:rPr>
                    <w:t>污染物项目</w:t>
                  </w:r>
                </w:p>
              </w:tc>
              <w:tc>
                <w:tcPr>
                  <w:tcW w:w="11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pacing w:val="0"/>
                      <w:sz w:val="21"/>
                      <w:szCs w:val="21"/>
                      <w:highlight w:val="none"/>
                    </w:rPr>
                    <w:t>限值</w:t>
                  </w:r>
                </w:p>
              </w:tc>
              <w:tc>
                <w:tcPr>
                  <w:tcW w:w="147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pacing w:val="0"/>
                      <w:sz w:val="21"/>
                      <w:szCs w:val="21"/>
                      <w:highlight w:val="none"/>
                    </w:rPr>
                  </w:pPr>
                  <w:r>
                    <w:rPr>
                      <w:rFonts w:hint="default" w:ascii="Times New Roman" w:hAnsi="Times New Roman" w:eastAsia="宋体" w:cs="Times New Roman"/>
                      <w:b/>
                      <w:bCs w:val="0"/>
                      <w:color w:val="auto"/>
                      <w:spacing w:val="0"/>
                      <w:sz w:val="21"/>
                      <w:szCs w:val="21"/>
                      <w:highlight w:val="none"/>
                    </w:rPr>
                    <w:t>单位</w:t>
                  </w:r>
                </w:p>
              </w:tc>
              <w:tc>
                <w:tcPr>
                  <w:tcW w:w="117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pacing w:val="0"/>
                      <w:sz w:val="21"/>
                      <w:szCs w:val="21"/>
                      <w:highlight w:val="none"/>
                    </w:rPr>
                  </w:pPr>
                  <w:r>
                    <w:rPr>
                      <w:rFonts w:hint="default" w:ascii="Times New Roman" w:hAnsi="Times New Roman" w:eastAsia="宋体" w:cs="Times New Roman"/>
                      <w:b/>
                      <w:bCs w:val="0"/>
                      <w:color w:val="auto"/>
                      <w:spacing w:val="0"/>
                      <w:sz w:val="21"/>
                      <w:szCs w:val="21"/>
                      <w:highlight w:val="none"/>
                    </w:rPr>
                    <w:t>污染物排放监控位置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1" w:hRule="atLeast"/>
                <w:jc w:val="center"/>
              </w:trPr>
              <w:tc>
                <w:tcPr>
                  <w:tcW w:w="117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pacing w:val="0"/>
                      <w:sz w:val="21"/>
                      <w:szCs w:val="21"/>
                      <w:highlight w:val="none"/>
                    </w:rPr>
                  </w:pPr>
                </w:p>
              </w:tc>
              <w:tc>
                <w:tcPr>
                  <w:tcW w:w="11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pacing w:val="0"/>
                      <w:sz w:val="21"/>
                      <w:szCs w:val="21"/>
                      <w:highlight w:val="none"/>
                    </w:rPr>
                  </w:pPr>
                  <w:r>
                    <w:rPr>
                      <w:rFonts w:hint="default" w:ascii="Times New Roman" w:hAnsi="Times New Roman" w:eastAsia="宋体" w:cs="Times New Roman"/>
                      <w:b/>
                      <w:bCs w:val="0"/>
                      <w:color w:val="auto"/>
                      <w:spacing w:val="0"/>
                      <w:sz w:val="21"/>
                      <w:szCs w:val="21"/>
                      <w:highlight w:val="none"/>
                    </w:rPr>
                    <w:t>燃煤锅炉</w:t>
                  </w:r>
                </w:p>
              </w:tc>
              <w:tc>
                <w:tcPr>
                  <w:tcW w:w="147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pacing w:val="0"/>
                      <w:sz w:val="21"/>
                      <w:szCs w:val="21"/>
                      <w:highlight w:val="none"/>
                    </w:rPr>
                  </w:pPr>
                </w:p>
              </w:tc>
              <w:tc>
                <w:tcPr>
                  <w:tcW w:w="117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pacing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61" w:hRule="atLeast"/>
                <w:jc w:val="center"/>
              </w:trPr>
              <w:tc>
                <w:tcPr>
                  <w:tcW w:w="11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颗粒物</w:t>
                  </w:r>
                </w:p>
              </w:tc>
              <w:tc>
                <w:tcPr>
                  <w:tcW w:w="11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50</w:t>
                  </w:r>
                </w:p>
              </w:tc>
              <w:tc>
                <w:tcPr>
                  <w:tcW w:w="14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mg/m</w:t>
                  </w:r>
                  <w:r>
                    <w:rPr>
                      <w:rFonts w:hint="default" w:ascii="Times New Roman" w:hAnsi="Times New Roman" w:eastAsia="宋体" w:cs="Times New Roman"/>
                      <w:bCs/>
                      <w:color w:val="auto"/>
                      <w:spacing w:val="0"/>
                      <w:sz w:val="21"/>
                      <w:szCs w:val="21"/>
                      <w:highlight w:val="none"/>
                      <w:vertAlign w:val="superscript"/>
                    </w:rPr>
                    <w:t>3</w:t>
                  </w:r>
                </w:p>
              </w:tc>
              <w:tc>
                <w:tcPr>
                  <w:tcW w:w="117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lang w:eastAsia="zh-CN"/>
                    </w:rPr>
                  </w:pPr>
                  <w:r>
                    <w:rPr>
                      <w:rFonts w:hint="default" w:ascii="Times New Roman" w:hAnsi="Times New Roman" w:eastAsia="宋体" w:cs="Times New Roman"/>
                      <w:bCs/>
                      <w:color w:val="auto"/>
                      <w:spacing w:val="0"/>
                      <w:sz w:val="21"/>
                      <w:szCs w:val="21"/>
                      <w:highlight w:val="none"/>
                    </w:rPr>
                    <w:t>烟囱</w:t>
                  </w:r>
                  <w:r>
                    <w:rPr>
                      <w:rFonts w:hint="default" w:ascii="Times New Roman" w:hAnsi="Times New Roman" w:eastAsia="宋体" w:cs="Times New Roman"/>
                      <w:bCs/>
                      <w:color w:val="auto"/>
                      <w:spacing w:val="0"/>
                      <w:sz w:val="21"/>
                      <w:szCs w:val="21"/>
                      <w:highlight w:val="none"/>
                      <w:lang w:eastAsia="zh-CN"/>
                    </w:rPr>
                    <w:t>或烟道</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61" w:hRule="atLeast"/>
                <w:jc w:val="center"/>
              </w:trPr>
              <w:tc>
                <w:tcPr>
                  <w:tcW w:w="11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二氧化硫</w:t>
                  </w:r>
                </w:p>
              </w:tc>
              <w:tc>
                <w:tcPr>
                  <w:tcW w:w="11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300</w:t>
                  </w:r>
                </w:p>
              </w:tc>
              <w:tc>
                <w:tcPr>
                  <w:tcW w:w="14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mg/m</w:t>
                  </w:r>
                  <w:r>
                    <w:rPr>
                      <w:rFonts w:hint="default" w:ascii="Times New Roman" w:hAnsi="Times New Roman" w:eastAsia="宋体" w:cs="Times New Roman"/>
                      <w:bCs/>
                      <w:color w:val="auto"/>
                      <w:spacing w:val="0"/>
                      <w:sz w:val="21"/>
                      <w:szCs w:val="21"/>
                      <w:highlight w:val="none"/>
                      <w:vertAlign w:val="superscript"/>
                    </w:rPr>
                    <w:t>3</w:t>
                  </w:r>
                </w:p>
              </w:tc>
              <w:tc>
                <w:tcPr>
                  <w:tcW w:w="117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61" w:hRule="atLeast"/>
                <w:jc w:val="center"/>
              </w:trPr>
              <w:tc>
                <w:tcPr>
                  <w:tcW w:w="11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氮氧化物</w:t>
                  </w:r>
                </w:p>
              </w:tc>
              <w:tc>
                <w:tcPr>
                  <w:tcW w:w="11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300</w:t>
                  </w:r>
                </w:p>
              </w:tc>
              <w:tc>
                <w:tcPr>
                  <w:tcW w:w="14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mg/m</w:t>
                  </w:r>
                  <w:r>
                    <w:rPr>
                      <w:rFonts w:hint="default" w:ascii="Times New Roman" w:hAnsi="Times New Roman" w:eastAsia="宋体" w:cs="Times New Roman"/>
                      <w:bCs/>
                      <w:color w:val="auto"/>
                      <w:spacing w:val="0"/>
                      <w:sz w:val="21"/>
                      <w:szCs w:val="21"/>
                      <w:highlight w:val="none"/>
                      <w:vertAlign w:val="superscript"/>
                    </w:rPr>
                    <w:t>3</w:t>
                  </w:r>
                </w:p>
              </w:tc>
              <w:tc>
                <w:tcPr>
                  <w:tcW w:w="117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11" w:hRule="atLeast"/>
                <w:jc w:val="center"/>
              </w:trPr>
              <w:tc>
                <w:tcPr>
                  <w:tcW w:w="11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color w:val="auto"/>
                      <w:sz w:val="21"/>
                      <w:szCs w:val="21"/>
                      <w:highlight w:val="none"/>
                    </w:rPr>
                    <w:t>汞及其化合物</w:t>
                  </w:r>
                </w:p>
              </w:tc>
              <w:tc>
                <w:tcPr>
                  <w:tcW w:w="11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0.05</w:t>
                  </w:r>
                </w:p>
              </w:tc>
              <w:tc>
                <w:tcPr>
                  <w:tcW w:w="14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mg/m</w:t>
                  </w:r>
                  <w:r>
                    <w:rPr>
                      <w:rFonts w:hint="default" w:ascii="Times New Roman" w:hAnsi="Times New Roman" w:eastAsia="宋体" w:cs="Times New Roman"/>
                      <w:bCs/>
                      <w:color w:val="auto"/>
                      <w:spacing w:val="0"/>
                      <w:sz w:val="21"/>
                      <w:szCs w:val="21"/>
                      <w:highlight w:val="none"/>
                      <w:vertAlign w:val="superscript"/>
                    </w:rPr>
                    <w:t>3</w:t>
                  </w:r>
                </w:p>
              </w:tc>
              <w:tc>
                <w:tcPr>
                  <w:tcW w:w="117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21" w:hRule="atLeast"/>
                <w:jc w:val="center"/>
              </w:trPr>
              <w:tc>
                <w:tcPr>
                  <w:tcW w:w="11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烟气黑度</w:t>
                  </w:r>
                </w:p>
              </w:tc>
              <w:tc>
                <w:tcPr>
                  <w:tcW w:w="11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≤1</w:t>
                  </w:r>
                </w:p>
              </w:tc>
              <w:tc>
                <w:tcPr>
                  <w:tcW w:w="14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lang w:eastAsia="zh-CN"/>
                    </w:rPr>
                    <w:t>（</w:t>
                  </w:r>
                  <w:r>
                    <w:rPr>
                      <w:rFonts w:hint="default" w:ascii="Times New Roman" w:hAnsi="Times New Roman" w:eastAsia="宋体" w:cs="Times New Roman"/>
                      <w:bCs/>
                      <w:color w:val="auto"/>
                      <w:spacing w:val="0"/>
                      <w:sz w:val="21"/>
                      <w:szCs w:val="21"/>
                      <w:highlight w:val="none"/>
                    </w:rPr>
                    <w:t>林格曼黑度，级）</w:t>
                  </w:r>
                </w:p>
              </w:tc>
              <w:tc>
                <w:tcPr>
                  <w:tcW w:w="11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烟囱排放口</w:t>
                  </w:r>
                </w:p>
              </w:tc>
            </w:tr>
          </w:tbl>
          <w:p>
            <w:pPr>
              <w:spacing w:line="360" w:lineRule="auto"/>
              <w:ind w:firstLine="480" w:firstLineChars="200"/>
              <w:rPr>
                <w:rFonts w:hint="default" w:ascii="Times New Roman" w:hAnsi="Times New Roman" w:eastAsia="宋体" w:cs="Times New Roman"/>
                <w:color w:val="auto"/>
                <w:sz w:val="24"/>
                <w:highlight w:val="none"/>
              </w:rPr>
            </w:pPr>
            <w:r>
              <w:rPr>
                <w:rFonts w:hint="eastAsia" w:cs="Times New Roman"/>
                <w:b w:val="0"/>
                <w:bCs w:val="0"/>
                <w:color w:val="auto"/>
                <w:highlight w:val="none"/>
                <w:lang w:val="en-US" w:eastAsia="zh-CN"/>
              </w:rPr>
              <w:t>（2）</w:t>
            </w:r>
            <w:r>
              <w:rPr>
                <w:rFonts w:hint="default" w:ascii="Times New Roman" w:hAnsi="Times New Roman" w:eastAsia="宋体" w:cs="Times New Roman"/>
                <w:b w:val="0"/>
                <w:bCs w:val="0"/>
                <w:color w:val="auto"/>
                <w:sz w:val="24"/>
                <w:highlight w:val="none"/>
              </w:rPr>
              <w:t>运</w:t>
            </w:r>
            <w:r>
              <w:rPr>
                <w:rFonts w:hint="default" w:ascii="Times New Roman" w:hAnsi="Times New Roman" w:eastAsia="宋体" w:cs="Times New Roman"/>
                <w:color w:val="auto"/>
                <w:sz w:val="24"/>
                <w:highlight w:val="none"/>
              </w:rPr>
              <w:t>营期灰渣卸载</w:t>
            </w:r>
            <w:r>
              <w:rPr>
                <w:rFonts w:hint="default" w:ascii="Times New Roman" w:hAnsi="Times New Roman" w:eastAsia="宋体" w:cs="Times New Roman"/>
                <w:color w:val="auto"/>
                <w:sz w:val="24"/>
                <w:highlight w:val="none"/>
                <w:lang w:eastAsia="zh-CN"/>
              </w:rPr>
              <w:t>、储存</w:t>
            </w:r>
            <w:r>
              <w:rPr>
                <w:rFonts w:hint="default" w:ascii="Times New Roman" w:hAnsi="Times New Roman" w:eastAsia="宋体" w:cs="Times New Roman"/>
                <w:color w:val="auto"/>
                <w:sz w:val="24"/>
                <w:highlight w:val="none"/>
              </w:rPr>
              <w:t>过程中产生的颗粒物排放执行《大气污染物综合排放标准》</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GB16297-1996）表2新污染源大气污染物排放限值中“无组织排放监控浓度限值”，具体标准详见表</w:t>
            </w:r>
            <w:r>
              <w:rPr>
                <w:rFonts w:hint="eastAsia" w:cs="Times New Roman"/>
                <w:color w:val="auto"/>
                <w:sz w:val="24"/>
                <w:highlight w:val="none"/>
                <w:lang w:val="en-US" w:eastAsia="zh-CN"/>
              </w:rPr>
              <w:t>5</w:t>
            </w:r>
            <w:r>
              <w:rPr>
                <w:rFonts w:hint="default" w:ascii="Times New Roman" w:hAnsi="Times New Roman" w:eastAsia="宋体" w:cs="Times New Roman"/>
                <w:color w:val="auto"/>
                <w:sz w:val="24"/>
                <w:highlight w:val="none"/>
              </w:rPr>
              <w:t>。</w:t>
            </w:r>
          </w:p>
          <w:p>
            <w:pPr>
              <w:spacing w:line="360" w:lineRule="auto"/>
              <w:ind w:firstLine="482" w:firstLineChars="200"/>
              <w:jc w:val="center"/>
              <w:rPr>
                <w:rFonts w:hint="default" w:cs="Times New Roman"/>
                <w:b/>
                <w:bCs/>
                <w:color w:val="auto"/>
                <w:highlight w:val="none"/>
                <w:lang w:val="en-US" w:eastAsia="zh-CN"/>
              </w:rPr>
            </w:pPr>
            <w:r>
              <w:rPr>
                <w:rFonts w:hint="eastAsia" w:cs="Times New Roman"/>
                <w:b/>
                <w:bCs/>
                <w:color w:val="auto"/>
                <w:highlight w:val="none"/>
                <w:lang w:val="en-US" w:eastAsia="zh-CN"/>
              </w:rPr>
              <w:t>表5  《大气污染物综合排放标准》（GB16297-1196）</w:t>
            </w:r>
          </w:p>
          <w:tbl>
            <w:tblPr>
              <w:tblStyle w:val="17"/>
              <w:tblW w:w="773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061"/>
              <w:gridCol w:w="3418"/>
              <w:gridCol w:w="226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66" w:hRule="atLeast"/>
                <w:jc w:val="center"/>
              </w:trPr>
              <w:tc>
                <w:tcPr>
                  <w:tcW w:w="2061" w:type="dxa"/>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w:t>
                  </w:r>
                </w:p>
              </w:tc>
              <w:tc>
                <w:tcPr>
                  <w:tcW w:w="5678" w:type="dxa"/>
                  <w:gridSpan w:val="2"/>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6" w:hRule="atLeast"/>
                <w:jc w:val="center"/>
              </w:trPr>
              <w:tc>
                <w:tcPr>
                  <w:tcW w:w="2061"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p>
              </w:tc>
              <w:tc>
                <w:tcPr>
                  <w:tcW w:w="3418"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监控点</w:t>
                  </w:r>
                </w:p>
              </w:tc>
              <w:tc>
                <w:tcPr>
                  <w:tcW w:w="2260"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浓度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0" w:hRule="atLeast"/>
                <w:jc w:val="center"/>
              </w:trPr>
              <w:tc>
                <w:tcPr>
                  <w:tcW w:w="2061"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3418"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周围外浓度最高点</w:t>
                  </w:r>
                </w:p>
              </w:tc>
              <w:tc>
                <w:tcPr>
                  <w:tcW w:w="2260"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r>
          </w:tbl>
          <w:p>
            <w:pPr>
              <w:spacing w:line="360" w:lineRule="auto"/>
              <w:ind w:firstLine="482" w:firstLineChars="200"/>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2、噪声</w:t>
            </w:r>
          </w:p>
          <w:p>
            <w:pPr>
              <w:ind w:left="0" w:leftChars="0" w:firstLine="482" w:firstLineChars="200"/>
              <w:rPr>
                <w:rFonts w:hint="eastAsia" w:cs="Times New Roman"/>
                <w:b/>
                <w:bCs/>
                <w:color w:val="auto"/>
                <w:highlight w:val="none"/>
                <w:lang w:val="en-US" w:eastAsia="zh-CN"/>
              </w:rPr>
            </w:pPr>
            <w:r>
              <w:rPr>
                <w:rFonts w:hint="eastAsia" w:cs="Times New Roman"/>
                <w:b/>
                <w:bCs/>
                <w:color w:val="auto"/>
                <w:highlight w:val="none"/>
                <w:lang w:val="en-US" w:eastAsia="zh-CN"/>
              </w:rPr>
              <w:t>2.1施工期</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w:t>
            </w:r>
            <w:r>
              <w:rPr>
                <w:rFonts w:hint="default" w:ascii="Times New Roman" w:hAnsi="Times New Roman" w:cs="Times New Roman"/>
                <w:color w:val="auto"/>
                <w:sz w:val="24"/>
                <w:szCs w:val="24"/>
                <w:highlight w:val="none"/>
                <w:lang w:eastAsia="zh-CN"/>
              </w:rPr>
              <w:t>期</w:t>
            </w:r>
            <w:r>
              <w:rPr>
                <w:rFonts w:hint="default" w:ascii="Times New Roman" w:hAnsi="Times New Roman" w:cs="Times New Roman"/>
                <w:color w:val="auto"/>
                <w:sz w:val="24"/>
                <w:szCs w:val="24"/>
                <w:highlight w:val="none"/>
              </w:rPr>
              <w:t>噪声执行《建筑施工场界环境噪声排放标准》(GB12523-2011)，具体标准值见表</w:t>
            </w:r>
            <w:r>
              <w:rPr>
                <w:rFonts w:hint="eastAsia"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表</w:t>
            </w:r>
            <w:r>
              <w:rPr>
                <w:rFonts w:hint="eastAsia" w:cs="Times New Roman"/>
                <w:b/>
                <w:bCs/>
                <w:color w:val="auto"/>
                <w:sz w:val="24"/>
                <w:szCs w:val="24"/>
                <w:highlight w:val="none"/>
                <w:lang w:val="en-US" w:eastAsia="zh-CN"/>
              </w:rPr>
              <w:t>6</w:t>
            </w:r>
            <w:r>
              <w:rPr>
                <w:rFonts w:hint="default" w:ascii="Times New Roman" w:hAnsi="Times New Roman" w:cs="Times New Roman"/>
                <w:b/>
                <w:bCs/>
                <w:color w:val="auto"/>
                <w:sz w:val="24"/>
                <w:szCs w:val="24"/>
                <w:highlight w:val="none"/>
                <w:lang w:val="en-US" w:eastAsia="zh-CN"/>
              </w:rPr>
              <w:t xml:space="preserve"> 建筑施工场界环境噪声排放标准    单位：LAeq：dB(A)</w:t>
            </w:r>
          </w:p>
          <w:tbl>
            <w:tblPr>
              <w:tblStyle w:val="1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fixed"/>
              <w:tblCellMar>
                <w:top w:w="0" w:type="dxa"/>
                <w:left w:w="108" w:type="dxa"/>
                <w:bottom w:w="0" w:type="dxa"/>
                <w:right w:w="108" w:type="dxa"/>
              </w:tblCellMar>
            </w:tblPr>
            <w:tblGrid>
              <w:gridCol w:w="3817"/>
              <w:gridCol w:w="37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194" w:hRule="atLeast"/>
                <w:jc w:val="center"/>
              </w:trPr>
              <w:tc>
                <w:tcPr>
                  <w:tcW w:w="2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昼间</w:t>
                  </w:r>
                </w:p>
              </w:tc>
              <w:tc>
                <w:tcPr>
                  <w:tcW w:w="2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423" w:hRule="atLeast"/>
                <w:jc w:val="center"/>
              </w:trPr>
              <w:tc>
                <w:tcPr>
                  <w:tcW w:w="2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70</w:t>
                  </w:r>
                </w:p>
              </w:tc>
              <w:tc>
                <w:tcPr>
                  <w:tcW w:w="2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55</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Times New Roman" w:hAnsi="Times New Roman"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2</w:t>
            </w:r>
            <w:r>
              <w:rPr>
                <w:rFonts w:hint="eastAsia" w:ascii="Times New Roman" w:hAnsi="Times New Roman" w:cs="Times New Roman"/>
                <w:b/>
                <w:bCs/>
                <w:color w:val="auto"/>
                <w:sz w:val="24"/>
                <w:szCs w:val="24"/>
                <w:highlight w:val="none"/>
                <w:lang w:val="en-US" w:eastAsia="zh-CN"/>
              </w:rPr>
              <w:t>.2</w:t>
            </w:r>
            <w:r>
              <w:rPr>
                <w:rFonts w:hint="default" w:ascii="Times New Roman" w:hAnsi="Times New Roman" w:cs="Times New Roman"/>
                <w:b/>
                <w:bCs/>
                <w:color w:val="auto"/>
                <w:sz w:val="24"/>
                <w:szCs w:val="24"/>
                <w:highlight w:val="none"/>
              </w:rPr>
              <w:t>营运期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营运期噪声执行《工业企业厂界环境噪声排放标准》（GB12348-2008）</w:t>
            </w:r>
            <w:r>
              <w:rPr>
                <w:rFonts w:hint="eastAsia"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类标准，见表</w:t>
            </w:r>
            <w:r>
              <w:rPr>
                <w:rFonts w:hint="eastAsia"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表</w:t>
            </w:r>
            <w:r>
              <w:rPr>
                <w:rFonts w:hint="eastAsia" w:cs="Times New Roman"/>
                <w:b/>
                <w:bCs/>
                <w:color w:val="auto"/>
                <w:sz w:val="24"/>
                <w:szCs w:val="24"/>
                <w:highlight w:val="none"/>
                <w:lang w:val="en-US" w:eastAsia="zh-CN"/>
              </w:rPr>
              <w:t>7</w:t>
            </w:r>
            <w:r>
              <w:rPr>
                <w:rFonts w:hint="default" w:ascii="Times New Roman" w:hAnsi="Times New Roman" w:cs="Times New Roman"/>
                <w:b/>
                <w:bCs/>
                <w:color w:val="auto"/>
                <w:sz w:val="24"/>
                <w:szCs w:val="24"/>
                <w:highlight w:val="none"/>
                <w:lang w:val="en-US" w:eastAsia="zh-CN"/>
              </w:rPr>
              <w:t xml:space="preserve"> 工业企业厂界环境噪声排放标准    单位：LAeq：dB(A)</w:t>
            </w:r>
          </w:p>
          <w:tbl>
            <w:tblPr>
              <w:tblStyle w:val="17"/>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535"/>
              <w:gridCol w:w="25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标准类别</w:t>
                  </w:r>
                </w:p>
              </w:tc>
              <w:tc>
                <w:tcPr>
                  <w:tcW w:w="333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highlight w:val="none"/>
                    </w:rPr>
                  </w:pP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昼间</w:t>
                  </w:r>
                </w:p>
              </w:tc>
              <w:tc>
                <w:tcPr>
                  <w:tcW w:w="16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类</w:t>
                  </w:r>
                  <w:r>
                    <w:rPr>
                      <w:rFonts w:hint="eastAsia" w:cs="Times New Roman"/>
                      <w:color w:val="auto"/>
                      <w:sz w:val="21"/>
                      <w:szCs w:val="21"/>
                      <w:highlight w:val="none"/>
                      <w:lang w:val="en-US" w:eastAsia="zh-CN"/>
                    </w:rPr>
                    <w:t>声环境功能区</w:t>
                  </w: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60</w:t>
                  </w:r>
                </w:p>
              </w:tc>
              <w:tc>
                <w:tcPr>
                  <w:tcW w:w="16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w:t>
                  </w:r>
                  <w:r>
                    <w:rPr>
                      <w:rFonts w:hint="eastAsia" w:cs="Times New Roman"/>
                      <w:color w:val="auto"/>
                      <w:sz w:val="21"/>
                      <w:szCs w:val="21"/>
                      <w:highlight w:val="none"/>
                      <w:lang w:val="en-US" w:eastAsia="zh-CN"/>
                    </w:rPr>
                    <w:t>0</w:t>
                  </w:r>
                </w:p>
              </w:tc>
            </w:tr>
          </w:tbl>
          <w:p>
            <w:pPr>
              <w:spacing w:line="360" w:lineRule="auto"/>
              <w:ind w:firstLine="482" w:firstLineChars="200"/>
              <w:rPr>
                <w:rFonts w:hint="default" w:ascii="Times New Roman" w:hAnsi="Times New Roman"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lang w:val="en-US" w:eastAsia="zh-CN"/>
              </w:rPr>
              <w:t>、固体废物标准</w:t>
            </w:r>
          </w:p>
          <w:p>
            <w:pPr>
              <w:bidi w:val="0"/>
              <w:rPr>
                <w:rFonts w:hint="default" w:ascii="Times New Roman" w:hAnsi="Times New Roman" w:eastAsia="宋体" w:cs="Times New Roman"/>
                <w:color w:val="auto"/>
                <w:kern w:val="0"/>
                <w:szCs w:val="21"/>
                <w:highlight w:val="none"/>
              </w:rPr>
            </w:pPr>
            <w:r>
              <w:rPr>
                <w:rFonts w:hint="eastAsia"/>
                <w:color w:val="auto"/>
                <w:highlight w:val="none"/>
              </w:rPr>
              <w:t>一般</w:t>
            </w:r>
            <w:r>
              <w:rPr>
                <w:rFonts w:hint="eastAsia"/>
                <w:color w:val="auto"/>
                <w:highlight w:val="none"/>
                <w:lang w:val="en-US" w:eastAsia="zh-CN"/>
              </w:rPr>
              <w:t>工业</w:t>
            </w:r>
            <w:r>
              <w:rPr>
                <w:rFonts w:hint="eastAsia"/>
                <w:color w:val="auto"/>
                <w:highlight w:val="none"/>
              </w:rPr>
              <w:t>固体废物执行《一般工业固体废物贮存</w:t>
            </w:r>
            <w:r>
              <w:rPr>
                <w:rFonts w:hint="eastAsia"/>
                <w:color w:val="auto"/>
                <w:highlight w:val="none"/>
                <w:lang w:val="en-US" w:eastAsia="zh-CN"/>
              </w:rPr>
              <w:t>和填埋污染控制标准</w:t>
            </w:r>
            <w:r>
              <w:rPr>
                <w:rFonts w:hint="eastAsia"/>
                <w:color w:val="auto"/>
                <w:highlight w:val="none"/>
              </w:rPr>
              <w:t>》（GB18599-2</w:t>
            </w:r>
            <w:r>
              <w:rPr>
                <w:rFonts w:hint="eastAsia"/>
                <w:color w:val="auto"/>
                <w:highlight w:val="none"/>
                <w:lang w:val="en-US" w:eastAsia="zh-CN"/>
              </w:rPr>
              <w:t>020</w:t>
            </w:r>
            <w:r>
              <w:rPr>
                <w:rFonts w:hint="eastAsia"/>
                <w:color w:val="auto"/>
                <w:highlight w:val="none"/>
              </w:rPr>
              <w:t>）中的有关规定</w:t>
            </w:r>
            <w:r>
              <w:rPr>
                <w:rFonts w:hint="eastAsia"/>
                <w:color w:val="auto"/>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68" w:type="dxa"/>
            <w:vAlign w:val="center"/>
          </w:tcPr>
          <w:p>
            <w:pPr>
              <w:adjustRightInd w:val="0"/>
              <w:snapToGrid w:val="0"/>
              <w:ind w:firstLine="0" w:firstLineChars="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总量</w:t>
            </w:r>
          </w:p>
          <w:p>
            <w:pPr>
              <w:adjustRightInd w:val="0"/>
              <w:snapToGrid w:val="0"/>
              <w:ind w:firstLine="0" w:firstLineChars="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控制</w:t>
            </w:r>
          </w:p>
          <w:p>
            <w:pPr>
              <w:adjustRightInd w:val="0"/>
              <w:snapToGrid w:val="0"/>
              <w:ind w:firstLine="0" w:firstLineChars="0"/>
              <w:jc w:val="center"/>
              <w:rPr>
                <w:rFonts w:hint="default" w:ascii="Times New Roman" w:hAnsi="Times New Roman" w:eastAsia="宋体" w:cs="Times New Roman"/>
                <w:b/>
                <w:bCs/>
                <w:color w:val="auto"/>
                <w:kern w:val="0"/>
                <w:sz w:val="24"/>
                <w:szCs w:val="21"/>
                <w:highlight w:val="none"/>
                <w:lang w:val="en-US" w:eastAsia="zh-CN" w:bidi="ar-SA"/>
              </w:rPr>
            </w:pPr>
            <w:r>
              <w:rPr>
                <w:rFonts w:hint="default" w:ascii="Times New Roman" w:hAnsi="Times New Roman" w:eastAsia="宋体" w:cs="Times New Roman"/>
                <w:b/>
                <w:bCs/>
                <w:color w:val="auto"/>
                <w:kern w:val="0"/>
                <w:szCs w:val="21"/>
                <w:highlight w:val="none"/>
              </w:rPr>
              <w:t>指标</w:t>
            </w:r>
          </w:p>
        </w:tc>
        <w:tc>
          <w:tcPr>
            <w:tcW w:w="7854" w:type="dxa"/>
            <w:vAlign w:val="center"/>
          </w:tcPr>
          <w:p>
            <w:pPr>
              <w:bidi w:val="0"/>
              <w:rPr>
                <w:rFonts w:hint="eastAsia"/>
                <w:highlight w:val="none"/>
                <w:lang w:eastAsia="zh-CN"/>
              </w:rPr>
            </w:pPr>
            <w:r>
              <w:rPr>
                <w:rFonts w:hint="eastAsia"/>
                <w:highlight w:val="none"/>
                <w:lang w:eastAsia="zh-CN"/>
              </w:rPr>
              <w:t>现有工程没有申请总量，项目改建后总量控制指标如下：</w:t>
            </w:r>
          </w:p>
          <w:p>
            <w:pPr>
              <w:pStyle w:val="2"/>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Lines="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）二氧化硫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根据《排放源统计调查产排污核算方法和系数手册》（公告2021年第24号）--4430工业锅炉（热力供应）行业系数手册--生物质工业锅炉，二氧化硫产污系数按17S千克/吨-原料，本项目S为</w:t>
            </w:r>
            <w:r>
              <w:rPr>
                <w:rFonts w:hint="eastAsia" w:ascii="Times New Roman" w:hAnsi="Times New Roman" w:eastAsia="宋体" w:cs="Times New Roman"/>
                <w:b w:val="0"/>
                <w:bCs w:val="0"/>
                <w:color w:val="auto"/>
                <w:kern w:val="0"/>
                <w:sz w:val="24"/>
                <w:szCs w:val="24"/>
                <w:highlight w:val="none"/>
                <w:lang w:val="en-US" w:eastAsia="zh-CN"/>
              </w:rPr>
              <w:t>0.1</w:t>
            </w:r>
            <w:r>
              <w:rPr>
                <w:rFonts w:hint="default" w:ascii="Times New Roman" w:hAnsi="Times New Roman" w:eastAsia="宋体" w:cs="Times New Roman"/>
                <w:b w:val="0"/>
                <w:bCs w:val="0"/>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rPr>
              <w:t>生物质成型燃料</w:t>
            </w:r>
            <w:r>
              <w:rPr>
                <w:rFonts w:hint="default" w:ascii="Times New Roman" w:hAnsi="Times New Roman" w:eastAsia="宋体" w:cs="Times New Roman"/>
                <w:color w:val="auto"/>
                <w:sz w:val="24"/>
                <w:szCs w:val="24"/>
                <w:highlight w:val="none"/>
              </w:rPr>
              <w:t>消耗量为</w:t>
            </w:r>
            <w:r>
              <w:rPr>
                <w:rFonts w:hint="eastAsia" w:cs="Times New Roman"/>
                <w:color w:val="auto"/>
                <w:sz w:val="24"/>
                <w:szCs w:val="24"/>
                <w:highlight w:val="none"/>
                <w:lang w:val="en-US" w:eastAsia="zh-CN"/>
              </w:rPr>
              <w:t>2574</w:t>
            </w:r>
            <w:r>
              <w:rPr>
                <w:rFonts w:hint="default" w:ascii="Times New Roman" w:hAnsi="Times New Roman" w:eastAsia="宋体" w:cs="Times New Roman"/>
                <w:color w:val="auto"/>
                <w:sz w:val="24"/>
                <w:szCs w:val="24"/>
                <w:highlight w:val="none"/>
              </w:rPr>
              <w:t>t/a，则1台</w:t>
            </w:r>
            <w:r>
              <w:rPr>
                <w:rFonts w:hint="eastAsia" w:cs="Times New Roman"/>
                <w:color w:val="auto"/>
                <w:sz w:val="24"/>
                <w:szCs w:val="24"/>
                <w:highlight w:val="none"/>
                <w:lang w:val="en-US" w:eastAsia="zh-CN"/>
              </w:rPr>
              <w:t>8t/h</w:t>
            </w:r>
            <w:r>
              <w:rPr>
                <w:rFonts w:hint="default" w:ascii="Times New Roman" w:hAnsi="Times New Roman" w:eastAsia="宋体" w:cs="Times New Roman"/>
                <w:color w:val="auto"/>
                <w:sz w:val="24"/>
                <w:szCs w:val="24"/>
                <w:highlight w:val="none"/>
                <w:lang w:eastAsia="zh-CN"/>
              </w:rPr>
              <w:t>生物质热水锅炉</w:t>
            </w:r>
            <w:r>
              <w:rPr>
                <w:rFonts w:hint="default" w:ascii="Times New Roman" w:hAnsi="Times New Roman" w:eastAsia="宋体" w:cs="Times New Roman"/>
                <w:b w:val="0"/>
                <w:bCs w:val="0"/>
                <w:color w:val="auto"/>
                <w:kern w:val="0"/>
                <w:sz w:val="24"/>
                <w:szCs w:val="24"/>
                <w:highlight w:val="none"/>
                <w:lang w:val="en-US" w:eastAsia="zh-CN"/>
              </w:rPr>
              <w:t>二氧化硫产生量为</w:t>
            </w:r>
            <w:r>
              <w:rPr>
                <w:rFonts w:hint="eastAsia" w:cs="Times New Roman"/>
                <w:b w:val="0"/>
                <w:bCs w:val="0"/>
                <w:color w:val="auto"/>
                <w:kern w:val="0"/>
                <w:sz w:val="24"/>
                <w:szCs w:val="24"/>
                <w:highlight w:val="none"/>
                <w:lang w:val="en-US" w:eastAsia="zh-CN"/>
              </w:rPr>
              <w:t>2574</w:t>
            </w:r>
            <w:r>
              <w:rPr>
                <w:rFonts w:hint="default" w:ascii="Times New Roman" w:hAnsi="Times New Roman" w:eastAsia="宋体" w:cs="Times New Roman"/>
                <w:b w:val="0"/>
                <w:bCs w:val="0"/>
                <w:color w:val="auto"/>
                <w:kern w:val="0"/>
                <w:sz w:val="24"/>
                <w:szCs w:val="24"/>
                <w:highlight w:val="none"/>
                <w:lang w:val="en-US" w:eastAsia="zh-CN"/>
              </w:rPr>
              <w:t>/a</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 w:val="0"/>
                <w:bCs w:val="0"/>
                <w:color w:val="auto"/>
                <w:kern w:val="0"/>
                <w:sz w:val="24"/>
                <w:szCs w:val="24"/>
                <w:highlight w:val="none"/>
                <w:lang w:val="en-US" w:eastAsia="zh-CN"/>
              </w:rPr>
              <w:t>17</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b w:val="0"/>
                <w:bCs w:val="0"/>
                <w:color w:val="auto"/>
                <w:kern w:val="0"/>
                <w:sz w:val="24"/>
                <w:szCs w:val="24"/>
                <w:highlight w:val="none"/>
                <w:lang w:val="en-US" w:eastAsia="zh-CN"/>
              </w:rPr>
              <w:t>千克/吨-原料=</w:t>
            </w:r>
            <w:r>
              <w:rPr>
                <w:rFonts w:hint="eastAsia" w:cs="Times New Roman"/>
                <w:b w:val="0"/>
                <w:bCs w:val="0"/>
                <w:color w:val="auto"/>
                <w:kern w:val="0"/>
                <w:sz w:val="24"/>
                <w:szCs w:val="24"/>
                <w:highlight w:val="none"/>
                <w:lang w:val="en-US" w:eastAsia="zh-CN"/>
              </w:rPr>
              <w:t>4.376</w:t>
            </w:r>
            <w:r>
              <w:rPr>
                <w:rFonts w:hint="default" w:ascii="Times New Roman" w:hAnsi="Times New Roman" w:eastAsia="宋体" w:cs="Times New Roman"/>
                <w:color w:val="auto"/>
                <w:sz w:val="24"/>
                <w:szCs w:val="24"/>
                <w:highlight w:val="none"/>
                <w:lang w:val="en-US" w:eastAsia="zh-CN"/>
              </w:rPr>
              <w:t>t/a</w:t>
            </w:r>
            <w:r>
              <w:rPr>
                <w:rFonts w:hint="default" w:ascii="Times New Roman" w:hAnsi="Times New Roman" w:eastAsia="宋体" w:cs="Times New Roman"/>
                <w:b w:val="0"/>
                <w:bCs w:val="0"/>
                <w:color w:val="auto"/>
                <w:kern w:val="0"/>
                <w:sz w:val="24"/>
                <w:szCs w:val="24"/>
                <w:highlight w:val="none"/>
                <w:lang w:val="en-US" w:eastAsia="zh-CN"/>
              </w:rPr>
              <w:t>。</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废气采用</w:t>
            </w:r>
            <w:r>
              <w:rPr>
                <w:rFonts w:hint="eastAsia" w:ascii="Times New Roman" w:hAnsi="Times New Roman" w:eastAsia="宋体" w:cs="Times New Roman"/>
                <w:color w:val="auto"/>
                <w:sz w:val="24"/>
                <w:szCs w:val="24"/>
                <w:highlight w:val="none"/>
                <w:lang w:val="en-US" w:eastAsia="zh-CN"/>
              </w:rPr>
              <w:t>布袋除尘器+双碱法脱硫除尘系统</w:t>
            </w:r>
            <w:r>
              <w:rPr>
                <w:rFonts w:hint="default" w:ascii="Times New Roman" w:hAnsi="Times New Roman" w:eastAsia="宋体" w:cs="Times New Roman"/>
                <w:color w:val="auto"/>
                <w:sz w:val="24"/>
                <w:szCs w:val="24"/>
                <w:highlight w:val="none"/>
                <w:lang w:eastAsia="zh-CN"/>
              </w:rPr>
              <w:t>进行处理，参考《排放源统计调查产排污核算方法和系数手册》（公告2021年第24号）-</w:t>
            </w:r>
            <w:r>
              <w:rPr>
                <w:rFonts w:hint="default" w:ascii="Times New Roman" w:hAnsi="Times New Roman" w:eastAsia="宋体" w:cs="Times New Roman"/>
                <w:color w:val="auto"/>
                <w:sz w:val="24"/>
                <w:szCs w:val="24"/>
                <w:highlight w:val="none"/>
                <w:lang w:val="en-US" w:eastAsia="zh-CN"/>
              </w:rPr>
              <w:t>-4430工业锅炉（热力生产和供应行业）产污系数表-燃</w:t>
            </w:r>
            <w:r>
              <w:rPr>
                <w:rFonts w:hint="eastAsia" w:ascii="Times New Roman" w:hAnsi="Times New Roman" w:eastAsia="宋体" w:cs="Times New Roman"/>
                <w:color w:val="auto"/>
                <w:sz w:val="24"/>
                <w:szCs w:val="24"/>
                <w:highlight w:val="none"/>
                <w:lang w:val="en-US" w:eastAsia="zh-CN"/>
              </w:rPr>
              <w:t>生物质</w:t>
            </w:r>
            <w:r>
              <w:rPr>
                <w:rFonts w:hint="default" w:ascii="Times New Roman" w:hAnsi="Times New Roman" w:eastAsia="宋体" w:cs="Times New Roman"/>
                <w:color w:val="auto"/>
                <w:sz w:val="24"/>
                <w:szCs w:val="24"/>
                <w:highlight w:val="none"/>
                <w:lang w:val="en-US" w:eastAsia="zh-CN"/>
              </w:rPr>
              <w:t>工业锅炉</w:t>
            </w:r>
            <w:r>
              <w:rPr>
                <w:rFonts w:hint="default" w:ascii="Times New Roman" w:hAnsi="Times New Roman" w:eastAsia="宋体" w:cs="Times New Roman"/>
                <w:b w:val="0"/>
                <w:bCs w:val="0"/>
                <w:color w:val="auto"/>
                <w:kern w:val="0"/>
                <w:sz w:val="24"/>
                <w:szCs w:val="24"/>
                <w:highlight w:val="none"/>
                <w:lang w:val="en-US" w:eastAsia="zh-CN"/>
              </w:rPr>
              <w:t>，</w:t>
            </w:r>
            <w:r>
              <w:rPr>
                <w:rFonts w:hint="eastAsia" w:cs="Times New Roman"/>
                <w:b w:val="0"/>
                <w:bCs w:val="0"/>
                <w:color w:val="auto"/>
                <w:kern w:val="0"/>
                <w:sz w:val="24"/>
                <w:szCs w:val="24"/>
                <w:highlight w:val="none"/>
                <w:lang w:val="en-US" w:eastAsia="zh-CN"/>
              </w:rPr>
              <w:t>双</w:t>
            </w:r>
            <w:r>
              <w:rPr>
                <w:rFonts w:hint="default" w:ascii="Times New Roman" w:hAnsi="Times New Roman" w:eastAsia="宋体" w:cs="Times New Roman"/>
                <w:b w:val="0"/>
                <w:bCs w:val="0"/>
                <w:color w:val="auto"/>
                <w:kern w:val="0"/>
                <w:sz w:val="24"/>
                <w:szCs w:val="24"/>
                <w:highlight w:val="none"/>
                <w:lang w:val="en-US" w:eastAsia="zh-CN"/>
              </w:rPr>
              <w:t>碱法脱硫效率为</w:t>
            </w:r>
            <w:r>
              <w:rPr>
                <w:rFonts w:hint="eastAsia" w:cs="Times New Roman"/>
                <w:b w:val="0"/>
                <w:bCs w:val="0"/>
                <w:color w:val="auto"/>
                <w:kern w:val="0"/>
                <w:sz w:val="24"/>
                <w:szCs w:val="24"/>
                <w:highlight w:val="none"/>
                <w:lang w:val="en-US" w:eastAsia="zh-CN"/>
              </w:rPr>
              <w:t>80</w:t>
            </w:r>
            <w:r>
              <w:rPr>
                <w:rFonts w:hint="default" w:ascii="Times New Roman" w:hAnsi="Times New Roman" w:eastAsia="宋体" w:cs="Times New Roman"/>
                <w:b w:val="0"/>
                <w:bCs w:val="0"/>
                <w:color w:val="auto"/>
                <w:kern w:val="0"/>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则1台</w:t>
            </w:r>
            <w:r>
              <w:rPr>
                <w:rFonts w:hint="eastAsia" w:cs="Times New Roman"/>
                <w:color w:val="auto"/>
                <w:sz w:val="24"/>
                <w:szCs w:val="24"/>
                <w:highlight w:val="none"/>
                <w:lang w:val="en-US" w:eastAsia="zh-CN"/>
              </w:rPr>
              <w:t>8t/h</w:t>
            </w:r>
            <w:r>
              <w:rPr>
                <w:rFonts w:hint="default" w:ascii="Times New Roman" w:hAnsi="Times New Roman" w:eastAsia="宋体" w:cs="Times New Roman"/>
                <w:color w:val="auto"/>
                <w:sz w:val="24"/>
                <w:szCs w:val="24"/>
                <w:highlight w:val="none"/>
                <w:lang w:val="en-US" w:eastAsia="zh-CN"/>
              </w:rPr>
              <w:t>生物质热水锅炉二氧化硫</w:t>
            </w:r>
            <w:r>
              <w:rPr>
                <w:rFonts w:hint="default" w:ascii="Times New Roman" w:hAnsi="Times New Roman" w:eastAsia="宋体" w:cs="Times New Roman"/>
                <w:color w:val="auto"/>
                <w:sz w:val="24"/>
                <w:szCs w:val="24"/>
                <w:highlight w:val="none"/>
              </w:rPr>
              <w:t>排放量</w:t>
            </w:r>
            <w:r>
              <w:rPr>
                <w:rFonts w:hint="default" w:ascii="Times New Roman" w:hAnsi="Times New Roman" w:eastAsia="宋体" w:cs="Times New Roman"/>
                <w:color w:val="auto"/>
                <w:sz w:val="24"/>
                <w:szCs w:val="24"/>
                <w:highlight w:val="none"/>
                <w:lang w:val="en-US" w:eastAsia="zh-CN"/>
              </w:rPr>
              <w:t>为</w:t>
            </w:r>
            <w:r>
              <w:rPr>
                <w:rFonts w:hint="eastAsia" w:cs="Times New Roman"/>
                <w:color w:val="auto"/>
                <w:sz w:val="24"/>
                <w:szCs w:val="24"/>
                <w:highlight w:val="none"/>
                <w:lang w:val="en-US" w:eastAsia="zh-CN"/>
              </w:rPr>
              <w:t>1.313</w:t>
            </w:r>
            <w:r>
              <w:rPr>
                <w:rFonts w:hint="eastAsia" w:ascii="Times New Roman" w:hAnsi="Times New Roman" w:eastAsia="宋体" w:cs="Times New Roman"/>
                <w:color w:val="auto"/>
                <w:sz w:val="24"/>
                <w:szCs w:val="24"/>
                <w:highlight w:val="none"/>
                <w:lang w:val="en-US" w:eastAsia="zh-CN"/>
              </w:rPr>
              <w:t>t</w:t>
            </w: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）氮氧化物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根据《排放源统计调查产排污核算方法和系数手册》（公告2021年第24号）--4430工业锅炉（热力供应）行业系数手册--生物质工业锅炉，</w:t>
            </w:r>
            <w:r>
              <w:rPr>
                <w:rFonts w:hint="default" w:ascii="Times New Roman" w:hAnsi="Times New Roman" w:eastAsia="宋体" w:cs="Times New Roman"/>
                <w:b w:val="0"/>
                <w:bCs w:val="0"/>
                <w:color w:val="auto"/>
                <w:sz w:val="24"/>
                <w:szCs w:val="24"/>
                <w:highlight w:val="none"/>
              </w:rPr>
              <w:t>氮氧化物</w:t>
            </w:r>
            <w:r>
              <w:rPr>
                <w:rFonts w:hint="default" w:ascii="Times New Roman" w:hAnsi="Times New Roman" w:eastAsia="宋体" w:cs="Times New Roman"/>
                <w:b w:val="0"/>
                <w:bCs w:val="0"/>
                <w:color w:val="auto"/>
                <w:kern w:val="0"/>
                <w:sz w:val="24"/>
                <w:szCs w:val="24"/>
                <w:highlight w:val="none"/>
                <w:lang w:val="en-US" w:eastAsia="zh-CN"/>
              </w:rPr>
              <w:t>产污系数按1.02千克/吨-原料。</w:t>
            </w:r>
            <w:r>
              <w:rPr>
                <w:rFonts w:hint="default" w:ascii="Times New Roman" w:hAnsi="Times New Roman" w:eastAsia="宋体" w:cs="Times New Roman"/>
                <w:color w:val="auto"/>
                <w:kern w:val="0"/>
                <w:sz w:val="24"/>
                <w:szCs w:val="24"/>
                <w:highlight w:val="none"/>
              </w:rPr>
              <w:t>生物质成型燃料</w:t>
            </w:r>
            <w:r>
              <w:rPr>
                <w:rFonts w:hint="default" w:ascii="Times New Roman" w:hAnsi="Times New Roman" w:eastAsia="宋体" w:cs="Times New Roman"/>
                <w:color w:val="auto"/>
                <w:sz w:val="24"/>
                <w:szCs w:val="24"/>
                <w:highlight w:val="none"/>
              </w:rPr>
              <w:t>消耗量为</w:t>
            </w:r>
            <w:r>
              <w:rPr>
                <w:rFonts w:hint="eastAsia" w:cs="Times New Roman"/>
                <w:color w:val="auto"/>
                <w:sz w:val="24"/>
                <w:szCs w:val="24"/>
                <w:highlight w:val="none"/>
                <w:lang w:val="en-US" w:eastAsia="zh-CN"/>
              </w:rPr>
              <w:t>2574</w:t>
            </w:r>
            <w:r>
              <w:rPr>
                <w:rFonts w:hint="default" w:ascii="Times New Roman" w:hAnsi="Times New Roman" w:eastAsia="宋体" w:cs="Times New Roman"/>
                <w:color w:val="auto"/>
                <w:sz w:val="24"/>
                <w:szCs w:val="24"/>
                <w:highlight w:val="none"/>
              </w:rPr>
              <w:t>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b w:val="0"/>
                <w:bCs w:val="0"/>
                <w:color w:val="auto"/>
                <w:kern w:val="0"/>
                <w:sz w:val="24"/>
                <w:szCs w:val="24"/>
                <w:highlight w:val="none"/>
                <w:lang w:val="en-US" w:eastAsia="zh-CN"/>
              </w:rPr>
              <w:t>则1台</w:t>
            </w:r>
            <w:r>
              <w:rPr>
                <w:rFonts w:hint="eastAsia" w:cs="Times New Roman"/>
                <w:b w:val="0"/>
                <w:bCs w:val="0"/>
                <w:color w:val="auto"/>
                <w:kern w:val="0"/>
                <w:sz w:val="24"/>
                <w:szCs w:val="24"/>
                <w:highlight w:val="none"/>
                <w:lang w:val="en-US" w:eastAsia="zh-CN"/>
              </w:rPr>
              <w:t>8t/h</w:t>
            </w:r>
            <w:r>
              <w:rPr>
                <w:rFonts w:hint="default" w:ascii="Times New Roman" w:hAnsi="Times New Roman" w:eastAsia="宋体" w:cs="Times New Roman"/>
                <w:b w:val="0"/>
                <w:bCs w:val="0"/>
                <w:color w:val="auto"/>
                <w:kern w:val="0"/>
                <w:sz w:val="24"/>
                <w:szCs w:val="24"/>
                <w:highlight w:val="none"/>
                <w:lang w:val="en-US" w:eastAsia="zh-CN"/>
              </w:rPr>
              <w:t>生物质热水锅炉</w:t>
            </w:r>
            <w:r>
              <w:rPr>
                <w:rFonts w:hint="default" w:ascii="Times New Roman" w:hAnsi="Times New Roman" w:eastAsia="宋体" w:cs="Times New Roman"/>
                <w:b w:val="0"/>
                <w:bCs w:val="0"/>
                <w:color w:val="auto"/>
                <w:sz w:val="24"/>
                <w:szCs w:val="24"/>
                <w:highlight w:val="none"/>
              </w:rPr>
              <w:t>氮氧化物</w:t>
            </w:r>
            <w:r>
              <w:rPr>
                <w:rFonts w:hint="default" w:ascii="Times New Roman" w:hAnsi="Times New Roman" w:eastAsia="宋体" w:cs="Times New Roman"/>
                <w:b w:val="0"/>
                <w:bCs w:val="0"/>
                <w:color w:val="auto"/>
                <w:kern w:val="0"/>
                <w:sz w:val="24"/>
                <w:szCs w:val="24"/>
                <w:highlight w:val="none"/>
                <w:lang w:val="en-US" w:eastAsia="zh-CN"/>
              </w:rPr>
              <w:t>产生量为</w:t>
            </w:r>
            <w:r>
              <w:rPr>
                <w:rFonts w:hint="eastAsia" w:cs="Times New Roman"/>
                <w:color w:val="auto"/>
                <w:sz w:val="24"/>
                <w:szCs w:val="24"/>
                <w:highlight w:val="none"/>
                <w:lang w:val="en-US" w:eastAsia="zh-CN"/>
              </w:rPr>
              <w:t>2574</w:t>
            </w:r>
            <w:r>
              <w:rPr>
                <w:rFonts w:hint="default" w:ascii="Times New Roman" w:hAnsi="Times New Roman" w:eastAsia="宋体" w:cs="Times New Roman"/>
                <w:b w:val="0"/>
                <w:bCs w:val="0"/>
                <w:color w:val="auto"/>
                <w:kern w:val="0"/>
                <w:sz w:val="24"/>
                <w:szCs w:val="24"/>
                <w:highlight w:val="none"/>
                <w:lang w:val="en-US" w:eastAsia="zh-CN"/>
              </w:rPr>
              <w:t>t/a</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 w:val="0"/>
                <w:bCs w:val="0"/>
                <w:color w:val="auto"/>
                <w:kern w:val="0"/>
                <w:sz w:val="24"/>
                <w:szCs w:val="24"/>
                <w:highlight w:val="none"/>
                <w:lang w:val="en-US" w:eastAsia="zh-CN"/>
              </w:rPr>
              <w:t>1.02千克/吨-原料=</w:t>
            </w:r>
            <w:r>
              <w:rPr>
                <w:rFonts w:hint="eastAsia" w:cs="Times New Roman"/>
                <w:b w:val="0"/>
                <w:bCs w:val="0"/>
                <w:color w:val="auto"/>
                <w:kern w:val="0"/>
                <w:sz w:val="24"/>
                <w:szCs w:val="24"/>
                <w:highlight w:val="none"/>
                <w:lang w:val="en-US" w:eastAsia="zh-CN"/>
              </w:rPr>
              <w:t>2.625</w:t>
            </w:r>
            <w:r>
              <w:rPr>
                <w:rFonts w:hint="default" w:ascii="Times New Roman" w:hAnsi="Times New Roman" w:eastAsia="宋体" w:cs="Times New Roman"/>
                <w:b w:val="0"/>
                <w:bCs w:val="0"/>
                <w:color w:val="auto"/>
                <w:sz w:val="24"/>
                <w:szCs w:val="24"/>
                <w:highlight w:val="none"/>
                <w:lang w:val="en-US" w:eastAsia="zh-CN"/>
              </w:rPr>
              <w:t>t/a。</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rPr>
              <w:t>1台</w:t>
            </w:r>
            <w:r>
              <w:rPr>
                <w:rFonts w:hint="eastAsia" w:cs="Times New Roman"/>
                <w:color w:val="auto"/>
                <w:sz w:val="24"/>
                <w:szCs w:val="24"/>
                <w:highlight w:val="none"/>
                <w:lang w:val="en-US" w:eastAsia="zh-CN"/>
              </w:rPr>
              <w:t>8t/h</w:t>
            </w:r>
            <w:r>
              <w:rPr>
                <w:rFonts w:hint="default" w:ascii="Times New Roman" w:hAnsi="Times New Roman" w:eastAsia="宋体" w:cs="Times New Roman"/>
                <w:color w:val="auto"/>
                <w:sz w:val="24"/>
                <w:szCs w:val="24"/>
                <w:highlight w:val="none"/>
                <w:lang w:val="en-US" w:eastAsia="zh-CN"/>
              </w:rPr>
              <w:t>生物质热水锅炉</w:t>
            </w:r>
            <w:r>
              <w:rPr>
                <w:rFonts w:hint="default" w:ascii="Times New Roman" w:hAnsi="Times New Roman" w:eastAsia="宋体" w:cs="Times New Roman"/>
                <w:bCs/>
                <w:color w:val="auto"/>
                <w:sz w:val="24"/>
                <w:szCs w:val="24"/>
                <w:highlight w:val="none"/>
              </w:rPr>
              <w:t>氮氧化物</w:t>
            </w:r>
            <w:r>
              <w:rPr>
                <w:rFonts w:hint="default" w:ascii="Times New Roman" w:hAnsi="Times New Roman" w:eastAsia="宋体" w:cs="Times New Roman"/>
                <w:color w:val="auto"/>
                <w:sz w:val="24"/>
                <w:szCs w:val="24"/>
                <w:highlight w:val="none"/>
              </w:rPr>
              <w:t>排放量为</w:t>
            </w:r>
            <w:r>
              <w:rPr>
                <w:rFonts w:hint="eastAsia" w:cs="Times New Roman"/>
                <w:color w:val="auto"/>
                <w:sz w:val="24"/>
                <w:szCs w:val="24"/>
                <w:highlight w:val="none"/>
                <w:lang w:val="en-US" w:eastAsia="zh-CN"/>
              </w:rPr>
              <w:t>2.625</w:t>
            </w:r>
            <w:r>
              <w:rPr>
                <w:rFonts w:hint="default" w:ascii="Times New Roman" w:hAnsi="Times New Roman" w:eastAsia="宋体" w:cs="Times New Roman"/>
                <w:color w:val="auto"/>
                <w:sz w:val="24"/>
                <w:szCs w:val="24"/>
                <w:highlight w:val="none"/>
                <w:lang w:val="en-US" w:eastAsia="zh-CN"/>
              </w:rPr>
              <w:t>t/a</w:t>
            </w:r>
            <w:r>
              <w:rPr>
                <w:rFonts w:hint="default" w:ascii="Times New Roman" w:hAnsi="Times New Roman" w:eastAsia="宋体" w:cs="Times New Roman"/>
                <w:color w:val="auto"/>
                <w:sz w:val="24"/>
                <w:szCs w:val="24"/>
                <w:highlight w:val="none"/>
                <w:lang w:bidi="ar"/>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eastAsia="宋体"/>
                <w:color w:val="auto"/>
                <w:highlight w:val="none"/>
                <w:lang w:val="en-US" w:eastAsia="zh-CN"/>
              </w:rPr>
            </w:pPr>
            <w:r>
              <w:rPr>
                <w:rFonts w:hint="default" w:ascii="Times New Roman" w:hAnsi="Times New Roman" w:eastAsia="宋体" w:cs="Times New Roman"/>
                <w:color w:val="auto"/>
                <w:sz w:val="24"/>
                <w:szCs w:val="24"/>
                <w:highlight w:val="none"/>
                <w:lang w:eastAsia="zh-CN" w:bidi="ar"/>
              </w:rPr>
              <w:t>通过核算</w:t>
            </w:r>
            <w:r>
              <w:rPr>
                <w:rFonts w:hint="eastAsia" w:cs="Times New Roman"/>
                <w:color w:val="auto"/>
                <w:sz w:val="24"/>
                <w:szCs w:val="24"/>
                <w:highlight w:val="none"/>
                <w:lang w:eastAsia="zh-CN" w:bidi="ar"/>
              </w:rPr>
              <w:t>，</w:t>
            </w:r>
            <w:r>
              <w:rPr>
                <w:rFonts w:hint="default" w:ascii="Times New Roman" w:hAnsi="Times New Roman" w:eastAsia="宋体" w:cs="Times New Roman"/>
                <w:color w:val="auto"/>
                <w:sz w:val="24"/>
                <w:szCs w:val="24"/>
                <w:highlight w:val="none"/>
              </w:rPr>
              <w:t>本项目申请SO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lang w:eastAsia="zh-CN"/>
              </w:rPr>
              <w:t>控制总</w:t>
            </w:r>
            <w:r>
              <w:rPr>
                <w:rFonts w:hint="default" w:ascii="Times New Roman" w:hAnsi="Times New Roman" w:eastAsia="宋体" w:cs="Times New Roman"/>
                <w:color w:val="auto"/>
                <w:sz w:val="24"/>
                <w:szCs w:val="24"/>
                <w:highlight w:val="none"/>
              </w:rPr>
              <w:t>量</w:t>
            </w:r>
            <w:r>
              <w:rPr>
                <w:rFonts w:hint="eastAsia" w:cs="Times New Roman"/>
                <w:color w:val="auto"/>
                <w:sz w:val="24"/>
                <w:szCs w:val="24"/>
                <w:highlight w:val="none"/>
                <w:lang w:val="en-US" w:eastAsia="zh-CN"/>
              </w:rPr>
              <w:t>1.313</w:t>
            </w:r>
            <w:r>
              <w:rPr>
                <w:rFonts w:hint="default" w:ascii="Times New Roman" w:hAnsi="Times New Roman" w:eastAsia="宋体" w:cs="Times New Roman"/>
                <w:color w:val="auto"/>
                <w:sz w:val="24"/>
                <w:szCs w:val="24"/>
                <w:highlight w:val="none"/>
              </w:rPr>
              <w:t>t/a、NO</w:t>
            </w:r>
            <w:r>
              <w:rPr>
                <w:rFonts w:hint="default" w:ascii="Times New Roman" w:hAnsi="Times New Roman" w:eastAsia="宋体" w:cs="Times New Roman"/>
                <w:color w:val="auto"/>
                <w:sz w:val="24"/>
                <w:szCs w:val="24"/>
                <w:highlight w:val="none"/>
                <w:vertAlign w:val="subscript"/>
              </w:rPr>
              <w:t>X</w:t>
            </w:r>
            <w:r>
              <w:rPr>
                <w:rFonts w:hint="default" w:ascii="Times New Roman" w:hAnsi="Times New Roman" w:eastAsia="宋体" w:cs="Times New Roman"/>
                <w:color w:val="auto"/>
                <w:sz w:val="24"/>
                <w:szCs w:val="24"/>
                <w:highlight w:val="none"/>
              </w:rPr>
              <w:t>控制总量</w:t>
            </w:r>
            <w:r>
              <w:rPr>
                <w:rFonts w:hint="eastAsia" w:cs="Times New Roman"/>
                <w:color w:val="auto"/>
                <w:sz w:val="24"/>
                <w:szCs w:val="24"/>
                <w:highlight w:val="none"/>
                <w:lang w:val="en-US" w:eastAsia="zh-CN"/>
              </w:rPr>
              <w:t>2.625</w:t>
            </w:r>
            <w:r>
              <w:rPr>
                <w:rFonts w:hint="default" w:ascii="Times New Roman" w:hAnsi="Times New Roman" w:eastAsia="宋体" w:cs="Times New Roman"/>
                <w:color w:val="auto"/>
                <w:sz w:val="24"/>
                <w:szCs w:val="24"/>
                <w:highlight w:val="none"/>
              </w:rPr>
              <w:t>t/a</w:t>
            </w:r>
            <w:r>
              <w:rPr>
                <w:rFonts w:hint="default" w:ascii="Times New Roman" w:hAnsi="Times New Roman" w:eastAsia="宋体" w:cs="Times New Roman"/>
                <w:color w:val="auto"/>
                <w:sz w:val="24"/>
                <w:szCs w:val="24"/>
                <w:highlight w:val="none"/>
                <w:lang w:eastAsia="zh-CN"/>
              </w:rPr>
              <w:t>。</w:t>
            </w:r>
          </w:p>
        </w:tc>
      </w:tr>
    </w:tbl>
    <w:p>
      <w:pPr>
        <w:adjustRightInd w:val="0"/>
        <w:snapToGrid w:val="0"/>
        <w:ind w:firstLine="0" w:firstLineChars="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br w:type="page"/>
      </w:r>
    </w:p>
    <w:p>
      <w:pPr>
        <w:pStyle w:val="4"/>
        <w:bidi w:val="0"/>
        <w:rPr>
          <w:rFonts w:hint="default"/>
          <w:color w:val="auto"/>
          <w:highlight w:val="none"/>
        </w:rPr>
      </w:pPr>
      <w:r>
        <w:rPr>
          <w:rFonts w:hint="default"/>
          <w:color w:val="auto"/>
          <w:highlight w:val="none"/>
        </w:rPr>
        <w:t>四、主要环境影响和保护措施</w:t>
      </w:r>
    </w:p>
    <w:tbl>
      <w:tblPr>
        <w:tblStyle w:val="17"/>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26" w:hRule="atLeast"/>
          <w:jc w:val="center"/>
        </w:trPr>
        <w:tc>
          <w:tcPr>
            <w:tcW w:w="746" w:type="dxa"/>
            <w:tcMar>
              <w:left w:w="28" w:type="dxa"/>
              <w:right w:w="28" w:type="dxa"/>
            </w:tcMar>
            <w:vAlign w:val="center"/>
          </w:tcPr>
          <w:p>
            <w:pPr>
              <w:adjustRightInd w:val="0"/>
              <w:snapToGrid w:val="0"/>
              <w:ind w:firstLine="0" w:firstLineChars="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eastAsia="zh-CN"/>
              </w:rPr>
              <w:t>施工</w:t>
            </w:r>
            <w:r>
              <w:rPr>
                <w:rFonts w:hint="default" w:ascii="Times New Roman" w:hAnsi="Times New Roman" w:eastAsia="宋体" w:cs="Times New Roman"/>
                <w:b/>
                <w:bCs/>
                <w:color w:val="auto"/>
                <w:highlight w:val="none"/>
              </w:rPr>
              <w:t>期环</w:t>
            </w:r>
          </w:p>
          <w:p>
            <w:pPr>
              <w:adjustRightInd w:val="0"/>
              <w:snapToGrid w:val="0"/>
              <w:ind w:firstLine="0" w:firstLineChars="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境影</w:t>
            </w:r>
          </w:p>
          <w:p>
            <w:pPr>
              <w:adjustRightInd w:val="0"/>
              <w:snapToGrid w:val="0"/>
              <w:ind w:firstLine="0" w:firstLineChars="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响和</w:t>
            </w:r>
          </w:p>
          <w:p>
            <w:pPr>
              <w:adjustRightInd w:val="0"/>
              <w:snapToGrid w:val="0"/>
              <w:ind w:firstLine="0" w:firstLineChars="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保护</w:t>
            </w:r>
          </w:p>
          <w:p>
            <w:pPr>
              <w:ind w:left="0" w:leftChars="0"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b/>
                <w:bCs/>
                <w:color w:val="auto"/>
                <w:highlight w:val="none"/>
              </w:rPr>
              <w:t>措施</w:t>
            </w:r>
          </w:p>
        </w:tc>
        <w:tc>
          <w:tcPr>
            <w:tcW w:w="8162" w:type="dxa"/>
            <w:tcBorders>
              <w:bottom w:val="single" w:color="000000" w:sz="2" w:space="0"/>
            </w:tcBorders>
            <w:vAlign w:val="top"/>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1、施工期</w:t>
            </w:r>
          </w:p>
          <w:p>
            <w:pPr>
              <w:bidi w:val="0"/>
              <w:jc w:val="both"/>
              <w:rPr>
                <w:rFonts w:hint="default"/>
                <w:color w:val="auto"/>
                <w:highlight w:val="none"/>
                <w:lang w:val="en-US" w:eastAsia="zh-CN"/>
              </w:rPr>
            </w:pPr>
            <w:r>
              <w:rPr>
                <w:rFonts w:hint="eastAsia"/>
                <w:color w:val="auto"/>
                <w:highlight w:val="none"/>
                <w:lang w:val="en-US" w:eastAsia="zh-CN"/>
              </w:rPr>
              <w:t>改建项目施工期主要为生物质锅炉的安装和调试。</w:t>
            </w:r>
          </w:p>
          <w:p>
            <w:pPr>
              <w:bidi w:val="0"/>
              <w:jc w:val="both"/>
              <w:rPr>
                <w:rFonts w:hint="default"/>
                <w:color w:val="auto"/>
                <w:highlight w:val="none"/>
                <w:lang w:val="en-US" w:eastAsia="zh-CN"/>
              </w:rPr>
            </w:pPr>
            <w:r>
              <w:rPr>
                <w:rFonts w:hint="eastAsia"/>
                <w:color w:val="auto"/>
                <w:highlight w:val="none"/>
                <w:lang w:val="en-US" w:eastAsia="zh-CN"/>
              </w:rPr>
              <w:t>改建项目施工期对环境产生影响的因子有：施工废水、固废、施工噪声等。</w:t>
            </w:r>
          </w:p>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1.</w:t>
            </w:r>
            <w:r>
              <w:rPr>
                <w:rFonts w:hint="eastAsia" w:cs="Times New Roman"/>
                <w:b/>
                <w:bCs/>
                <w:color w:val="auto"/>
                <w:highlight w:val="none"/>
                <w:lang w:val="en-US" w:eastAsia="zh-CN"/>
              </w:rPr>
              <w:t>1</w:t>
            </w:r>
            <w:r>
              <w:rPr>
                <w:rFonts w:hint="default" w:ascii="Times New Roman" w:hAnsi="Times New Roman" w:eastAsia="宋体" w:cs="Times New Roman"/>
                <w:b/>
                <w:bCs/>
                <w:color w:val="auto"/>
                <w:highlight w:val="none"/>
                <w:lang w:val="en-US" w:eastAsia="zh-CN"/>
              </w:rPr>
              <w:t>废水环保措施</w:t>
            </w:r>
          </w:p>
          <w:p>
            <w:pPr>
              <w:bidi w:val="0"/>
              <w:jc w:val="both"/>
              <w:rPr>
                <w:rFonts w:hint="default"/>
                <w:color w:val="auto"/>
                <w:highlight w:val="none"/>
                <w:lang w:eastAsia="zh-CN"/>
              </w:rPr>
            </w:pPr>
            <w:r>
              <w:rPr>
                <w:rFonts w:hint="eastAsia"/>
                <w:color w:val="auto"/>
                <w:highlight w:val="none"/>
                <w:lang w:eastAsia="zh-CN"/>
              </w:rPr>
              <w:t>项目施工期不设立施工营地，</w:t>
            </w:r>
            <w:r>
              <w:rPr>
                <w:rFonts w:hint="default"/>
                <w:color w:val="auto"/>
                <w:highlight w:val="none"/>
                <w:lang w:eastAsia="zh-CN"/>
              </w:rPr>
              <w:t>施工人员的生活污水排入</w:t>
            </w:r>
            <w:r>
              <w:rPr>
                <w:rFonts w:hint="eastAsia"/>
                <w:color w:val="auto"/>
                <w:highlight w:val="none"/>
                <w:lang w:val="en-US" w:eastAsia="zh-CN"/>
              </w:rPr>
              <w:t>现有工程防渗化粪池</w:t>
            </w:r>
            <w:r>
              <w:rPr>
                <w:rFonts w:hint="default"/>
                <w:color w:val="auto"/>
                <w:highlight w:val="none"/>
                <w:lang w:eastAsia="zh-CN"/>
              </w:rPr>
              <w:t>；</w:t>
            </w:r>
          </w:p>
          <w:p>
            <w:pPr>
              <w:keepNext w:val="0"/>
              <w:keepLines w:val="0"/>
              <w:pageBreakBefore w:val="0"/>
              <w:widowControl w:val="0"/>
              <w:suppressLineNumbers w:val="0"/>
              <w:shd w:val="clear"/>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default" w:ascii="Times New Roman" w:hAnsi="Times New Roman" w:eastAsia="宋体" w:cs="Times New Roman"/>
                <w:b/>
                <w:color w:val="auto"/>
                <w:sz w:val="24"/>
                <w:highlight w:val="none"/>
                <w:shd w:val="clear" w:color="auto" w:fill="auto"/>
                <w:lang w:eastAsia="zh-CN"/>
              </w:rPr>
            </w:pPr>
            <w:r>
              <w:rPr>
                <w:rFonts w:hint="default" w:ascii="Times New Roman" w:hAnsi="Times New Roman" w:eastAsia="宋体" w:cs="Times New Roman"/>
                <w:b/>
                <w:color w:val="auto"/>
                <w:sz w:val="24"/>
                <w:highlight w:val="none"/>
                <w:shd w:val="clear" w:color="auto" w:fill="auto"/>
                <w:lang w:val="en-US" w:eastAsia="zh-CN"/>
              </w:rPr>
              <w:t>1.</w:t>
            </w:r>
            <w:r>
              <w:rPr>
                <w:rFonts w:hint="eastAsia" w:cs="Times New Roman"/>
                <w:b/>
                <w:color w:val="auto"/>
                <w:sz w:val="24"/>
                <w:highlight w:val="none"/>
                <w:shd w:val="clear" w:color="auto" w:fill="auto"/>
                <w:lang w:val="en-US" w:eastAsia="zh-CN"/>
              </w:rPr>
              <w:t>2</w:t>
            </w:r>
            <w:r>
              <w:rPr>
                <w:rFonts w:hint="default" w:ascii="Times New Roman" w:hAnsi="Times New Roman" w:eastAsia="宋体" w:cs="Times New Roman"/>
                <w:b/>
                <w:color w:val="auto"/>
                <w:sz w:val="24"/>
                <w:highlight w:val="none"/>
                <w:shd w:val="clear" w:color="auto" w:fill="auto"/>
              </w:rPr>
              <w:t>噪声</w:t>
            </w:r>
            <w:r>
              <w:rPr>
                <w:rFonts w:hint="default" w:ascii="Times New Roman" w:hAnsi="Times New Roman" w:eastAsia="宋体" w:cs="Times New Roman"/>
                <w:b/>
                <w:color w:val="auto"/>
                <w:sz w:val="24"/>
                <w:highlight w:val="none"/>
                <w:shd w:val="clear" w:color="auto" w:fill="auto"/>
                <w:lang w:eastAsia="zh-CN"/>
              </w:rPr>
              <w:t>环保措施</w:t>
            </w:r>
          </w:p>
          <w:p>
            <w:pPr>
              <w:bidi w:val="0"/>
              <w:jc w:val="both"/>
              <w:rPr>
                <w:rFonts w:hint="default"/>
                <w:color w:val="auto"/>
                <w:highlight w:val="none"/>
                <w:lang w:val="en-US" w:eastAsia="zh-CN"/>
              </w:rPr>
            </w:pPr>
            <w:r>
              <w:rPr>
                <w:rFonts w:hint="eastAsia"/>
                <w:color w:val="auto"/>
                <w:highlight w:val="none"/>
                <w:lang w:val="en-US" w:eastAsia="zh-CN"/>
              </w:rPr>
              <w:t>施工期只有设备安装时产生的安装噪声，为非连续，且施工周期较短，对周围影响较小。</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default" w:ascii="Times New Roman" w:hAnsi="Times New Roman" w:eastAsia="宋体" w:cs="Times New Roman"/>
                <w:b/>
                <w:color w:val="auto"/>
                <w:sz w:val="24"/>
                <w:highlight w:val="none"/>
                <w:shd w:val="clear" w:color="auto" w:fill="auto"/>
                <w:lang w:eastAsia="zh-CN"/>
              </w:rPr>
            </w:pPr>
            <w:r>
              <w:rPr>
                <w:rFonts w:hint="default" w:ascii="Times New Roman" w:hAnsi="Times New Roman" w:eastAsia="宋体" w:cs="Times New Roman"/>
                <w:b/>
                <w:color w:val="auto"/>
                <w:sz w:val="24"/>
                <w:highlight w:val="none"/>
                <w:shd w:val="clear" w:color="auto" w:fill="auto"/>
                <w:lang w:val="en-US" w:eastAsia="zh-CN"/>
              </w:rPr>
              <w:t>1.</w:t>
            </w:r>
            <w:r>
              <w:rPr>
                <w:rFonts w:hint="eastAsia" w:cs="Times New Roman"/>
                <w:b/>
                <w:color w:val="auto"/>
                <w:sz w:val="24"/>
                <w:highlight w:val="none"/>
                <w:shd w:val="clear" w:color="auto" w:fill="auto"/>
                <w:lang w:val="en-US" w:eastAsia="zh-CN"/>
              </w:rPr>
              <w:t>3</w:t>
            </w:r>
            <w:r>
              <w:rPr>
                <w:rFonts w:hint="default" w:ascii="Times New Roman" w:hAnsi="Times New Roman" w:eastAsia="宋体" w:cs="Times New Roman"/>
                <w:b/>
                <w:color w:val="auto"/>
                <w:sz w:val="24"/>
                <w:highlight w:val="none"/>
                <w:shd w:val="clear" w:color="auto" w:fill="auto"/>
              </w:rPr>
              <w:t>固体废物</w:t>
            </w:r>
            <w:r>
              <w:rPr>
                <w:rFonts w:hint="default" w:ascii="Times New Roman" w:hAnsi="Times New Roman" w:eastAsia="宋体" w:cs="Times New Roman"/>
                <w:b/>
                <w:color w:val="auto"/>
                <w:sz w:val="24"/>
                <w:highlight w:val="none"/>
                <w:shd w:val="clear" w:color="auto" w:fill="auto"/>
                <w:lang w:eastAsia="zh-CN"/>
              </w:rPr>
              <w:t>环保措施</w:t>
            </w:r>
          </w:p>
          <w:p>
            <w:pPr>
              <w:bidi w:val="0"/>
              <w:jc w:val="both"/>
              <w:rPr>
                <w:rFonts w:hint="eastAsia" w:eastAsia="宋体"/>
                <w:color w:val="auto"/>
                <w:highlight w:val="none"/>
                <w:lang w:eastAsia="zh-CN"/>
              </w:rPr>
            </w:pPr>
            <w:r>
              <w:rPr>
                <w:rFonts w:hint="default"/>
                <w:color w:val="auto"/>
                <w:highlight w:val="none"/>
              </w:rPr>
              <w:t>（1）</w:t>
            </w:r>
            <w:r>
              <w:rPr>
                <w:rFonts w:hint="eastAsia"/>
                <w:color w:val="auto"/>
                <w:highlight w:val="none"/>
                <w:lang w:eastAsia="zh-CN"/>
              </w:rPr>
              <w:t>职工人员产生的少量生活垃圾与现有工程生活垃圾统一投放至厂区垃圾桶内，委托环卫清运。</w:t>
            </w:r>
          </w:p>
          <w:p>
            <w:pPr>
              <w:bidi w:val="0"/>
              <w:jc w:val="both"/>
              <w:rPr>
                <w:rFonts w:hint="default" w:ascii="Times New Roman" w:hAnsi="Times New Roman" w:eastAsia="宋体" w:cs="Times New Roman"/>
                <w:bCs/>
                <w:color w:val="auto"/>
                <w:spacing w:val="-10"/>
                <w:szCs w:val="21"/>
                <w:highlight w:val="none"/>
              </w:rPr>
            </w:pPr>
            <w:r>
              <w:rPr>
                <w:rFonts w:hint="default"/>
                <w:color w:val="auto"/>
                <w:highlight w:val="none"/>
              </w:rPr>
              <w:t>（2）</w:t>
            </w:r>
            <w:r>
              <w:rPr>
                <w:rFonts w:hint="eastAsia"/>
                <w:color w:val="auto"/>
                <w:highlight w:val="none"/>
                <w:lang w:eastAsia="zh-CN"/>
              </w:rPr>
              <w:t>改建项目施工期会产生少量建筑垃圾。施工结束后，将建筑垃圾运至指定建筑垃圾场。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tcBorders>
              <w:right w:val="single" w:color="000000" w:sz="2" w:space="0"/>
            </w:tcBorders>
            <w:tcMar>
              <w:left w:w="28" w:type="dxa"/>
              <w:right w:w="28" w:type="dxa"/>
            </w:tcMar>
            <w:vAlign w:val="center"/>
          </w:tcPr>
          <w:p>
            <w:pPr>
              <w:adjustRightInd w:val="0"/>
              <w:snapToGrid w:val="0"/>
              <w:ind w:firstLine="0" w:firstLineChars="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运营</w:t>
            </w:r>
          </w:p>
          <w:p>
            <w:pPr>
              <w:adjustRightInd w:val="0"/>
              <w:snapToGrid w:val="0"/>
              <w:ind w:firstLine="0" w:firstLineChars="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期环</w:t>
            </w:r>
          </w:p>
          <w:p>
            <w:pPr>
              <w:adjustRightInd w:val="0"/>
              <w:snapToGrid w:val="0"/>
              <w:ind w:firstLine="0" w:firstLineChars="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境影</w:t>
            </w:r>
          </w:p>
          <w:p>
            <w:pPr>
              <w:adjustRightInd w:val="0"/>
              <w:snapToGrid w:val="0"/>
              <w:ind w:firstLine="0" w:firstLineChars="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响和</w:t>
            </w:r>
          </w:p>
          <w:p>
            <w:pPr>
              <w:adjustRightInd w:val="0"/>
              <w:snapToGrid w:val="0"/>
              <w:ind w:firstLine="0" w:firstLineChars="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保护</w:t>
            </w:r>
          </w:p>
          <w:p>
            <w:pPr>
              <w:ind w:left="0" w:leftChars="0" w:firstLine="0" w:firstLineChars="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措施</w:t>
            </w:r>
          </w:p>
        </w:tc>
        <w:tc>
          <w:tcPr>
            <w:tcW w:w="8162" w:type="dxa"/>
            <w:tcBorders>
              <w:top w:val="single" w:color="000000" w:sz="2" w:space="0"/>
              <w:left w:val="single" w:color="000000" w:sz="2" w:space="0"/>
              <w:bottom w:val="single" w:color="000000" w:sz="2" w:space="0"/>
              <w:right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ind w:firstLine="482"/>
              <w:jc w:val="both"/>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rPr>
              <w:t>1、废气</w:t>
            </w:r>
            <w:r>
              <w:rPr>
                <w:rFonts w:hint="eastAsia"/>
                <w:b/>
                <w:bCs/>
                <w:color w:val="auto"/>
                <w:highlight w:val="none"/>
                <w:lang w:val="en-US" w:eastAsia="zh-CN"/>
              </w:rPr>
              <w:t>产排情况及治理措施可行性分析</w:t>
            </w:r>
          </w:p>
          <w:p>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cs="Times New Roman"/>
                <w:b/>
                <w:bCs/>
                <w:color w:val="auto"/>
                <w:highlight w:val="none"/>
                <w:lang w:val="en-US" w:eastAsia="zh-CN"/>
              </w:rPr>
            </w:pPr>
            <w:r>
              <w:rPr>
                <w:rFonts w:hint="eastAsia" w:cs="Times New Roman"/>
                <w:b/>
                <w:bCs/>
                <w:color w:val="auto"/>
                <w:highlight w:val="none"/>
                <w:lang w:val="en-US" w:eastAsia="zh-CN"/>
              </w:rPr>
              <w:t>1.1废气产排情况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color w:val="auto"/>
                <w:highlight w:val="none"/>
                <w:lang w:val="en-US" w:eastAsia="zh-CN"/>
              </w:rPr>
              <w:t>改建项目</w:t>
            </w:r>
            <w:r>
              <w:rPr>
                <w:rFonts w:hint="default" w:ascii="Times New Roman" w:hAnsi="Times New Roman" w:eastAsia="宋体" w:cs="Times New Roman"/>
                <w:color w:val="auto"/>
                <w:sz w:val="24"/>
                <w:szCs w:val="24"/>
                <w:highlight w:val="none"/>
              </w:rPr>
              <w:t>运营期产生的大气污染物主要为</w:t>
            </w:r>
            <w:r>
              <w:rPr>
                <w:rFonts w:hint="default" w:ascii="Times New Roman" w:hAnsi="Times New Roman" w:eastAsia="宋体" w:cs="Times New Roman"/>
                <w:color w:val="auto"/>
                <w:sz w:val="24"/>
                <w:szCs w:val="24"/>
                <w:highlight w:val="none"/>
                <w:lang w:eastAsia="zh-CN"/>
              </w:rPr>
              <w:t>生物质热水锅炉</w:t>
            </w:r>
            <w:r>
              <w:rPr>
                <w:rFonts w:hint="default" w:ascii="Times New Roman" w:hAnsi="Times New Roman" w:eastAsia="宋体" w:cs="Times New Roman"/>
                <w:color w:val="auto"/>
                <w:sz w:val="24"/>
                <w:szCs w:val="24"/>
                <w:highlight w:val="none"/>
              </w:rPr>
              <w:t>废气、</w:t>
            </w:r>
            <w:r>
              <w:rPr>
                <w:rFonts w:hint="eastAsia" w:cs="Times New Roman"/>
                <w:color w:val="auto"/>
                <w:sz w:val="24"/>
                <w:szCs w:val="24"/>
                <w:highlight w:val="none"/>
                <w:lang w:val="en-US" w:eastAsia="zh-CN"/>
              </w:rPr>
              <w:t>生物质燃料装卸粉尘和</w:t>
            </w:r>
            <w:r>
              <w:rPr>
                <w:rFonts w:hint="default" w:ascii="Times New Roman" w:hAnsi="Times New Roman" w:eastAsia="宋体" w:cs="Times New Roman"/>
                <w:color w:val="auto"/>
                <w:sz w:val="24"/>
                <w:szCs w:val="24"/>
                <w:highlight w:val="none"/>
              </w:rPr>
              <w:t>灰渣间粉尘。</w:t>
            </w:r>
          </w:p>
          <w:p>
            <w:pPr>
              <w:bidi w:val="0"/>
              <w:spacing w:line="360" w:lineRule="auto"/>
              <w:ind w:firstLine="482" w:firstLineChars="200"/>
              <w:rPr>
                <w:rFonts w:hint="default"/>
                <w:b/>
                <w:bCs/>
                <w:color w:val="auto"/>
                <w:highlight w:val="none"/>
                <w:lang w:val="en-US" w:eastAsia="zh-CN"/>
              </w:rPr>
            </w:pPr>
            <w:r>
              <w:rPr>
                <w:rFonts w:hint="eastAsia"/>
                <w:b/>
                <w:bCs/>
                <w:color w:val="auto"/>
                <w:highlight w:val="none"/>
                <w:lang w:val="en-US" w:eastAsia="zh-CN"/>
              </w:rPr>
              <w:t>（1）锅炉废气</w:t>
            </w:r>
          </w:p>
          <w:p>
            <w:pPr>
              <w:bidi w:val="0"/>
              <w:spacing w:line="360" w:lineRule="auto"/>
              <w:ind w:firstLine="480" w:firstLineChars="200"/>
              <w:rPr>
                <w:rFonts w:hint="eastAsia"/>
                <w:color w:val="auto"/>
                <w:highlight w:val="none"/>
                <w:lang w:val="en-US" w:eastAsia="zh-CN"/>
              </w:rPr>
            </w:pPr>
            <w:r>
              <w:rPr>
                <w:rFonts w:hint="eastAsia"/>
                <w:color w:val="auto"/>
                <w:highlight w:val="none"/>
                <w:lang w:val="en-US" w:eastAsia="zh-CN"/>
              </w:rPr>
              <w:t>改建</w:t>
            </w:r>
            <w:r>
              <w:rPr>
                <w:rFonts w:hint="eastAsia"/>
                <w:color w:val="auto"/>
                <w:highlight w:val="none"/>
                <w:lang w:eastAsia="zh-CN"/>
              </w:rPr>
              <w:t>项目</w:t>
            </w:r>
            <w:r>
              <w:rPr>
                <w:rFonts w:hint="eastAsia"/>
                <w:color w:val="auto"/>
                <w:highlight w:val="none"/>
                <w:lang w:val="en-US" w:eastAsia="zh-CN"/>
              </w:rPr>
              <w:t>在原锅炉房内设置了1台8t/h的生物质燃料热水锅炉，为大中矿业的办公区和部分生产区域提供取暖</w:t>
            </w:r>
            <w:r>
              <w:rPr>
                <w:rFonts w:hint="eastAsia" w:cs="Times New Roman"/>
                <w:color w:val="auto"/>
                <w:sz w:val="24"/>
                <w:szCs w:val="24"/>
                <w:highlight w:val="none"/>
                <w:lang w:val="en-US" w:eastAsia="zh-CN"/>
              </w:rPr>
              <w:t>。生物质热水锅炉燃烧产生的</w:t>
            </w:r>
            <w:r>
              <w:rPr>
                <w:rFonts w:hint="eastAsia" w:ascii="Times New Roman" w:hAnsi="Times New Roman" w:cs="Times New Roman"/>
                <w:color w:val="auto"/>
                <w:sz w:val="24"/>
                <w:szCs w:val="24"/>
                <w:highlight w:val="none"/>
                <w:lang w:val="en-US" w:eastAsia="zh-CN"/>
              </w:rPr>
              <w:t>废气</w:t>
            </w:r>
            <w:r>
              <w:rPr>
                <w:rFonts w:hint="eastAsia" w:cs="Times New Roman"/>
                <w:color w:val="auto"/>
                <w:sz w:val="24"/>
                <w:szCs w:val="24"/>
                <w:highlight w:val="none"/>
                <w:lang w:val="en-US" w:eastAsia="zh-CN"/>
              </w:rPr>
              <w:t>污染物</w:t>
            </w:r>
            <w:r>
              <w:rPr>
                <w:rFonts w:hint="eastAsia" w:ascii="Times New Roman" w:hAnsi="Times New Roman" w:cs="Times New Roman"/>
                <w:color w:val="auto"/>
                <w:sz w:val="24"/>
                <w:szCs w:val="24"/>
                <w:highlight w:val="none"/>
                <w:lang w:val="en-US" w:eastAsia="zh-CN"/>
              </w:rPr>
              <w:t>主要为SO</w:t>
            </w:r>
            <w:r>
              <w:rPr>
                <w:rFonts w:hint="eastAsia" w:ascii="Times New Roman" w:hAnsi="Times New Roman" w:cs="Times New Roman"/>
                <w:color w:val="auto"/>
                <w:sz w:val="24"/>
                <w:szCs w:val="24"/>
                <w:highlight w:val="none"/>
                <w:vertAlign w:val="subscript"/>
                <w:lang w:val="en-US" w:eastAsia="zh-CN"/>
              </w:rPr>
              <w:t>2</w:t>
            </w:r>
            <w:r>
              <w:rPr>
                <w:rFonts w:hint="eastAsia" w:ascii="Times New Roman" w:hAnsi="Times New Roman" w:cs="Times New Roman"/>
                <w:color w:val="auto"/>
                <w:sz w:val="24"/>
                <w:szCs w:val="24"/>
                <w:highlight w:val="none"/>
                <w:lang w:val="en-US" w:eastAsia="zh-CN"/>
              </w:rPr>
              <w:t>、NO</w:t>
            </w:r>
            <w:r>
              <w:rPr>
                <w:rFonts w:hint="eastAsia" w:ascii="Times New Roman" w:hAnsi="Times New Roman" w:cs="Times New Roman"/>
                <w:color w:val="auto"/>
                <w:sz w:val="24"/>
                <w:szCs w:val="24"/>
                <w:highlight w:val="none"/>
                <w:vertAlign w:val="subscript"/>
                <w:lang w:val="en-US" w:eastAsia="zh-CN"/>
              </w:rPr>
              <w:t>X</w:t>
            </w:r>
            <w:r>
              <w:rPr>
                <w:rFonts w:hint="eastAsia" w:cs="Times New Roman"/>
                <w:color w:val="auto"/>
                <w:sz w:val="24"/>
                <w:szCs w:val="24"/>
                <w:highlight w:val="none"/>
                <w:vertAlign w:val="subscript"/>
                <w:lang w:val="en-US" w:eastAsia="zh-CN"/>
              </w:rPr>
              <w:t>、</w:t>
            </w:r>
            <w:r>
              <w:rPr>
                <w:rFonts w:hint="eastAsia" w:ascii="Times New Roman" w:hAnsi="Times New Roman" w:cs="Times New Roman"/>
                <w:color w:val="auto"/>
                <w:sz w:val="24"/>
                <w:szCs w:val="24"/>
                <w:highlight w:val="none"/>
                <w:lang w:val="en-US" w:eastAsia="zh-CN"/>
              </w:rPr>
              <w:t>烟尘</w:t>
            </w:r>
            <w:r>
              <w:rPr>
                <w:rFonts w:hint="eastAsia" w:cs="Times New Roman"/>
                <w:color w:val="auto"/>
                <w:sz w:val="24"/>
                <w:szCs w:val="24"/>
                <w:highlight w:val="none"/>
                <w:lang w:val="en-US" w:eastAsia="zh-CN"/>
              </w:rPr>
              <w:t>、汞及其化合物</w:t>
            </w:r>
            <w:r>
              <w:rPr>
                <w:rFonts w:hint="eastAsia" w:ascii="Times New Roman" w:hAnsi="Times New Roman" w:cs="Times New Roman"/>
                <w:color w:val="auto"/>
                <w:sz w:val="24"/>
                <w:szCs w:val="24"/>
                <w:highlight w:val="none"/>
                <w:lang w:val="en-US" w:eastAsia="zh-CN"/>
              </w:rPr>
              <w:t>等</w:t>
            </w:r>
            <w:r>
              <w:rPr>
                <w:rFonts w:hint="eastAsia" w:cs="Times New Roman"/>
                <w:color w:val="auto"/>
                <w:sz w:val="24"/>
                <w:szCs w:val="24"/>
                <w:highlight w:val="none"/>
                <w:lang w:val="en-US" w:eastAsia="zh-CN"/>
              </w:rPr>
              <w:t>。该项目生物质燃料的使用量为2574t/a，则生物质锅炉产生的废气量和各个污染物的产排量计算结果如下。</w:t>
            </w:r>
          </w:p>
          <w:p>
            <w:pPr>
              <w:bidi w:val="0"/>
              <w:spacing w:line="360" w:lineRule="auto"/>
              <w:ind w:firstLine="480" w:firstLineChars="200"/>
              <w:rPr>
                <w:rFonts w:hint="default"/>
                <w:color w:val="auto"/>
                <w:highlight w:val="none"/>
                <w:lang w:val="en-US" w:eastAsia="zh-CN"/>
              </w:rPr>
            </w:pPr>
            <w:r>
              <w:rPr>
                <w:rFonts w:hint="eastAsia"/>
                <w:color w:val="auto"/>
                <w:highlight w:val="none"/>
                <w:lang w:val="en-US" w:eastAsia="zh-CN"/>
              </w:rPr>
              <w:t>1）颗粒物、二氧化硫和氮氧化物</w:t>
            </w:r>
          </w:p>
          <w:p>
            <w:pPr>
              <w:bidi w:val="0"/>
              <w:spacing w:line="360" w:lineRule="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根据</w:t>
            </w:r>
            <w:r>
              <w:rPr>
                <w:rFonts w:hint="eastAsia"/>
                <w:color w:val="auto"/>
                <w:highlight w:val="none"/>
                <w:lang w:val="en-US" w:eastAsia="zh-CN"/>
              </w:rPr>
              <w:t>《排放源统计调查产排污核算方法和系数手册</w:t>
            </w:r>
            <w:r>
              <w:rPr>
                <w:rFonts w:hint="eastAsia" w:ascii="Times New Roman" w:hAnsi="Times New Roman" w:cs="Times New Roman"/>
                <w:color w:val="auto"/>
                <w:sz w:val="24"/>
                <w:szCs w:val="24"/>
                <w:highlight w:val="none"/>
                <w:lang w:val="en-US" w:eastAsia="zh-CN"/>
              </w:rPr>
              <w:t>》“4430锅炉产排污量核算系数手册”产污系数取值情况见下表</w:t>
            </w:r>
            <w:r>
              <w:rPr>
                <w:rFonts w:hint="eastAsia"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4"/>
                <w:szCs w:val="22"/>
                <w:highlight w:val="none"/>
                <w:lang w:val="en-US" w:eastAsia="zh-CN"/>
              </w:rPr>
            </w:pPr>
            <w:r>
              <w:rPr>
                <w:rFonts w:hint="eastAsia" w:ascii="Times New Roman" w:hAnsi="Times New Roman" w:cs="Times New Roman"/>
                <w:b/>
                <w:bCs/>
                <w:color w:val="auto"/>
                <w:sz w:val="24"/>
                <w:szCs w:val="22"/>
                <w:highlight w:val="none"/>
                <w:lang w:val="en-US" w:eastAsia="zh-CN"/>
              </w:rPr>
              <w:t>表</w:t>
            </w:r>
            <w:r>
              <w:rPr>
                <w:rFonts w:hint="eastAsia" w:cs="Times New Roman"/>
                <w:b/>
                <w:bCs/>
                <w:color w:val="auto"/>
                <w:sz w:val="24"/>
                <w:szCs w:val="22"/>
                <w:highlight w:val="none"/>
                <w:lang w:val="en-US" w:eastAsia="zh-CN"/>
              </w:rPr>
              <w:t>1</w:t>
            </w:r>
            <w:r>
              <w:rPr>
                <w:rFonts w:hint="eastAsia" w:ascii="Times New Roman" w:hAnsi="Times New Roman" w:cs="Times New Roman"/>
                <w:b/>
                <w:bCs/>
                <w:color w:val="auto"/>
                <w:sz w:val="24"/>
                <w:szCs w:val="22"/>
                <w:highlight w:val="none"/>
                <w:lang w:val="en-US" w:eastAsia="zh-CN"/>
              </w:rPr>
              <w:t xml:space="preserve">  锅炉产排污系数</w:t>
            </w:r>
          </w:p>
          <w:tbl>
            <w:tblPr>
              <w:tblStyle w:val="18"/>
              <w:tblW w:w="7946"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71"/>
              <w:gridCol w:w="765"/>
              <w:gridCol w:w="1305"/>
              <w:gridCol w:w="2460"/>
              <w:gridCol w:w="1080"/>
              <w:gridCol w:w="16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原料名称</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工艺名称</w:t>
                  </w:r>
                </w:p>
              </w:tc>
              <w:tc>
                <w:tcPr>
                  <w:tcW w:w="13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污染物指标</w:t>
                  </w:r>
                </w:p>
              </w:tc>
              <w:tc>
                <w:tcPr>
                  <w:tcW w:w="24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单位</w:t>
                  </w: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产污系数</w:t>
                  </w:r>
                </w:p>
              </w:tc>
              <w:tc>
                <w:tcPr>
                  <w:tcW w:w="1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67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生物质燃料</w:t>
                  </w:r>
                </w:p>
              </w:tc>
              <w:tc>
                <w:tcPr>
                  <w:tcW w:w="7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层燃炉</w:t>
                  </w:r>
                </w:p>
              </w:tc>
              <w:tc>
                <w:tcPr>
                  <w:tcW w:w="13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工业废气量</w:t>
                  </w:r>
                </w:p>
              </w:tc>
              <w:tc>
                <w:tcPr>
                  <w:tcW w:w="24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标立方米/</w:t>
                  </w:r>
                  <w:r>
                    <w:rPr>
                      <w:rFonts w:hint="eastAsia" w:cs="Times New Roman"/>
                      <w:color w:val="auto"/>
                      <w:sz w:val="21"/>
                      <w:szCs w:val="21"/>
                      <w:highlight w:val="none"/>
                      <w:vertAlign w:val="baseline"/>
                      <w:lang w:val="en-US" w:eastAsia="zh-CN"/>
                    </w:rPr>
                    <w:t>吨-</w:t>
                  </w:r>
                  <w:r>
                    <w:rPr>
                      <w:rFonts w:hint="eastAsia" w:ascii="Times New Roman" w:hAnsi="Times New Roman" w:cs="Times New Roman"/>
                      <w:color w:val="auto"/>
                      <w:sz w:val="21"/>
                      <w:szCs w:val="21"/>
                      <w:highlight w:val="none"/>
                      <w:lang w:val="en-US" w:eastAsia="zh-CN"/>
                    </w:rPr>
                    <w:t>原料</w:t>
                  </w: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6240</w:t>
                  </w:r>
                </w:p>
              </w:tc>
              <w:tc>
                <w:tcPr>
                  <w:tcW w:w="16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《第二次全国污染源普查工业污染源产排污系数手册》“4430工业锅炉（热力供应）行业系数手册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7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7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13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SO</w:t>
                  </w:r>
                  <w:r>
                    <w:rPr>
                      <w:rFonts w:hint="eastAsia" w:ascii="Times New Roman" w:hAnsi="Times New Roman" w:cs="Times New Roman"/>
                      <w:color w:val="auto"/>
                      <w:sz w:val="21"/>
                      <w:szCs w:val="21"/>
                      <w:highlight w:val="none"/>
                      <w:vertAlign w:val="subscript"/>
                      <w:lang w:val="en-US" w:eastAsia="zh-CN"/>
                    </w:rPr>
                    <w:t>2</w:t>
                  </w:r>
                </w:p>
              </w:tc>
              <w:tc>
                <w:tcPr>
                  <w:tcW w:w="24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千克/</w:t>
                  </w:r>
                  <w:r>
                    <w:rPr>
                      <w:rFonts w:hint="eastAsia" w:cs="Times New Roman"/>
                      <w:color w:val="auto"/>
                      <w:sz w:val="21"/>
                      <w:szCs w:val="21"/>
                      <w:highlight w:val="none"/>
                      <w:vertAlign w:val="baseline"/>
                      <w:lang w:val="en-US" w:eastAsia="zh-CN"/>
                    </w:rPr>
                    <w:t>吨-</w:t>
                  </w:r>
                  <w:r>
                    <w:rPr>
                      <w:rFonts w:hint="eastAsia" w:ascii="Times New Roman" w:hAnsi="Times New Roman" w:cs="Times New Roman"/>
                      <w:color w:val="auto"/>
                      <w:sz w:val="21"/>
                      <w:szCs w:val="21"/>
                      <w:highlight w:val="none"/>
                      <w:lang w:val="en-US" w:eastAsia="zh-CN"/>
                    </w:rPr>
                    <w:t>原料</w:t>
                  </w: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17</w:t>
                  </w:r>
                  <w:r>
                    <w:rPr>
                      <w:rFonts w:hint="eastAsia" w:ascii="Times New Roman" w:hAnsi="Times New Roman" w:cs="Times New Roman"/>
                      <w:color w:val="auto"/>
                      <w:sz w:val="21"/>
                      <w:szCs w:val="21"/>
                      <w:highlight w:val="none"/>
                      <w:vertAlign w:val="baseline"/>
                      <w:lang w:val="en-US" w:eastAsia="zh-CN"/>
                    </w:rPr>
                    <w:t>S</w:t>
                  </w:r>
                </w:p>
              </w:tc>
              <w:tc>
                <w:tcPr>
                  <w:tcW w:w="16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1" w:hRule="atLeast"/>
              </w:trPr>
              <w:tc>
                <w:tcPr>
                  <w:tcW w:w="67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7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13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颗粒物</w:t>
                  </w:r>
                </w:p>
              </w:tc>
              <w:tc>
                <w:tcPr>
                  <w:tcW w:w="24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千克/</w:t>
                  </w:r>
                  <w:r>
                    <w:rPr>
                      <w:rFonts w:hint="eastAsia" w:cs="Times New Roman"/>
                      <w:color w:val="auto"/>
                      <w:sz w:val="21"/>
                      <w:szCs w:val="21"/>
                      <w:highlight w:val="none"/>
                      <w:vertAlign w:val="baseline"/>
                      <w:lang w:val="en-US" w:eastAsia="zh-CN"/>
                    </w:rPr>
                    <w:t>吨-</w:t>
                  </w:r>
                  <w:r>
                    <w:rPr>
                      <w:rFonts w:hint="eastAsia" w:ascii="Times New Roman" w:hAnsi="Times New Roman" w:cs="Times New Roman"/>
                      <w:color w:val="auto"/>
                      <w:sz w:val="21"/>
                      <w:szCs w:val="21"/>
                      <w:highlight w:val="none"/>
                      <w:lang w:val="en-US" w:eastAsia="zh-CN"/>
                    </w:rPr>
                    <w:t>原料</w:t>
                  </w: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0.5</w:t>
                  </w:r>
                </w:p>
              </w:tc>
              <w:tc>
                <w:tcPr>
                  <w:tcW w:w="16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7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7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13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NO</w:t>
                  </w:r>
                  <w:r>
                    <w:rPr>
                      <w:rFonts w:hint="eastAsia" w:ascii="Times New Roman" w:hAnsi="Times New Roman" w:cs="Times New Roman"/>
                      <w:color w:val="auto"/>
                      <w:sz w:val="21"/>
                      <w:szCs w:val="21"/>
                      <w:highlight w:val="none"/>
                      <w:vertAlign w:val="subscript"/>
                      <w:lang w:val="en-US" w:eastAsia="zh-CN"/>
                    </w:rPr>
                    <w:t>X</w:t>
                  </w:r>
                </w:p>
              </w:tc>
              <w:tc>
                <w:tcPr>
                  <w:tcW w:w="24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千克/</w:t>
                  </w:r>
                  <w:r>
                    <w:rPr>
                      <w:rFonts w:hint="eastAsia" w:cs="Times New Roman"/>
                      <w:color w:val="auto"/>
                      <w:sz w:val="21"/>
                      <w:szCs w:val="21"/>
                      <w:highlight w:val="none"/>
                      <w:vertAlign w:val="baseline"/>
                      <w:lang w:val="en-US" w:eastAsia="zh-CN"/>
                    </w:rPr>
                    <w:t>吨-</w:t>
                  </w:r>
                  <w:r>
                    <w:rPr>
                      <w:rFonts w:hint="eastAsia" w:ascii="Times New Roman" w:hAnsi="Times New Roman" w:cs="Times New Roman"/>
                      <w:color w:val="auto"/>
                      <w:sz w:val="21"/>
                      <w:szCs w:val="21"/>
                      <w:highlight w:val="none"/>
                      <w:lang w:val="en-US" w:eastAsia="zh-CN"/>
                    </w:rPr>
                    <w:t>原料</w:t>
                  </w: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1.</w:t>
                  </w:r>
                  <w:r>
                    <w:rPr>
                      <w:rFonts w:hint="eastAsia" w:cs="Times New Roman"/>
                      <w:color w:val="auto"/>
                      <w:sz w:val="21"/>
                      <w:szCs w:val="21"/>
                      <w:highlight w:val="none"/>
                      <w:vertAlign w:val="baseline"/>
                      <w:lang w:val="en-US" w:eastAsia="zh-CN"/>
                    </w:rPr>
                    <w:t>02</w:t>
                  </w:r>
                </w:p>
              </w:tc>
              <w:tc>
                <w:tcPr>
                  <w:tcW w:w="16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bl>
          <w:p>
            <w:pPr>
              <w:bidi w:val="0"/>
              <w:spacing w:line="360" w:lineRule="auto"/>
              <w:ind w:firstLine="402" w:firstLineChars="200"/>
              <w:rPr>
                <w:rFonts w:hint="default" w:ascii="Times New Roman" w:hAnsi="Times New Roman" w:cs="Times New Roman"/>
                <w:b/>
                <w:bCs/>
                <w:color w:val="auto"/>
                <w:sz w:val="20"/>
                <w:szCs w:val="18"/>
                <w:highlight w:val="none"/>
                <w:lang w:val="en-US" w:eastAsia="zh-CN"/>
              </w:rPr>
            </w:pPr>
            <w:r>
              <w:rPr>
                <w:rFonts w:hint="eastAsia" w:ascii="Times New Roman" w:hAnsi="Times New Roman" w:cs="Times New Roman"/>
                <w:b/>
                <w:bCs/>
                <w:color w:val="auto"/>
                <w:sz w:val="20"/>
                <w:szCs w:val="18"/>
                <w:highlight w:val="none"/>
                <w:lang w:val="en-US" w:eastAsia="zh-CN"/>
              </w:rPr>
              <w:t>注：*产排污系数表中二氧化硫的产排污系数是以含硫量（S</w:t>
            </w:r>
            <w:r>
              <w:rPr>
                <w:rFonts w:hint="eastAsia" w:cs="Times New Roman"/>
                <w:b/>
                <w:bCs/>
                <w:color w:val="auto"/>
                <w:sz w:val="20"/>
                <w:szCs w:val="18"/>
                <w:highlight w:val="none"/>
                <w:lang w:val="en-US" w:eastAsia="zh-CN"/>
              </w:rPr>
              <w:t>%</w:t>
            </w:r>
            <w:r>
              <w:rPr>
                <w:rFonts w:hint="eastAsia" w:ascii="Times New Roman" w:hAnsi="Times New Roman" w:cs="Times New Roman"/>
                <w:b/>
                <w:bCs/>
                <w:color w:val="auto"/>
                <w:sz w:val="20"/>
                <w:szCs w:val="18"/>
                <w:highlight w:val="none"/>
                <w:lang w:val="en-US" w:eastAsia="zh-CN"/>
              </w:rPr>
              <w:t>）的形式表示的，其中含硫量（S</w:t>
            </w:r>
            <w:r>
              <w:rPr>
                <w:rFonts w:hint="eastAsia" w:cs="Times New Roman"/>
                <w:b/>
                <w:bCs/>
                <w:color w:val="auto"/>
                <w:sz w:val="20"/>
                <w:szCs w:val="18"/>
                <w:highlight w:val="none"/>
                <w:lang w:val="en-US" w:eastAsia="zh-CN"/>
              </w:rPr>
              <w:t>%</w:t>
            </w:r>
            <w:r>
              <w:rPr>
                <w:rFonts w:hint="eastAsia" w:ascii="Times New Roman" w:hAnsi="Times New Roman" w:cs="Times New Roman"/>
                <w:b/>
                <w:bCs/>
                <w:color w:val="auto"/>
                <w:sz w:val="20"/>
                <w:szCs w:val="18"/>
                <w:highlight w:val="none"/>
                <w:lang w:val="en-US" w:eastAsia="zh-CN"/>
              </w:rPr>
              <w:t>）是指</w:t>
            </w:r>
            <w:r>
              <w:rPr>
                <w:rFonts w:hint="eastAsia" w:cs="Times New Roman"/>
                <w:b/>
                <w:bCs/>
                <w:color w:val="auto"/>
                <w:sz w:val="20"/>
                <w:szCs w:val="18"/>
                <w:highlight w:val="none"/>
                <w:lang w:val="en-US" w:eastAsia="zh-CN"/>
              </w:rPr>
              <w:t>生物质</w:t>
            </w:r>
            <w:r>
              <w:rPr>
                <w:rFonts w:hint="eastAsia" w:ascii="Times New Roman" w:hAnsi="Times New Roman" w:cs="Times New Roman"/>
                <w:b/>
                <w:bCs/>
                <w:color w:val="auto"/>
                <w:sz w:val="20"/>
                <w:szCs w:val="18"/>
                <w:highlight w:val="none"/>
                <w:lang w:val="en-US" w:eastAsia="zh-CN"/>
              </w:rPr>
              <w:t>收到基硫分含量，</w:t>
            </w:r>
            <w:r>
              <w:rPr>
                <w:rFonts w:hint="eastAsia" w:cs="Times New Roman"/>
                <w:b/>
                <w:bCs/>
                <w:color w:val="auto"/>
                <w:sz w:val="20"/>
                <w:szCs w:val="18"/>
                <w:highlight w:val="none"/>
                <w:lang w:val="en-US" w:eastAsia="zh-CN"/>
              </w:rPr>
              <w:t>以质量百分数的形式表示</w:t>
            </w:r>
            <w:r>
              <w:rPr>
                <w:rFonts w:hint="eastAsia" w:ascii="Times New Roman" w:hAnsi="Times New Roman" w:cs="Times New Roman"/>
                <w:b/>
                <w:bCs/>
                <w:color w:val="auto"/>
                <w:sz w:val="20"/>
                <w:szCs w:val="18"/>
                <w:highlight w:val="none"/>
                <w:lang w:val="en-US" w:eastAsia="zh-CN"/>
              </w:rPr>
              <w:t>。</w:t>
            </w:r>
          </w:p>
          <w:p>
            <w:pPr>
              <w:bidi w:val="0"/>
              <w:spacing w:line="360" w:lineRule="auto"/>
              <w:ind w:firstLine="402" w:firstLineChars="200"/>
              <w:rPr>
                <w:rFonts w:hint="default" w:ascii="Times New Roman" w:hAnsi="Times New Roman" w:cs="Times New Roman"/>
                <w:b/>
                <w:bCs/>
                <w:color w:val="auto"/>
                <w:sz w:val="20"/>
                <w:szCs w:val="18"/>
                <w:highlight w:val="none"/>
                <w:lang w:val="en-US" w:eastAsia="zh-CN"/>
              </w:rPr>
            </w:pPr>
            <w:r>
              <w:rPr>
                <w:rFonts w:hint="eastAsia" w:ascii="Times New Roman" w:hAnsi="Times New Roman" w:cs="Times New Roman"/>
                <w:b/>
                <w:bCs/>
                <w:color w:val="auto"/>
                <w:sz w:val="20"/>
                <w:szCs w:val="18"/>
                <w:highlight w:val="none"/>
                <w:lang w:val="en-US" w:eastAsia="zh-CN"/>
              </w:rPr>
              <w:t>例如</w:t>
            </w:r>
            <w:r>
              <w:rPr>
                <w:rFonts w:hint="eastAsia" w:cs="Times New Roman"/>
                <w:b/>
                <w:bCs/>
                <w:color w:val="auto"/>
                <w:sz w:val="20"/>
                <w:szCs w:val="18"/>
                <w:highlight w:val="none"/>
                <w:lang w:val="en-US" w:eastAsia="zh-CN"/>
              </w:rPr>
              <w:t>生物质</w:t>
            </w:r>
            <w:r>
              <w:rPr>
                <w:rFonts w:hint="eastAsia" w:ascii="Times New Roman" w:hAnsi="Times New Roman" w:cs="Times New Roman"/>
                <w:b/>
                <w:bCs/>
                <w:color w:val="auto"/>
                <w:sz w:val="20"/>
                <w:szCs w:val="18"/>
                <w:highlight w:val="none"/>
                <w:lang w:val="en-US" w:eastAsia="zh-CN"/>
              </w:rPr>
              <w:t>中含硫量（S</w:t>
            </w:r>
            <w:r>
              <w:rPr>
                <w:rFonts w:hint="eastAsia" w:cs="Times New Roman"/>
                <w:b/>
                <w:bCs/>
                <w:color w:val="auto"/>
                <w:sz w:val="20"/>
                <w:szCs w:val="18"/>
                <w:highlight w:val="none"/>
                <w:lang w:val="en-US" w:eastAsia="zh-CN"/>
              </w:rPr>
              <w:t>%</w:t>
            </w:r>
            <w:r>
              <w:rPr>
                <w:rFonts w:hint="eastAsia" w:ascii="Times New Roman" w:hAnsi="Times New Roman" w:cs="Times New Roman"/>
                <w:b/>
                <w:bCs/>
                <w:color w:val="auto"/>
                <w:sz w:val="20"/>
                <w:szCs w:val="18"/>
                <w:highlight w:val="none"/>
                <w:lang w:val="en-US" w:eastAsia="zh-CN"/>
              </w:rPr>
              <w:t>）为</w:t>
            </w:r>
            <w:r>
              <w:rPr>
                <w:rFonts w:hint="eastAsia" w:cs="Times New Roman"/>
                <w:b/>
                <w:bCs/>
                <w:color w:val="auto"/>
                <w:sz w:val="20"/>
                <w:szCs w:val="18"/>
                <w:highlight w:val="none"/>
                <w:lang w:val="en-US" w:eastAsia="zh-CN"/>
              </w:rPr>
              <w:t>0.1%，则S=0.1.</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b/>
                <w:bCs/>
                <w:color w:val="auto"/>
                <w:sz w:val="24"/>
                <w:szCs w:val="22"/>
                <w:highlight w:val="none"/>
                <w:lang w:val="en-US" w:eastAsia="zh-CN"/>
              </w:rPr>
            </w:pPr>
            <w:r>
              <w:rPr>
                <w:rFonts w:hint="eastAsia" w:cs="Times New Roman"/>
                <w:color w:val="auto"/>
                <w:sz w:val="24"/>
                <w:szCs w:val="22"/>
                <w:highlight w:val="none"/>
                <w:vertAlign w:val="baseline"/>
                <w:lang w:val="en-US" w:eastAsia="zh-CN"/>
              </w:rPr>
              <w:t>生物质燃料锅炉的风机风量为7000m</w:t>
            </w:r>
            <w:r>
              <w:rPr>
                <w:rFonts w:hint="eastAsia" w:cs="Times New Roman"/>
                <w:color w:val="auto"/>
                <w:sz w:val="24"/>
                <w:szCs w:val="22"/>
                <w:highlight w:val="none"/>
                <w:vertAlign w:val="superscript"/>
                <w:lang w:val="en-US" w:eastAsia="zh-CN"/>
              </w:rPr>
              <w:t>3</w:t>
            </w:r>
            <w:r>
              <w:rPr>
                <w:rFonts w:hint="eastAsia" w:cs="Times New Roman"/>
                <w:color w:val="auto"/>
                <w:sz w:val="24"/>
                <w:szCs w:val="22"/>
                <w:highlight w:val="none"/>
                <w:vertAlign w:val="baseline"/>
                <w:lang w:val="en-US" w:eastAsia="zh-CN"/>
              </w:rPr>
              <w:t>/h，锅炉废气采用布袋除尘器+双碱法脱硫除尘系统进行处理，处理后由1根40m高的排气筒进行排放。</w:t>
            </w:r>
            <w:r>
              <w:rPr>
                <w:rFonts w:hint="default" w:ascii="Times New Roman" w:hAnsi="Times New Roman" w:eastAsia="宋体" w:cs="Times New Roman"/>
                <w:color w:val="auto"/>
                <w:sz w:val="24"/>
                <w:szCs w:val="24"/>
                <w:highlight w:val="none"/>
                <w:lang w:eastAsia="zh-CN"/>
              </w:rPr>
              <w:t>参考《排放源统计调查产排污核算方法和系数手册》（公告2021年第24号）-</w:t>
            </w:r>
            <w:r>
              <w:rPr>
                <w:rFonts w:hint="default" w:ascii="Times New Roman" w:hAnsi="Times New Roman" w:eastAsia="宋体" w:cs="Times New Roman"/>
                <w:color w:val="auto"/>
                <w:sz w:val="24"/>
                <w:szCs w:val="24"/>
                <w:highlight w:val="none"/>
                <w:lang w:val="en-US" w:eastAsia="zh-CN"/>
              </w:rPr>
              <w:t>-4430工业锅炉（热力生产和供应行业）产污系数表-燃煤工业锅炉</w:t>
            </w:r>
            <w:r>
              <w:rPr>
                <w:rFonts w:hint="default" w:ascii="Times New Roman" w:hAnsi="Times New Roman" w:eastAsia="宋体" w:cs="Times New Roman"/>
                <w:b w:val="0"/>
                <w:bCs w:val="0"/>
                <w:color w:val="auto"/>
                <w:kern w:val="0"/>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布袋除尘器</w:t>
            </w:r>
            <w:r>
              <w:rPr>
                <w:rFonts w:hint="default" w:ascii="Times New Roman" w:hAnsi="Times New Roman" w:eastAsia="宋体" w:cs="Times New Roman"/>
                <w:color w:val="auto"/>
                <w:sz w:val="24"/>
                <w:szCs w:val="24"/>
                <w:highlight w:val="none"/>
                <w:lang w:eastAsia="zh-CN"/>
              </w:rPr>
              <w:t>去除效率为</w:t>
            </w:r>
            <w:r>
              <w:rPr>
                <w:rFonts w:hint="default" w:ascii="Times New Roman" w:hAnsi="Times New Roman" w:eastAsia="宋体" w:cs="Times New Roman"/>
                <w:color w:val="auto"/>
                <w:sz w:val="24"/>
                <w:szCs w:val="24"/>
                <w:highlight w:val="none"/>
                <w:lang w:val="en-US" w:eastAsia="zh-CN"/>
              </w:rPr>
              <w:t>99%（本次评价取90%）、</w:t>
            </w:r>
            <w:r>
              <w:rPr>
                <w:rFonts w:hint="eastAsia" w:cs="Times New Roman"/>
                <w:color w:val="auto"/>
                <w:sz w:val="24"/>
                <w:szCs w:val="24"/>
                <w:highlight w:val="none"/>
                <w:lang w:val="en-US" w:eastAsia="zh-CN"/>
              </w:rPr>
              <w:t>双碱法脱硫</w:t>
            </w:r>
            <w:r>
              <w:rPr>
                <w:rFonts w:hint="default" w:ascii="Times New Roman" w:hAnsi="Times New Roman" w:eastAsia="宋体" w:cs="Times New Roman"/>
                <w:color w:val="auto"/>
                <w:sz w:val="24"/>
                <w:szCs w:val="24"/>
                <w:highlight w:val="none"/>
                <w:lang w:eastAsia="zh-CN"/>
              </w:rPr>
              <w:t>效率为</w:t>
            </w:r>
            <w:r>
              <w:rPr>
                <w:rFonts w:hint="eastAsia" w:cs="Times New Roman"/>
                <w:color w:val="auto"/>
                <w:sz w:val="24"/>
                <w:szCs w:val="24"/>
                <w:highlight w:val="none"/>
                <w:lang w:val="en-US" w:eastAsia="zh-CN"/>
              </w:rPr>
              <w:t>92.5</w:t>
            </w:r>
            <w:r>
              <w:rPr>
                <w:rFonts w:hint="default" w:ascii="Times New Roman" w:hAnsi="Times New Roman" w:eastAsia="宋体" w:cs="Times New Roman"/>
                <w:color w:val="auto"/>
                <w:sz w:val="24"/>
                <w:szCs w:val="24"/>
                <w:highlight w:val="none"/>
                <w:lang w:val="en-US" w:eastAsia="zh-CN"/>
              </w:rPr>
              <w:t>%（本次评价取</w:t>
            </w:r>
            <w:r>
              <w:rPr>
                <w:rFonts w:hint="eastAsia" w:cs="Times New Roman"/>
                <w:color w:val="auto"/>
                <w:sz w:val="24"/>
                <w:szCs w:val="24"/>
                <w:highlight w:val="none"/>
                <w:lang w:val="en-US" w:eastAsia="zh-CN"/>
              </w:rPr>
              <w:t>70</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2"/>
                <w:highlight w:val="none"/>
                <w:vertAlign w:val="baseline"/>
                <w:lang w:val="en-US" w:eastAsia="zh-CN"/>
              </w:rPr>
              <w:t>生物质燃料锅炉废气中的颗粒物、二氧化硫和氮氧化物</w:t>
            </w:r>
            <w:r>
              <w:rPr>
                <w:rFonts w:hint="eastAsia" w:ascii="Times New Roman" w:hAnsi="Times New Roman" w:cs="Times New Roman"/>
                <w:color w:val="auto"/>
                <w:sz w:val="24"/>
                <w:szCs w:val="22"/>
                <w:highlight w:val="none"/>
                <w:vertAlign w:val="baseline"/>
                <w:lang w:val="en-US" w:eastAsia="zh-CN"/>
              </w:rPr>
              <w:t>的排放量见下表</w:t>
            </w:r>
            <w:r>
              <w:rPr>
                <w:rFonts w:hint="eastAsia" w:cs="Times New Roman"/>
                <w:color w:val="auto"/>
                <w:sz w:val="24"/>
                <w:szCs w:val="22"/>
                <w:highlight w:val="none"/>
                <w:vertAlign w:val="baseline"/>
                <w:lang w:val="en-US" w:eastAsia="zh-CN"/>
              </w:rPr>
              <w:t>2</w:t>
            </w:r>
            <w:r>
              <w:rPr>
                <w:rFonts w:hint="eastAsia" w:ascii="Times New Roman" w:hAnsi="Times New Roman" w:cs="Times New Roman"/>
                <w:color w:val="auto"/>
                <w:sz w:val="24"/>
                <w:szCs w:val="22"/>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4"/>
                <w:szCs w:val="22"/>
                <w:highlight w:val="none"/>
                <w:lang w:val="en-US" w:eastAsia="zh-CN"/>
              </w:rPr>
            </w:pPr>
            <w:r>
              <w:rPr>
                <w:rFonts w:hint="eastAsia" w:ascii="Times New Roman" w:hAnsi="Times New Roman" w:cs="Times New Roman"/>
                <w:b/>
                <w:bCs/>
                <w:color w:val="auto"/>
                <w:sz w:val="24"/>
                <w:szCs w:val="22"/>
                <w:highlight w:val="none"/>
                <w:lang w:val="en-US" w:eastAsia="zh-CN"/>
              </w:rPr>
              <w:t>表</w:t>
            </w:r>
            <w:r>
              <w:rPr>
                <w:rFonts w:hint="eastAsia" w:cs="Times New Roman"/>
                <w:b/>
                <w:bCs/>
                <w:color w:val="auto"/>
                <w:sz w:val="24"/>
                <w:szCs w:val="22"/>
                <w:highlight w:val="none"/>
                <w:lang w:val="en-US" w:eastAsia="zh-CN"/>
              </w:rPr>
              <w:t>2</w:t>
            </w:r>
            <w:r>
              <w:rPr>
                <w:rFonts w:hint="eastAsia" w:ascii="Times New Roman" w:hAnsi="Times New Roman" w:cs="Times New Roman"/>
                <w:b/>
                <w:bCs/>
                <w:color w:val="auto"/>
                <w:sz w:val="24"/>
                <w:szCs w:val="22"/>
                <w:highlight w:val="none"/>
                <w:lang w:val="en-US" w:eastAsia="zh-CN"/>
              </w:rPr>
              <w:t xml:space="preserve">  </w:t>
            </w:r>
            <w:r>
              <w:rPr>
                <w:rFonts w:hint="eastAsia" w:cs="Times New Roman"/>
                <w:b/>
                <w:bCs/>
                <w:color w:val="auto"/>
                <w:sz w:val="24"/>
                <w:szCs w:val="22"/>
                <w:highlight w:val="none"/>
                <w:lang w:val="en-US" w:eastAsia="zh-CN"/>
              </w:rPr>
              <w:t>拟建项目</w:t>
            </w:r>
            <w:r>
              <w:rPr>
                <w:rFonts w:hint="eastAsia" w:ascii="Times New Roman" w:hAnsi="Times New Roman" w:cs="Times New Roman"/>
                <w:b/>
                <w:bCs/>
                <w:color w:val="auto"/>
                <w:sz w:val="24"/>
                <w:szCs w:val="22"/>
                <w:highlight w:val="none"/>
                <w:lang w:val="en-US" w:eastAsia="zh-CN"/>
              </w:rPr>
              <w:t>锅炉产排污情况表</w:t>
            </w:r>
          </w:p>
          <w:tbl>
            <w:tblPr>
              <w:tblStyle w:val="18"/>
              <w:tblW w:w="8076" w:type="dxa"/>
              <w:tblInd w:w="-10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79"/>
              <w:gridCol w:w="1038"/>
              <w:gridCol w:w="855"/>
              <w:gridCol w:w="1193"/>
              <w:gridCol w:w="993"/>
              <w:gridCol w:w="1047"/>
              <w:gridCol w:w="1071"/>
              <w:gridCol w:w="110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2" w:hRule="atLeast"/>
              </w:trPr>
              <w:tc>
                <w:tcPr>
                  <w:tcW w:w="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0"/>
                      <w:szCs w:val="20"/>
                      <w:highlight w:val="none"/>
                      <w:vertAlign w:val="baseline"/>
                      <w:lang w:val="en-US" w:eastAsia="zh-CN"/>
                    </w:rPr>
                  </w:pPr>
                  <w:r>
                    <w:rPr>
                      <w:rFonts w:hint="eastAsia" w:ascii="Times New Roman" w:hAnsi="Times New Roman" w:cs="Times New Roman"/>
                      <w:b/>
                      <w:bCs/>
                      <w:color w:val="auto"/>
                      <w:sz w:val="20"/>
                      <w:szCs w:val="20"/>
                      <w:highlight w:val="none"/>
                      <w:vertAlign w:val="baseline"/>
                      <w:lang w:val="en-US" w:eastAsia="zh-CN"/>
                    </w:rPr>
                    <w:t>产生单位</w:t>
                  </w:r>
                </w:p>
              </w:tc>
              <w:tc>
                <w:tcPr>
                  <w:tcW w:w="10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0"/>
                      <w:szCs w:val="20"/>
                      <w:highlight w:val="none"/>
                      <w:vertAlign w:val="baseline"/>
                      <w:lang w:val="en-US" w:eastAsia="zh-CN"/>
                    </w:rPr>
                  </w:pPr>
                  <w:r>
                    <w:rPr>
                      <w:rFonts w:hint="eastAsia" w:ascii="Times New Roman" w:hAnsi="Times New Roman" w:cs="Times New Roman"/>
                      <w:b/>
                      <w:bCs/>
                      <w:color w:val="auto"/>
                      <w:sz w:val="20"/>
                      <w:szCs w:val="20"/>
                      <w:highlight w:val="none"/>
                      <w:vertAlign w:val="baseline"/>
                      <w:lang w:val="en-US" w:eastAsia="zh-CN"/>
                    </w:rPr>
                    <w:t>污染物</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0"/>
                      <w:szCs w:val="20"/>
                      <w:highlight w:val="none"/>
                      <w:vertAlign w:val="baseline"/>
                      <w:lang w:val="en-US" w:eastAsia="zh-CN"/>
                    </w:rPr>
                  </w:pPr>
                  <w:r>
                    <w:rPr>
                      <w:rFonts w:hint="eastAsia" w:ascii="Times New Roman" w:hAnsi="Times New Roman" w:cs="Times New Roman"/>
                      <w:b/>
                      <w:bCs/>
                      <w:color w:val="auto"/>
                      <w:sz w:val="20"/>
                      <w:szCs w:val="20"/>
                      <w:highlight w:val="none"/>
                      <w:vertAlign w:val="baseline"/>
                      <w:lang w:val="en-US" w:eastAsia="zh-CN"/>
                    </w:rPr>
                    <w:t>生物质燃料量（</w:t>
                  </w:r>
                  <w:r>
                    <w:rPr>
                      <w:rFonts w:hint="eastAsia" w:cs="Times New Roman"/>
                      <w:b/>
                      <w:bCs/>
                      <w:color w:val="auto"/>
                      <w:sz w:val="20"/>
                      <w:szCs w:val="20"/>
                      <w:highlight w:val="none"/>
                      <w:vertAlign w:val="baseline"/>
                      <w:lang w:val="en-US" w:eastAsia="zh-CN"/>
                    </w:rPr>
                    <w:t>t</w:t>
                  </w:r>
                  <w:r>
                    <w:rPr>
                      <w:rFonts w:hint="eastAsia" w:ascii="Times New Roman" w:hAnsi="Times New Roman" w:cs="Times New Roman"/>
                      <w:b/>
                      <w:bCs/>
                      <w:color w:val="auto"/>
                      <w:sz w:val="20"/>
                      <w:szCs w:val="20"/>
                      <w:highlight w:val="none"/>
                      <w:vertAlign w:val="baseline"/>
                      <w:lang w:val="en-US" w:eastAsia="zh-CN"/>
                    </w:rPr>
                    <w:t>/a）</w:t>
                  </w:r>
                </w:p>
              </w:tc>
              <w:tc>
                <w:tcPr>
                  <w:tcW w:w="11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0"/>
                      <w:szCs w:val="20"/>
                      <w:highlight w:val="none"/>
                      <w:vertAlign w:val="baseline"/>
                      <w:lang w:val="en-US" w:eastAsia="zh-CN"/>
                    </w:rPr>
                  </w:pPr>
                  <w:r>
                    <w:rPr>
                      <w:rFonts w:hint="eastAsia" w:ascii="Times New Roman" w:hAnsi="Times New Roman" w:cs="Times New Roman"/>
                      <w:b/>
                      <w:bCs/>
                      <w:color w:val="auto"/>
                      <w:sz w:val="20"/>
                      <w:szCs w:val="20"/>
                      <w:highlight w:val="none"/>
                      <w:vertAlign w:val="baseline"/>
                      <w:lang w:val="en-US" w:eastAsia="zh-CN"/>
                    </w:rPr>
                    <w:t>废气量（m</w:t>
                  </w:r>
                  <w:r>
                    <w:rPr>
                      <w:rFonts w:hint="eastAsia" w:ascii="Times New Roman" w:hAnsi="Times New Roman" w:cs="Times New Roman"/>
                      <w:b/>
                      <w:bCs/>
                      <w:color w:val="auto"/>
                      <w:sz w:val="20"/>
                      <w:szCs w:val="20"/>
                      <w:highlight w:val="none"/>
                      <w:vertAlign w:val="superscript"/>
                      <w:lang w:val="en-US" w:eastAsia="zh-CN"/>
                    </w:rPr>
                    <w:t>3</w:t>
                  </w:r>
                  <w:r>
                    <w:rPr>
                      <w:rFonts w:hint="eastAsia" w:ascii="Times New Roman" w:hAnsi="Times New Roman" w:cs="Times New Roman"/>
                      <w:b/>
                      <w:bCs/>
                      <w:color w:val="auto"/>
                      <w:sz w:val="20"/>
                      <w:szCs w:val="20"/>
                      <w:highlight w:val="none"/>
                      <w:vertAlign w:val="baseline"/>
                      <w:lang w:val="en-US" w:eastAsia="zh-CN"/>
                    </w:rPr>
                    <w:t>/a）</w:t>
                  </w:r>
                </w:p>
              </w:tc>
              <w:tc>
                <w:tcPr>
                  <w:tcW w:w="9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0"/>
                      <w:szCs w:val="20"/>
                      <w:highlight w:val="none"/>
                      <w:vertAlign w:val="baseline"/>
                      <w:lang w:val="en-US" w:eastAsia="zh-CN"/>
                    </w:rPr>
                  </w:pPr>
                  <w:r>
                    <w:rPr>
                      <w:rFonts w:hint="eastAsia" w:ascii="Times New Roman" w:hAnsi="Times New Roman" w:cs="Times New Roman"/>
                      <w:b/>
                      <w:bCs/>
                      <w:color w:val="auto"/>
                      <w:sz w:val="20"/>
                      <w:szCs w:val="20"/>
                      <w:highlight w:val="none"/>
                      <w:vertAlign w:val="baseline"/>
                      <w:lang w:val="en-US" w:eastAsia="zh-CN"/>
                    </w:rPr>
                    <w:t>产生量（t/a）</w:t>
                  </w:r>
                </w:p>
              </w:tc>
              <w:tc>
                <w:tcPr>
                  <w:tcW w:w="10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0"/>
                      <w:szCs w:val="20"/>
                      <w:highlight w:val="none"/>
                      <w:vertAlign w:val="baseline"/>
                      <w:lang w:val="en-US" w:eastAsia="zh-CN"/>
                    </w:rPr>
                  </w:pPr>
                  <w:r>
                    <w:rPr>
                      <w:rFonts w:hint="eastAsia" w:ascii="Times New Roman" w:hAnsi="Times New Roman" w:cs="Times New Roman"/>
                      <w:b/>
                      <w:bCs/>
                      <w:color w:val="auto"/>
                      <w:sz w:val="20"/>
                      <w:szCs w:val="20"/>
                      <w:highlight w:val="none"/>
                      <w:vertAlign w:val="baseline"/>
                      <w:lang w:val="en-US" w:eastAsia="zh-CN"/>
                    </w:rPr>
                    <w:t>排放量（t/a）</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0"/>
                      <w:szCs w:val="20"/>
                      <w:highlight w:val="none"/>
                      <w:vertAlign w:val="baseline"/>
                      <w:lang w:val="en-US" w:eastAsia="zh-CN"/>
                    </w:rPr>
                  </w:pPr>
                  <w:r>
                    <w:rPr>
                      <w:rFonts w:hint="eastAsia" w:ascii="Times New Roman" w:hAnsi="Times New Roman" w:cs="Times New Roman"/>
                      <w:b/>
                      <w:bCs/>
                      <w:color w:val="auto"/>
                      <w:sz w:val="20"/>
                      <w:szCs w:val="20"/>
                      <w:highlight w:val="none"/>
                      <w:vertAlign w:val="baseline"/>
                      <w:lang w:val="en-US" w:eastAsia="zh-CN"/>
                    </w:rPr>
                    <w:t>排放浓度(mg/m</w:t>
                  </w:r>
                  <w:r>
                    <w:rPr>
                      <w:rFonts w:hint="eastAsia" w:ascii="Times New Roman" w:hAnsi="Times New Roman" w:cs="Times New Roman"/>
                      <w:b/>
                      <w:bCs/>
                      <w:color w:val="auto"/>
                      <w:sz w:val="20"/>
                      <w:szCs w:val="20"/>
                      <w:highlight w:val="none"/>
                      <w:vertAlign w:val="superscript"/>
                      <w:lang w:val="en-US" w:eastAsia="zh-CN"/>
                    </w:rPr>
                    <w:t>3</w:t>
                  </w:r>
                  <w:r>
                    <w:rPr>
                      <w:rFonts w:hint="eastAsia" w:ascii="Times New Roman" w:hAnsi="Times New Roman" w:cs="Times New Roman"/>
                      <w:b/>
                      <w:bCs/>
                      <w:color w:val="auto"/>
                      <w:sz w:val="20"/>
                      <w:szCs w:val="20"/>
                      <w:highlight w:val="none"/>
                      <w:vertAlign w:val="baseline"/>
                      <w:lang w:val="en-US" w:eastAsia="zh-CN"/>
                    </w:rPr>
                    <w:t>)</w:t>
                  </w:r>
                </w:p>
              </w:tc>
              <w:tc>
                <w:tcPr>
                  <w:tcW w:w="11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0"/>
                      <w:szCs w:val="20"/>
                      <w:highlight w:val="none"/>
                      <w:vertAlign w:val="baseline"/>
                      <w:lang w:val="en-US" w:eastAsia="zh-CN"/>
                    </w:rPr>
                  </w:pPr>
                  <w:r>
                    <w:rPr>
                      <w:rFonts w:hint="eastAsia" w:ascii="Times New Roman" w:hAnsi="Times New Roman" w:cs="Times New Roman"/>
                      <w:b/>
                      <w:bCs/>
                      <w:color w:val="auto"/>
                      <w:sz w:val="20"/>
                      <w:szCs w:val="20"/>
                      <w:highlight w:val="none"/>
                      <w:vertAlign w:val="baseline"/>
                      <w:lang w:val="en-US" w:eastAsia="zh-CN"/>
                    </w:rPr>
                    <w:t>标准(mg/m</w:t>
                  </w:r>
                  <w:r>
                    <w:rPr>
                      <w:rFonts w:hint="eastAsia" w:ascii="Times New Roman" w:hAnsi="Times New Roman" w:cs="Times New Roman"/>
                      <w:b/>
                      <w:bCs/>
                      <w:color w:val="auto"/>
                      <w:sz w:val="20"/>
                      <w:szCs w:val="20"/>
                      <w:highlight w:val="none"/>
                      <w:vertAlign w:val="superscript"/>
                      <w:lang w:val="en-US" w:eastAsia="zh-CN"/>
                    </w:rPr>
                    <w:t>3</w:t>
                  </w:r>
                  <w:r>
                    <w:rPr>
                      <w:rFonts w:hint="eastAsia" w:ascii="Times New Roman" w:hAnsi="Times New Roman" w:cs="Times New Roman"/>
                      <w:b/>
                      <w:bCs/>
                      <w:color w:val="auto"/>
                      <w:sz w:val="20"/>
                      <w:szCs w:val="20"/>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4" w:hRule="atLeast"/>
              </w:trPr>
              <w:tc>
                <w:tcPr>
                  <w:tcW w:w="77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锅炉房</w:t>
                  </w:r>
                </w:p>
              </w:tc>
              <w:tc>
                <w:tcPr>
                  <w:tcW w:w="10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颗粒物</w:t>
                  </w:r>
                </w:p>
              </w:tc>
              <w:tc>
                <w:tcPr>
                  <w:tcW w:w="85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2574</w:t>
                  </w:r>
                </w:p>
              </w:tc>
              <w:tc>
                <w:tcPr>
                  <w:tcW w:w="119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16061760</w:t>
                  </w:r>
                </w:p>
              </w:tc>
              <w:tc>
                <w:tcPr>
                  <w:tcW w:w="9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1.287</w:t>
                  </w:r>
                </w:p>
              </w:tc>
              <w:tc>
                <w:tcPr>
                  <w:tcW w:w="10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0.129</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4.27</w:t>
                  </w:r>
                </w:p>
              </w:tc>
              <w:tc>
                <w:tcPr>
                  <w:tcW w:w="11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77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10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lang w:val="en-US" w:eastAsia="zh-CN"/>
                    </w:rPr>
                    <w:t>SO</w:t>
                  </w:r>
                  <w:r>
                    <w:rPr>
                      <w:rFonts w:hint="eastAsia" w:ascii="Times New Roman" w:hAnsi="Times New Roman" w:cs="Times New Roman"/>
                      <w:color w:val="auto"/>
                      <w:sz w:val="21"/>
                      <w:szCs w:val="21"/>
                      <w:highlight w:val="none"/>
                      <w:vertAlign w:val="subscript"/>
                      <w:lang w:val="en-US" w:eastAsia="zh-CN"/>
                    </w:rPr>
                    <w:t>2</w:t>
                  </w:r>
                </w:p>
              </w:tc>
              <w:tc>
                <w:tcPr>
                  <w:tcW w:w="85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119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9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4.376</w:t>
                  </w:r>
                </w:p>
              </w:tc>
              <w:tc>
                <w:tcPr>
                  <w:tcW w:w="10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1.313</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43.43</w:t>
                  </w:r>
                </w:p>
              </w:tc>
              <w:tc>
                <w:tcPr>
                  <w:tcW w:w="11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300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2" w:hRule="atLeast"/>
              </w:trPr>
              <w:tc>
                <w:tcPr>
                  <w:tcW w:w="77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10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lang w:val="en-US" w:eastAsia="zh-CN"/>
                    </w:rPr>
                    <w:t>NO</w:t>
                  </w:r>
                  <w:r>
                    <w:rPr>
                      <w:rFonts w:hint="eastAsia" w:ascii="Times New Roman" w:hAnsi="Times New Roman" w:cs="Times New Roman"/>
                      <w:color w:val="auto"/>
                      <w:sz w:val="21"/>
                      <w:szCs w:val="21"/>
                      <w:highlight w:val="none"/>
                      <w:vertAlign w:val="subscript"/>
                      <w:lang w:val="en-US" w:eastAsia="zh-CN"/>
                    </w:rPr>
                    <w:t>X</w:t>
                  </w:r>
                </w:p>
              </w:tc>
              <w:tc>
                <w:tcPr>
                  <w:tcW w:w="85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119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9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2.625</w:t>
                  </w:r>
                </w:p>
              </w:tc>
              <w:tc>
                <w:tcPr>
                  <w:tcW w:w="10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2.625</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86.86</w:t>
                  </w:r>
                </w:p>
              </w:tc>
              <w:tc>
                <w:tcPr>
                  <w:tcW w:w="11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300</w:t>
                  </w:r>
                </w:p>
              </w:tc>
            </w:tr>
          </w:tbl>
          <w:p>
            <w:pPr>
              <w:bidi w:val="0"/>
              <w:rPr>
                <w:rFonts w:hint="default"/>
                <w:color w:val="FF0000"/>
                <w:highlight w:val="none"/>
                <w:lang w:val="en-US" w:eastAsia="zh-CN"/>
              </w:rPr>
            </w:pPr>
            <w:r>
              <w:rPr>
                <w:rFonts w:hint="eastAsia"/>
                <w:color w:val="FF0000"/>
                <w:highlight w:val="none"/>
                <w:lang w:val="en-US" w:eastAsia="zh-CN"/>
              </w:rPr>
              <w:t>2）汞及其化合物</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根据《污染源源强核算技术指南 锅炉》 (HJ991-2018) 汞及其化合物排放量采用物料衡算法计算，计算公式：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FF0000"/>
                <w:sz w:val="24"/>
                <w:szCs w:val="24"/>
                <w:highlight w:val="none"/>
                <w:lang w:eastAsia="zh-CN"/>
              </w:rPr>
            </w:pPr>
            <w:r>
              <w:rPr>
                <w:rFonts w:hint="default" w:ascii="Times New Roman" w:hAnsi="Times New Roman" w:eastAsia="宋体" w:cs="Times New Roman"/>
                <w:color w:val="FF0000"/>
                <w:position w:val="-24"/>
                <w:sz w:val="24"/>
                <w:szCs w:val="24"/>
                <w:highlight w:val="none"/>
              </w:rPr>
              <w:object>
                <v:shape id="_x0000_i1029" o:spt="75" type="#_x0000_t75" style="height:31pt;width:155pt;" o:ole="t" filled="f" o:preferrelative="t" stroked="f" coordsize="21600,21600">
                  <v:path/>
                  <v:fill on="f" focussize="0,0"/>
                  <v:stroke on="f"/>
                  <v:imagedata r:id="rId22" o:title=""/>
                  <o:lock v:ext="edit" aspectratio="t"/>
                  <w10:wrap type="none"/>
                  <w10:anchorlock/>
                </v:shape>
                <o:OLEObject Type="Embed" ProgID="Equation.KSEE3" ShapeID="_x0000_i1029" DrawAspect="Content" ObjectID="_1468075729" r:id="rId21">
                  <o:LockedField>false</o:LockedField>
                </o:OLEObject>
              </w:objec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color w:val="FF0000"/>
                <w:sz w:val="24"/>
                <w:szCs w:val="24"/>
                <w:highlight w:val="none"/>
                <w:lang w:val="en-US" w:eastAsia="zh-CN"/>
              </w:rPr>
            </w:pPr>
            <w:r>
              <w:rPr>
                <w:rFonts w:hint="eastAsia" w:cs="Times New Roman"/>
                <w:color w:val="FF0000"/>
                <w:sz w:val="24"/>
                <w:szCs w:val="24"/>
                <w:highlight w:val="none"/>
                <w:lang w:eastAsia="zh-CN"/>
              </w:rPr>
              <w:t>式中：</w:t>
            </w:r>
            <w:r>
              <w:rPr>
                <w:rFonts w:hint="eastAsia" w:cs="Times New Roman"/>
                <w:color w:val="FF0000"/>
                <w:sz w:val="24"/>
                <w:szCs w:val="24"/>
                <w:highlight w:val="none"/>
                <w:lang w:val="en-US" w:eastAsia="zh-CN"/>
              </w:rPr>
              <w:t>E</w:t>
            </w:r>
            <w:r>
              <w:rPr>
                <w:rFonts w:hint="eastAsia" w:cs="Times New Roman"/>
                <w:color w:val="FF0000"/>
                <w:sz w:val="24"/>
                <w:szCs w:val="24"/>
                <w:highlight w:val="none"/>
                <w:vertAlign w:val="subscript"/>
                <w:lang w:val="en-US" w:eastAsia="zh-CN"/>
              </w:rPr>
              <w:t>Hg</w:t>
            </w:r>
            <w:r>
              <w:rPr>
                <w:rFonts w:hint="eastAsia" w:cs="Times New Roman"/>
                <w:color w:val="FF0000"/>
                <w:sz w:val="24"/>
                <w:szCs w:val="24"/>
                <w:highlight w:val="none"/>
                <w:lang w:val="en-US" w:eastAsia="zh-CN"/>
              </w:rPr>
              <w:t>——核算时段内汞及其化合物排放量（以汞计），t；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textAlignment w:val="auto"/>
              <w:rPr>
                <w:rFonts w:hint="eastAsia" w:cs="Times New Roman"/>
                <w:color w:val="FF0000"/>
                <w:sz w:val="24"/>
                <w:szCs w:val="24"/>
                <w:highlight w:val="none"/>
                <w:lang w:val="en-US" w:eastAsia="zh-CN"/>
              </w:rPr>
            </w:pPr>
            <w:r>
              <w:rPr>
                <w:rFonts w:hint="eastAsia" w:cs="Times New Roman"/>
                <w:color w:val="FF0000"/>
                <w:sz w:val="24"/>
                <w:szCs w:val="24"/>
                <w:highlight w:val="none"/>
                <w:lang w:val="en-US" w:eastAsia="zh-CN"/>
              </w:rPr>
              <w:t>R——核算时段内锅炉燃料耗量，t；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textAlignment w:val="auto"/>
              <w:rPr>
                <w:rFonts w:hint="eastAsia" w:ascii="Times New Roman" w:hAnsi="Times New Roman" w:cs="Times New Roman"/>
                <w:color w:val="FF0000"/>
                <w:sz w:val="24"/>
                <w:szCs w:val="24"/>
                <w:highlight w:val="none"/>
                <w:vertAlign w:val="baseline"/>
                <w:lang w:val="en-US" w:eastAsia="zh-CN"/>
              </w:rPr>
            </w:pPr>
            <w:r>
              <w:rPr>
                <w:rFonts w:hint="eastAsia" w:cs="Times New Roman"/>
                <w:color w:val="FF0000"/>
                <w:sz w:val="24"/>
                <w:szCs w:val="24"/>
                <w:highlight w:val="none"/>
                <w:lang w:val="en-US" w:eastAsia="zh-CN"/>
              </w:rPr>
              <w:t>m</w:t>
            </w:r>
            <w:r>
              <w:rPr>
                <w:rFonts w:hint="eastAsia" w:cs="Times New Roman"/>
                <w:color w:val="FF0000"/>
                <w:sz w:val="24"/>
                <w:szCs w:val="24"/>
                <w:highlight w:val="none"/>
                <w:vertAlign w:val="subscript"/>
                <w:lang w:val="en-US" w:eastAsia="zh-CN"/>
              </w:rPr>
              <w:t>Hg</w:t>
            </w:r>
            <w:r>
              <w:rPr>
                <w:rFonts w:hint="default" w:ascii="Times New Roman" w:hAnsi="Times New Roman" w:cs="Times New Roman"/>
                <w:color w:val="FF0000"/>
                <w:sz w:val="24"/>
                <w:szCs w:val="24"/>
                <w:highlight w:val="none"/>
                <w:vertAlign w:val="subscript"/>
                <w:lang w:val="en-US" w:eastAsia="zh-CN"/>
              </w:rPr>
              <w:t>αγ</w:t>
            </w:r>
            <w:r>
              <w:rPr>
                <w:rFonts w:hint="eastAsia" w:ascii="Times New Roman" w:hAnsi="Times New Roman" w:cs="Times New Roman"/>
                <w:color w:val="FF0000"/>
                <w:sz w:val="24"/>
                <w:szCs w:val="24"/>
                <w:highlight w:val="none"/>
                <w:vertAlign w:val="baseline"/>
                <w:lang w:val="en-US" w:eastAsia="zh-CN"/>
              </w:rPr>
              <w:t>——收到基汞的含量，</w:t>
            </w:r>
            <w:r>
              <w:rPr>
                <w:rFonts w:hint="default" w:ascii="Times New Roman" w:hAnsi="Times New Roman" w:cs="Times New Roman"/>
                <w:color w:val="FF0000"/>
                <w:sz w:val="24"/>
                <w:szCs w:val="24"/>
                <w:highlight w:val="none"/>
                <w:vertAlign w:val="baseline"/>
                <w:lang w:val="en-US" w:eastAsia="zh-CN"/>
              </w:rPr>
              <w:t>µ</w:t>
            </w:r>
            <w:r>
              <w:rPr>
                <w:rFonts w:hint="eastAsia" w:ascii="Times New Roman" w:hAnsi="Times New Roman" w:cs="Times New Roman"/>
                <w:color w:val="FF0000"/>
                <w:sz w:val="24"/>
                <w:szCs w:val="24"/>
                <w:highlight w:val="none"/>
                <w:vertAlign w:val="baseline"/>
                <w:lang w:val="en-US" w:eastAsia="zh-CN"/>
              </w:rPr>
              <w:t>g/g；</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FF0000"/>
                <w:sz w:val="24"/>
                <w:szCs w:val="24"/>
                <w:highlight w:val="none"/>
                <w:vertAlign w:val="baseline"/>
                <w:lang w:val="en-US" w:eastAsia="zh-CN"/>
              </w:rPr>
            </w:pPr>
            <w:r>
              <w:rPr>
                <w:rFonts w:hint="default" w:ascii="Times New Roman" w:hAnsi="Times New Roman" w:eastAsia="宋体" w:cs="Times New Roman"/>
                <w:color w:val="FF0000"/>
                <w:sz w:val="24"/>
                <w:szCs w:val="24"/>
                <w:highlight w:val="none"/>
                <w:vertAlign w:val="baseline"/>
                <w:lang w:val="en-US" w:eastAsia="zh-CN"/>
              </w:rPr>
              <w:t>η</w:t>
            </w:r>
            <w:r>
              <w:rPr>
                <w:rFonts w:hint="default" w:ascii="Times New Roman" w:hAnsi="Times New Roman" w:cs="Times New Roman"/>
                <w:color w:val="FF0000"/>
                <w:sz w:val="24"/>
                <w:szCs w:val="24"/>
                <w:highlight w:val="none"/>
                <w:vertAlign w:val="baseline"/>
                <w:lang w:val="en-US" w:eastAsia="zh-CN"/>
              </w:rPr>
              <w:t>Hg——汞的协同脱除效率，%</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查阅相关文献《中国农村地区生物质成型燃料燃烧的汞排放研究》，生物质成型燃料汞及其化合物的平均含量为11.60ng/g。</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kern w:val="0"/>
                <w:sz w:val="24"/>
                <w:szCs w:val="24"/>
                <w:highlight w:val="none"/>
              </w:rPr>
              <w:t>本项目生物质成型燃料</w:t>
            </w:r>
            <w:r>
              <w:rPr>
                <w:rFonts w:hint="default" w:ascii="Times New Roman" w:hAnsi="Times New Roman" w:eastAsia="宋体" w:cs="Times New Roman"/>
                <w:color w:val="FF0000"/>
                <w:sz w:val="24"/>
                <w:szCs w:val="24"/>
                <w:highlight w:val="none"/>
              </w:rPr>
              <w:t>消耗量为</w:t>
            </w:r>
            <w:r>
              <w:rPr>
                <w:rFonts w:hint="eastAsia" w:cs="Times New Roman"/>
                <w:color w:val="FF0000"/>
                <w:sz w:val="24"/>
                <w:szCs w:val="24"/>
                <w:highlight w:val="none"/>
                <w:lang w:val="en-US" w:eastAsia="zh-CN"/>
              </w:rPr>
              <w:t>2574</w:t>
            </w:r>
            <w:r>
              <w:rPr>
                <w:rFonts w:hint="default" w:ascii="Times New Roman" w:hAnsi="Times New Roman" w:eastAsia="宋体" w:cs="Times New Roman"/>
                <w:color w:val="FF0000"/>
                <w:sz w:val="24"/>
                <w:szCs w:val="24"/>
                <w:highlight w:val="none"/>
              </w:rPr>
              <w:t>t/a</w:t>
            </w:r>
            <w:r>
              <w:rPr>
                <w:rFonts w:hint="default" w:ascii="Times New Roman" w:hAnsi="Times New Roman" w:eastAsia="宋体" w:cs="Times New Roman"/>
                <w:color w:val="FF0000"/>
                <w:sz w:val="24"/>
                <w:szCs w:val="24"/>
                <w:highlight w:val="none"/>
                <w:lang w:eastAsia="zh-CN"/>
              </w:rPr>
              <w:t>，</w:t>
            </w:r>
            <w:r>
              <w:rPr>
                <w:rFonts w:hint="default" w:ascii="Times New Roman" w:hAnsi="Times New Roman" w:eastAsia="宋体" w:cs="Times New Roman"/>
                <w:b w:val="0"/>
                <w:bCs w:val="0"/>
                <w:color w:val="FF0000"/>
                <w:kern w:val="0"/>
                <w:sz w:val="24"/>
                <w:szCs w:val="24"/>
                <w:highlight w:val="none"/>
                <w:lang w:val="en-US" w:eastAsia="zh-CN"/>
              </w:rPr>
              <w:t>则1台</w:t>
            </w:r>
            <w:r>
              <w:rPr>
                <w:rFonts w:hint="eastAsia" w:cs="Times New Roman"/>
                <w:b w:val="0"/>
                <w:bCs w:val="0"/>
                <w:color w:val="FF0000"/>
                <w:kern w:val="0"/>
                <w:sz w:val="24"/>
                <w:szCs w:val="24"/>
                <w:highlight w:val="none"/>
                <w:lang w:val="en-US" w:eastAsia="zh-CN"/>
              </w:rPr>
              <w:t>8t/h</w:t>
            </w:r>
            <w:r>
              <w:rPr>
                <w:rFonts w:hint="default" w:ascii="Times New Roman" w:hAnsi="Times New Roman" w:eastAsia="宋体" w:cs="Times New Roman"/>
                <w:b w:val="0"/>
                <w:bCs w:val="0"/>
                <w:color w:val="FF0000"/>
                <w:kern w:val="0"/>
                <w:sz w:val="24"/>
                <w:szCs w:val="24"/>
                <w:highlight w:val="none"/>
                <w:lang w:val="en-US" w:eastAsia="zh-CN"/>
              </w:rPr>
              <w:t>生物质热水锅炉</w:t>
            </w:r>
            <w:r>
              <w:rPr>
                <w:rFonts w:hint="default" w:ascii="Times New Roman" w:hAnsi="Times New Roman" w:eastAsia="宋体" w:cs="Times New Roman"/>
                <w:color w:val="FF0000"/>
                <w:sz w:val="24"/>
                <w:szCs w:val="24"/>
                <w:highlight w:val="none"/>
              </w:rPr>
              <w:t>汞及其化合物产生量=</w:t>
            </w:r>
            <w:r>
              <w:rPr>
                <w:rFonts w:hint="eastAsia" w:cs="Times New Roman"/>
                <w:color w:val="FF0000"/>
                <w:sz w:val="24"/>
                <w:szCs w:val="24"/>
                <w:highlight w:val="none"/>
                <w:lang w:val="en-US" w:eastAsia="zh-CN"/>
              </w:rPr>
              <w:t>2574</w:t>
            </w:r>
            <w:r>
              <w:rPr>
                <w:rFonts w:hint="default" w:ascii="Times New Roman" w:hAnsi="Times New Roman" w:eastAsia="宋体" w:cs="Times New Roman"/>
                <w:color w:val="FF0000"/>
                <w:sz w:val="24"/>
                <w:szCs w:val="24"/>
                <w:highlight w:val="none"/>
                <w:lang w:val="en-US" w:eastAsia="zh-CN"/>
              </w:rPr>
              <w:t>t/a</w:t>
            </w:r>
            <w:r>
              <w:rPr>
                <w:rFonts w:hint="default" w:ascii="Times New Roman" w:hAnsi="Times New Roman" w:eastAsia="宋体" w:cs="Times New Roman"/>
                <w:color w:val="FF0000"/>
                <w:sz w:val="24"/>
                <w:szCs w:val="24"/>
                <w:highlight w:val="none"/>
              </w:rPr>
              <w:t>×</w:t>
            </w:r>
            <w:r>
              <w:rPr>
                <w:rFonts w:hint="default" w:ascii="Times New Roman" w:hAnsi="Times New Roman" w:eastAsia="宋体" w:cs="Times New Roman"/>
                <w:color w:val="FF0000"/>
                <w:sz w:val="24"/>
                <w:szCs w:val="24"/>
                <w:highlight w:val="none"/>
                <w:lang w:val="en-US" w:eastAsia="zh-CN"/>
              </w:rPr>
              <w:t>11.60ng</w:t>
            </w:r>
            <w:r>
              <w:rPr>
                <w:rFonts w:hint="default" w:ascii="Times New Roman" w:hAnsi="Times New Roman" w:eastAsia="宋体" w:cs="Times New Roman"/>
                <w:color w:val="FF0000"/>
                <w:sz w:val="24"/>
                <w:szCs w:val="24"/>
                <w:highlight w:val="none"/>
              </w:rPr>
              <w:t>/g×</w:t>
            </w:r>
            <w:r>
              <w:rPr>
                <w:rFonts w:hint="default" w:ascii="Times New Roman" w:hAnsi="Times New Roman" w:eastAsia="宋体" w:cs="Times New Roman"/>
                <w:color w:val="FF0000"/>
                <w:sz w:val="24"/>
                <w:szCs w:val="24"/>
                <w:highlight w:val="none"/>
                <w:lang w:val="en-US" w:eastAsia="zh-CN"/>
              </w:rPr>
              <w:t>10</w:t>
            </w:r>
            <w:r>
              <w:rPr>
                <w:rFonts w:hint="default" w:ascii="Times New Roman" w:hAnsi="Times New Roman" w:eastAsia="宋体" w:cs="Times New Roman"/>
                <w:color w:val="FF0000"/>
                <w:sz w:val="24"/>
                <w:szCs w:val="24"/>
                <w:highlight w:val="none"/>
                <w:vertAlign w:val="superscript"/>
                <w:lang w:val="en-US" w:eastAsia="zh-CN"/>
              </w:rPr>
              <w:t>-3</w:t>
            </w:r>
            <w:r>
              <w:rPr>
                <w:rFonts w:hint="default" w:ascii="Times New Roman" w:hAnsi="Times New Roman" w:eastAsia="宋体" w:cs="Times New Roman"/>
                <w:color w:val="FF0000"/>
                <w:sz w:val="24"/>
                <w:szCs w:val="24"/>
                <w:highlight w:val="none"/>
              </w:rPr>
              <w:t>×</w:t>
            </w:r>
            <w:r>
              <w:rPr>
                <w:rFonts w:hint="default" w:ascii="Times New Roman" w:hAnsi="Times New Roman" w:eastAsia="宋体" w:cs="Times New Roman"/>
                <w:color w:val="FF0000"/>
                <w:sz w:val="24"/>
                <w:szCs w:val="24"/>
                <w:highlight w:val="none"/>
                <w:lang w:val="en-US" w:eastAsia="zh-CN"/>
              </w:rPr>
              <w:t>10</w:t>
            </w:r>
            <w:r>
              <w:rPr>
                <w:rFonts w:hint="default" w:ascii="Times New Roman" w:hAnsi="Times New Roman" w:eastAsia="宋体" w:cs="Times New Roman"/>
                <w:color w:val="FF0000"/>
                <w:sz w:val="24"/>
                <w:szCs w:val="24"/>
                <w:highlight w:val="none"/>
                <w:vertAlign w:val="superscript"/>
                <w:lang w:val="en-US" w:eastAsia="zh-CN"/>
              </w:rPr>
              <w:t>-6</w:t>
            </w:r>
            <w:r>
              <w:rPr>
                <w:rFonts w:hint="default" w:ascii="Times New Roman" w:hAnsi="Times New Roman" w:eastAsia="宋体" w:cs="Times New Roman"/>
                <w:color w:val="FF0000"/>
                <w:sz w:val="24"/>
                <w:szCs w:val="24"/>
                <w:highlight w:val="none"/>
              </w:rPr>
              <w:t>=</w:t>
            </w:r>
            <w:r>
              <w:rPr>
                <w:rFonts w:hint="default" w:ascii="Times New Roman" w:hAnsi="Times New Roman" w:eastAsia="宋体" w:cs="Times New Roman"/>
                <w:b w:val="0"/>
                <w:bCs w:val="0"/>
                <w:color w:val="FF0000"/>
                <w:sz w:val="24"/>
                <w:szCs w:val="24"/>
                <w:highlight w:val="none"/>
                <w:lang w:val="en-US" w:eastAsia="zh-CN"/>
              </w:rPr>
              <w:t>0.000</w:t>
            </w:r>
            <w:r>
              <w:rPr>
                <w:rFonts w:hint="eastAsia" w:ascii="Times New Roman" w:hAnsi="Times New Roman" w:eastAsia="宋体" w:cs="Times New Roman"/>
                <w:b w:val="0"/>
                <w:bCs w:val="0"/>
                <w:color w:val="FF0000"/>
                <w:sz w:val="24"/>
                <w:szCs w:val="24"/>
                <w:highlight w:val="none"/>
                <w:lang w:val="en-US" w:eastAsia="zh-CN"/>
              </w:rPr>
              <w:t>3</w:t>
            </w:r>
            <w:r>
              <w:rPr>
                <w:rFonts w:hint="default" w:ascii="Times New Roman" w:hAnsi="Times New Roman" w:eastAsia="宋体" w:cs="Times New Roman"/>
                <w:b w:val="0"/>
                <w:bCs w:val="0"/>
                <w:color w:val="FF0000"/>
                <w:sz w:val="24"/>
                <w:szCs w:val="24"/>
                <w:highlight w:val="none"/>
                <w:lang w:val="en-US" w:eastAsia="zh-CN"/>
              </w:rPr>
              <w:t>t/a</w:t>
            </w:r>
            <w:r>
              <w:rPr>
                <w:rFonts w:hint="default" w:ascii="Times New Roman" w:hAnsi="Times New Roman" w:eastAsia="宋体" w:cs="Times New Roman"/>
                <w:color w:val="FF0000"/>
                <w:sz w:val="24"/>
                <w:szCs w:val="24"/>
                <w:highlight w:val="none"/>
              </w:rPr>
              <w:t>。</w:t>
            </w:r>
          </w:p>
          <w:p>
            <w:pPr>
              <w:pStyle w:val="10"/>
              <w:keepNext w:val="0"/>
              <w:keepLines/>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FF0000"/>
                <w:kern w:val="2"/>
                <w:sz w:val="24"/>
                <w:szCs w:val="24"/>
                <w:highlight w:val="none"/>
                <w:lang w:val="en-US" w:eastAsia="zh-CN" w:bidi="ar"/>
              </w:rPr>
            </w:pPr>
            <w:r>
              <w:rPr>
                <w:rFonts w:hint="default" w:ascii="Times New Roman" w:hAnsi="Times New Roman" w:eastAsia="宋体" w:cs="Times New Roman"/>
                <w:color w:val="FF0000"/>
                <w:sz w:val="24"/>
                <w:szCs w:val="24"/>
                <w:highlight w:val="none"/>
                <w:lang w:eastAsia="zh-CN"/>
              </w:rPr>
              <w:t>废气</w:t>
            </w:r>
            <w:r>
              <w:rPr>
                <w:rFonts w:hint="default" w:ascii="Times New Roman" w:hAnsi="Times New Roman" w:eastAsia="宋体" w:cs="Times New Roman"/>
                <w:color w:val="FF0000"/>
                <w:sz w:val="24"/>
                <w:szCs w:val="24"/>
                <w:highlight w:val="none"/>
              </w:rPr>
              <w:t>采用</w:t>
            </w:r>
            <w:r>
              <w:rPr>
                <w:rFonts w:hint="default" w:ascii="Times New Roman" w:hAnsi="Times New Roman" w:eastAsia="宋体" w:cs="Times New Roman"/>
                <w:color w:val="FF0000"/>
                <w:sz w:val="24"/>
                <w:szCs w:val="24"/>
                <w:highlight w:val="none"/>
                <w:lang w:eastAsia="zh-CN"/>
              </w:rPr>
              <w:t>布袋除尘器</w:t>
            </w:r>
            <w:r>
              <w:rPr>
                <w:rFonts w:hint="default" w:ascii="Times New Roman" w:hAnsi="Times New Roman" w:eastAsia="宋体" w:cs="Times New Roman"/>
                <w:color w:val="FF0000"/>
                <w:sz w:val="24"/>
                <w:szCs w:val="20"/>
                <w:highlight w:val="none"/>
                <w:lang w:val="en-US" w:eastAsia="zh-CN"/>
              </w:rPr>
              <w:t>+</w:t>
            </w:r>
            <w:r>
              <w:rPr>
                <w:rFonts w:hint="eastAsia" w:ascii="Times New Roman" w:hAnsi="Times New Roman" w:eastAsia="宋体" w:cs="Times New Roman"/>
                <w:color w:val="FF0000"/>
                <w:sz w:val="24"/>
                <w:szCs w:val="20"/>
                <w:highlight w:val="none"/>
                <w:lang w:val="en-US" w:eastAsia="zh-CN"/>
              </w:rPr>
              <w:t>双碱法脱硫除尘系统</w:t>
            </w:r>
            <w:r>
              <w:rPr>
                <w:rFonts w:hint="default" w:ascii="Times New Roman" w:hAnsi="Times New Roman" w:eastAsia="宋体" w:cs="Times New Roman"/>
                <w:color w:val="FF0000"/>
                <w:sz w:val="24"/>
                <w:szCs w:val="24"/>
                <w:highlight w:val="none"/>
              </w:rPr>
              <w:t>进行处理</w:t>
            </w:r>
            <w:r>
              <w:rPr>
                <w:rFonts w:hint="default" w:ascii="Times New Roman" w:hAnsi="Times New Roman" w:eastAsia="宋体" w:cs="Times New Roman"/>
                <w:color w:val="FF0000"/>
                <w:sz w:val="24"/>
                <w:szCs w:val="24"/>
                <w:highlight w:val="none"/>
                <w:lang w:eastAsia="zh-CN"/>
              </w:rPr>
              <w:t>，</w:t>
            </w:r>
            <w:r>
              <w:rPr>
                <w:rFonts w:hint="default" w:ascii="Times New Roman" w:hAnsi="Times New Roman" w:eastAsia="宋体" w:cs="Times New Roman"/>
                <w:color w:val="FF0000"/>
                <w:kern w:val="2"/>
                <w:sz w:val="24"/>
                <w:szCs w:val="24"/>
                <w:highlight w:val="none"/>
                <w:lang w:val="en-US" w:eastAsia="zh-CN" w:bidi="ar"/>
              </w:rPr>
              <w:t>烟气除尘和湿法脱硫等污染防治对汞及其化合物具有协同脱出效果，脱除效率约为70%</w:t>
            </w:r>
            <w:r>
              <w:rPr>
                <w:rFonts w:hint="eastAsia" w:ascii="Times New Roman" w:cs="Times New Roman"/>
                <w:color w:val="FF0000"/>
                <w:kern w:val="2"/>
                <w:sz w:val="24"/>
                <w:szCs w:val="24"/>
                <w:highlight w:val="none"/>
                <w:lang w:val="en-US" w:eastAsia="zh-CN" w:bidi="ar"/>
              </w:rPr>
              <w:t>。</w:t>
            </w:r>
          </w:p>
          <w:p>
            <w:pPr>
              <w:pStyle w:val="10"/>
              <w:keepNext w:val="0"/>
              <w:keepLines/>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FF0000"/>
                <w:kern w:val="2"/>
                <w:sz w:val="24"/>
                <w:szCs w:val="24"/>
                <w:highlight w:val="none"/>
                <w:lang w:val="en-US" w:eastAsia="zh-CN" w:bidi="ar"/>
              </w:rPr>
            </w:pPr>
            <w:r>
              <w:rPr>
                <w:rFonts w:hint="default" w:ascii="Times New Roman" w:hAnsi="Times New Roman" w:eastAsia="宋体" w:cs="Times New Roman"/>
                <w:color w:val="FF0000"/>
                <w:sz w:val="24"/>
                <w:szCs w:val="24"/>
                <w:highlight w:val="none"/>
                <w:lang w:val="en-US" w:eastAsia="zh-CN"/>
              </w:rPr>
              <w:t>1台</w:t>
            </w:r>
            <w:r>
              <w:rPr>
                <w:rFonts w:hint="eastAsia" w:ascii="Times New Roman" w:cs="Times New Roman"/>
                <w:color w:val="FF0000"/>
                <w:sz w:val="24"/>
                <w:szCs w:val="24"/>
                <w:highlight w:val="none"/>
                <w:lang w:val="en-US" w:eastAsia="zh-CN"/>
              </w:rPr>
              <w:t>8t/h</w:t>
            </w:r>
            <w:r>
              <w:rPr>
                <w:rFonts w:hint="default" w:ascii="Times New Roman" w:hAnsi="Times New Roman" w:eastAsia="宋体" w:cs="Times New Roman"/>
                <w:color w:val="FF0000"/>
                <w:sz w:val="24"/>
                <w:szCs w:val="24"/>
                <w:highlight w:val="none"/>
                <w:lang w:val="en-US" w:eastAsia="zh-CN"/>
              </w:rPr>
              <w:t>生物质热水锅炉</w:t>
            </w:r>
            <w:r>
              <w:rPr>
                <w:rFonts w:hint="default" w:ascii="Times New Roman" w:hAnsi="Times New Roman" w:eastAsia="宋体" w:cs="Times New Roman"/>
                <w:color w:val="FF0000"/>
                <w:kern w:val="2"/>
                <w:sz w:val="24"/>
                <w:szCs w:val="24"/>
                <w:highlight w:val="none"/>
                <w:lang w:val="en-US" w:eastAsia="zh-CN" w:bidi="ar"/>
              </w:rPr>
              <w:t>汞及其化合物排放量为0.0000</w:t>
            </w:r>
            <w:r>
              <w:rPr>
                <w:rFonts w:hint="eastAsia" w:ascii="Times New Roman" w:cs="Times New Roman"/>
                <w:color w:val="FF0000"/>
                <w:kern w:val="2"/>
                <w:sz w:val="24"/>
                <w:szCs w:val="24"/>
                <w:highlight w:val="none"/>
                <w:lang w:val="en-US" w:eastAsia="zh-CN" w:bidi="ar"/>
              </w:rPr>
              <w:t>9</w:t>
            </w:r>
            <w:r>
              <w:rPr>
                <w:rFonts w:hint="default" w:ascii="Times New Roman" w:hAnsi="Times New Roman" w:eastAsia="宋体" w:cs="Times New Roman"/>
                <w:color w:val="FF0000"/>
                <w:kern w:val="2"/>
                <w:sz w:val="24"/>
                <w:szCs w:val="24"/>
                <w:highlight w:val="none"/>
                <w:lang w:val="en-US" w:eastAsia="zh-CN" w:bidi="ar"/>
              </w:rPr>
              <w:t>t/a。</w:t>
            </w:r>
          </w:p>
          <w:p>
            <w:pPr>
              <w:pStyle w:val="10"/>
              <w:keepNext w:val="0"/>
              <w:keepLines/>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FF0000"/>
                <w:szCs w:val="24"/>
                <w:highlight w:val="none"/>
                <w:lang w:val="en-US" w:eastAsia="zh-CN"/>
              </w:rPr>
            </w:pPr>
            <w:r>
              <w:rPr>
                <w:rFonts w:hint="default" w:ascii="Times New Roman" w:hAnsi="Times New Roman" w:eastAsia="宋体" w:cs="Times New Roman"/>
                <w:color w:val="FF0000"/>
                <w:sz w:val="24"/>
                <w:szCs w:val="24"/>
                <w:highlight w:val="none"/>
                <w:lang w:eastAsia="zh-CN"/>
              </w:rPr>
              <w:t>项目1台</w:t>
            </w:r>
            <w:r>
              <w:rPr>
                <w:rFonts w:hint="eastAsia" w:ascii="Times New Roman" w:cs="Times New Roman"/>
                <w:color w:val="FF0000"/>
                <w:sz w:val="24"/>
                <w:szCs w:val="24"/>
                <w:highlight w:val="none"/>
                <w:lang w:val="en-US" w:eastAsia="zh-CN"/>
              </w:rPr>
              <w:t>8t/h</w:t>
            </w:r>
            <w:r>
              <w:rPr>
                <w:rFonts w:hint="default" w:ascii="Times New Roman" w:hAnsi="Times New Roman" w:eastAsia="宋体" w:cs="Times New Roman"/>
                <w:color w:val="FF0000"/>
                <w:sz w:val="24"/>
                <w:szCs w:val="24"/>
                <w:highlight w:val="none"/>
                <w:lang w:eastAsia="zh-CN"/>
              </w:rPr>
              <w:t>生物质热水锅炉废气的</w:t>
            </w:r>
            <w:r>
              <w:rPr>
                <w:rFonts w:hint="default" w:ascii="Times New Roman" w:hAnsi="Times New Roman" w:eastAsia="宋体" w:cs="Times New Roman"/>
                <w:color w:val="FF0000"/>
                <w:sz w:val="24"/>
                <w:szCs w:val="24"/>
                <w:highlight w:val="none"/>
              </w:rPr>
              <w:t>产排情况见表</w:t>
            </w:r>
            <w:r>
              <w:rPr>
                <w:rFonts w:hint="eastAsia" w:ascii="Times New Roman" w:cs="Times New Roman"/>
                <w:color w:val="FF0000"/>
                <w:sz w:val="24"/>
                <w:szCs w:val="24"/>
                <w:highlight w:val="none"/>
                <w:lang w:val="en-US" w:eastAsia="zh-CN"/>
              </w:rPr>
              <w:t>3</w:t>
            </w:r>
            <w:r>
              <w:rPr>
                <w:rFonts w:hint="default" w:ascii="Times New Roman" w:hAnsi="Times New Roman" w:eastAsia="宋体" w:cs="Times New Roman"/>
                <w:color w:val="FF0000"/>
                <w:sz w:val="24"/>
                <w:szCs w:val="24"/>
                <w:highlight w:val="none"/>
              </w:rPr>
              <w:t>。</w:t>
            </w:r>
          </w:p>
          <w:p>
            <w:pPr>
              <w:widowControl/>
              <w:spacing w:line="240" w:lineRule="auto"/>
              <w:ind w:firstLine="482" w:firstLineChars="200"/>
              <w:jc w:val="center"/>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表</w:t>
            </w:r>
            <w:r>
              <w:rPr>
                <w:rFonts w:hint="eastAsia" w:cs="Times New Roman"/>
                <w:b/>
                <w:bCs/>
                <w:color w:val="FF0000"/>
                <w:sz w:val="24"/>
                <w:szCs w:val="24"/>
                <w:highlight w:val="none"/>
                <w:lang w:val="en-US" w:eastAsia="zh-CN"/>
              </w:rPr>
              <w:t>3</w:t>
            </w:r>
            <w:r>
              <w:rPr>
                <w:rFonts w:hint="eastAsia" w:ascii="Times New Roman" w:hAnsi="Times New Roman" w:cs="Times New Roman"/>
                <w:b/>
                <w:bCs/>
                <w:color w:val="FF0000"/>
                <w:sz w:val="24"/>
                <w:szCs w:val="24"/>
                <w:highlight w:val="none"/>
                <w:lang w:val="en-US" w:eastAsia="zh-CN"/>
              </w:rPr>
              <w:t xml:space="preserve">  </w:t>
            </w:r>
            <w:r>
              <w:rPr>
                <w:rFonts w:hint="default" w:ascii="Times New Roman" w:hAnsi="Times New Roman" w:eastAsia="宋体" w:cs="Times New Roman"/>
                <w:b/>
                <w:bCs/>
                <w:color w:val="FF0000"/>
                <w:sz w:val="24"/>
                <w:szCs w:val="24"/>
                <w:highlight w:val="none"/>
              </w:rPr>
              <w:t>本项目大气污染物产排情况汇总</w:t>
            </w:r>
          </w:p>
          <w:tbl>
            <w:tblPr>
              <w:tblStyle w:val="18"/>
              <w:tblW w:w="7946"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20"/>
              <w:gridCol w:w="473"/>
              <w:gridCol w:w="748"/>
              <w:gridCol w:w="696"/>
              <w:gridCol w:w="852"/>
              <w:gridCol w:w="732"/>
              <w:gridCol w:w="2196"/>
              <w:gridCol w:w="960"/>
              <w:gridCol w:w="76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bCs/>
                      <w:color w:val="FF0000"/>
                      <w:sz w:val="21"/>
                      <w:szCs w:val="21"/>
                      <w:highlight w:val="none"/>
                      <w:vertAlign w:val="baseline"/>
                      <w:lang w:val="en-US" w:eastAsia="zh-CN"/>
                    </w:rPr>
                  </w:pPr>
                  <w:r>
                    <w:rPr>
                      <w:rFonts w:hint="eastAsia" w:cs="Times New Roman"/>
                      <w:b/>
                      <w:bCs/>
                      <w:color w:val="FF0000"/>
                      <w:sz w:val="21"/>
                      <w:szCs w:val="21"/>
                      <w:highlight w:val="none"/>
                      <w:vertAlign w:val="baseline"/>
                      <w:lang w:val="en-US" w:eastAsia="zh-CN"/>
                    </w:rPr>
                    <w:t>污染源</w:t>
                  </w:r>
                </w:p>
              </w:tc>
              <w:tc>
                <w:tcPr>
                  <w:tcW w:w="7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bCs/>
                      <w:color w:val="FF0000"/>
                      <w:sz w:val="21"/>
                      <w:szCs w:val="21"/>
                      <w:highlight w:val="none"/>
                      <w:vertAlign w:val="baseline"/>
                      <w:lang w:val="en-US" w:eastAsia="zh-CN"/>
                    </w:rPr>
                  </w:pPr>
                  <w:r>
                    <w:rPr>
                      <w:rFonts w:hint="eastAsia" w:cs="Times New Roman"/>
                      <w:b/>
                      <w:bCs/>
                      <w:color w:val="FF0000"/>
                      <w:sz w:val="21"/>
                      <w:szCs w:val="21"/>
                      <w:highlight w:val="none"/>
                      <w:vertAlign w:val="baseline"/>
                      <w:lang w:val="en-US" w:eastAsia="zh-CN"/>
                    </w:rPr>
                    <w:t>核算方法</w:t>
                  </w:r>
                </w:p>
              </w:tc>
              <w:tc>
                <w:tcPr>
                  <w:tcW w:w="6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bCs/>
                      <w:color w:val="FF0000"/>
                      <w:sz w:val="21"/>
                      <w:szCs w:val="21"/>
                      <w:highlight w:val="none"/>
                      <w:vertAlign w:val="baseline"/>
                      <w:lang w:val="en-US" w:eastAsia="zh-CN"/>
                    </w:rPr>
                  </w:pPr>
                  <w:r>
                    <w:rPr>
                      <w:rFonts w:hint="eastAsia" w:cs="Times New Roman"/>
                      <w:b/>
                      <w:bCs/>
                      <w:color w:val="FF0000"/>
                      <w:sz w:val="21"/>
                      <w:szCs w:val="21"/>
                      <w:highlight w:val="none"/>
                      <w:vertAlign w:val="baseline"/>
                      <w:lang w:val="en-US" w:eastAsia="zh-CN"/>
                    </w:rPr>
                    <w:t>工作时间</w:t>
                  </w:r>
                </w:p>
              </w:tc>
              <w:tc>
                <w:tcPr>
                  <w:tcW w:w="8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bCs/>
                      <w:color w:val="FF0000"/>
                      <w:sz w:val="21"/>
                      <w:szCs w:val="21"/>
                      <w:highlight w:val="none"/>
                      <w:vertAlign w:val="baseline"/>
                      <w:lang w:val="en-US" w:eastAsia="zh-CN"/>
                    </w:rPr>
                  </w:pPr>
                  <w:r>
                    <w:rPr>
                      <w:rFonts w:hint="eastAsia" w:cs="Times New Roman"/>
                      <w:b/>
                      <w:bCs/>
                      <w:color w:val="FF0000"/>
                      <w:sz w:val="21"/>
                      <w:szCs w:val="21"/>
                      <w:highlight w:val="none"/>
                      <w:vertAlign w:val="baseline"/>
                      <w:lang w:val="en-US" w:eastAsia="zh-CN"/>
                    </w:rPr>
                    <w:t>污染物名称</w:t>
                  </w:r>
                </w:p>
              </w:tc>
              <w:tc>
                <w:tcPr>
                  <w:tcW w:w="7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bCs/>
                      <w:color w:val="FF0000"/>
                      <w:sz w:val="21"/>
                      <w:szCs w:val="21"/>
                      <w:highlight w:val="none"/>
                      <w:vertAlign w:val="baseline"/>
                      <w:lang w:val="en-US" w:eastAsia="zh-CN"/>
                    </w:rPr>
                  </w:pPr>
                  <w:r>
                    <w:rPr>
                      <w:rFonts w:hint="eastAsia" w:cs="Times New Roman"/>
                      <w:b/>
                      <w:bCs/>
                      <w:color w:val="FF0000"/>
                      <w:sz w:val="21"/>
                      <w:szCs w:val="21"/>
                      <w:highlight w:val="none"/>
                      <w:vertAlign w:val="baseline"/>
                      <w:lang w:val="en-US" w:eastAsia="zh-CN"/>
                    </w:rPr>
                    <w:t>产生量</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bCs/>
                      <w:color w:val="FF0000"/>
                      <w:sz w:val="21"/>
                      <w:szCs w:val="21"/>
                      <w:highlight w:val="none"/>
                      <w:vertAlign w:val="baseline"/>
                      <w:lang w:val="en-US" w:eastAsia="zh-CN"/>
                    </w:rPr>
                  </w:pPr>
                  <w:r>
                    <w:rPr>
                      <w:rFonts w:hint="eastAsia" w:cs="Times New Roman"/>
                      <w:b/>
                      <w:bCs/>
                      <w:color w:val="FF0000"/>
                      <w:sz w:val="21"/>
                      <w:szCs w:val="21"/>
                      <w:highlight w:val="none"/>
                      <w:vertAlign w:val="baseline"/>
                      <w:lang w:val="en-US" w:eastAsia="zh-CN"/>
                    </w:rPr>
                    <w:t>治理措施</w:t>
                  </w:r>
                </w:p>
              </w:tc>
              <w:tc>
                <w:tcPr>
                  <w:tcW w:w="9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bCs/>
                      <w:color w:val="FF0000"/>
                      <w:sz w:val="21"/>
                      <w:szCs w:val="21"/>
                      <w:highlight w:val="none"/>
                      <w:vertAlign w:val="baseline"/>
                      <w:lang w:val="en-US" w:eastAsia="zh-CN"/>
                    </w:rPr>
                  </w:pPr>
                  <w:r>
                    <w:rPr>
                      <w:rFonts w:hint="eastAsia" w:cs="Times New Roman"/>
                      <w:b/>
                      <w:bCs/>
                      <w:color w:val="FF0000"/>
                      <w:sz w:val="21"/>
                      <w:szCs w:val="21"/>
                      <w:highlight w:val="none"/>
                      <w:vertAlign w:val="baseline"/>
                      <w:lang w:val="en-US" w:eastAsia="zh-CN"/>
                    </w:rPr>
                    <w:t>方式/去向</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bCs/>
                      <w:color w:val="FF0000"/>
                      <w:sz w:val="21"/>
                      <w:szCs w:val="21"/>
                      <w:highlight w:val="none"/>
                      <w:vertAlign w:val="baseline"/>
                      <w:lang w:val="en-US" w:eastAsia="zh-CN"/>
                    </w:rPr>
                  </w:pPr>
                  <w:r>
                    <w:rPr>
                      <w:rFonts w:hint="eastAsia" w:cs="Times New Roman"/>
                      <w:b/>
                      <w:bCs/>
                      <w:color w:val="FF0000"/>
                      <w:sz w:val="21"/>
                      <w:szCs w:val="21"/>
                      <w:highlight w:val="none"/>
                      <w:vertAlign w:val="baseline"/>
                      <w:lang w:val="en-US" w:eastAsia="zh-CN"/>
                    </w:rPr>
                    <w:t>排放量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54" w:hRule="atLeast"/>
              </w:trPr>
              <w:tc>
                <w:tcPr>
                  <w:tcW w:w="520" w:type="dxa"/>
                  <w:vMerge w:val="restart"/>
                  <w:tcBorders>
                    <w:righ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有组织废气</w:t>
                  </w:r>
                </w:p>
              </w:tc>
              <w:tc>
                <w:tcPr>
                  <w:tcW w:w="473" w:type="dxa"/>
                  <w:vMerge w:val="restart"/>
                  <w:tcBorders>
                    <w:lef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锅炉废气</w:t>
                  </w:r>
                </w:p>
              </w:tc>
              <w:tc>
                <w:tcPr>
                  <w:tcW w:w="74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产排污系数法</w:t>
                  </w:r>
                </w:p>
              </w:tc>
              <w:tc>
                <w:tcPr>
                  <w:tcW w:w="69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4320h</w:t>
                  </w:r>
                </w:p>
              </w:tc>
              <w:tc>
                <w:tcPr>
                  <w:tcW w:w="8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颗粒物</w:t>
                  </w:r>
                </w:p>
              </w:tc>
              <w:tc>
                <w:tcPr>
                  <w:tcW w:w="7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b w:val="0"/>
                      <w:bCs w:val="0"/>
                      <w:color w:val="FF0000"/>
                      <w:sz w:val="21"/>
                      <w:szCs w:val="21"/>
                      <w:highlight w:val="none"/>
                      <w:vertAlign w:val="baseline"/>
                      <w:lang w:val="en-US" w:eastAsia="zh-CN"/>
                    </w:rPr>
                  </w:pPr>
                  <w:r>
                    <w:rPr>
                      <w:rFonts w:hint="eastAsia" w:cs="Times New Roman"/>
                      <w:color w:val="FF0000"/>
                      <w:sz w:val="21"/>
                      <w:szCs w:val="21"/>
                      <w:highlight w:val="none"/>
                      <w:vertAlign w:val="baseline"/>
                      <w:lang w:val="en-US" w:eastAsia="zh-CN"/>
                    </w:rPr>
                    <w:t>1.287</w:t>
                  </w:r>
                  <w:r>
                    <w:rPr>
                      <w:rFonts w:hint="eastAsia" w:cs="Times New Roman"/>
                      <w:b w:val="0"/>
                      <w:bCs w:val="0"/>
                      <w:color w:val="FF0000"/>
                      <w:sz w:val="21"/>
                      <w:szCs w:val="21"/>
                      <w:highlight w:val="none"/>
                      <w:vertAlign w:val="baseline"/>
                      <w:lang w:val="en-US" w:eastAsia="zh-CN"/>
                    </w:rPr>
                    <w:t>t/a</w:t>
                  </w:r>
                </w:p>
              </w:tc>
              <w:tc>
                <w:tcPr>
                  <w:tcW w:w="219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left"/>
                    <w:textAlignment w:val="auto"/>
                    <w:rPr>
                      <w:rFonts w:hint="eastAsia"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治理措施：布袋除尘器+双碱法+1根40m高的排气筒</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left"/>
                    <w:textAlignment w:val="auto"/>
                    <w:rPr>
                      <w:rFonts w:hint="eastAsia"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处理能力：7000m</w:t>
                  </w:r>
                  <w:r>
                    <w:rPr>
                      <w:rFonts w:hint="eastAsia" w:cs="Times New Roman"/>
                      <w:b w:val="0"/>
                      <w:bCs w:val="0"/>
                      <w:color w:val="FF0000"/>
                      <w:sz w:val="21"/>
                      <w:szCs w:val="21"/>
                      <w:highlight w:val="none"/>
                      <w:vertAlign w:val="superscript"/>
                      <w:lang w:val="en-US" w:eastAsia="zh-CN"/>
                    </w:rPr>
                    <w:t>3</w:t>
                  </w:r>
                  <w:r>
                    <w:rPr>
                      <w:rFonts w:hint="eastAsia" w:cs="Times New Roman"/>
                      <w:b w:val="0"/>
                      <w:bCs w:val="0"/>
                      <w:color w:val="FF0000"/>
                      <w:sz w:val="21"/>
                      <w:szCs w:val="21"/>
                      <w:highlight w:val="none"/>
                      <w:vertAlign w:val="baseline"/>
                      <w:lang w:val="en-US" w:eastAsia="zh-CN"/>
                    </w:rPr>
                    <w:t>/h</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left"/>
                    <w:textAlignment w:val="auto"/>
                    <w:rPr>
                      <w:rFonts w:hint="eastAsia"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除尘效率：90%</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left"/>
                    <w:textAlignment w:val="auto"/>
                    <w:rPr>
                      <w:rFonts w:hint="default"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脱硫效率：80%</w:t>
                  </w:r>
                </w:p>
              </w:tc>
              <w:tc>
                <w:tcPr>
                  <w:tcW w:w="96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连续/大气</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b w:val="0"/>
                      <w:bCs w:val="0"/>
                      <w:color w:val="FF0000"/>
                      <w:sz w:val="21"/>
                      <w:szCs w:val="21"/>
                      <w:highlight w:val="none"/>
                      <w:vertAlign w:val="baseline"/>
                      <w:lang w:val="en-US" w:eastAsia="zh-CN"/>
                    </w:rPr>
                  </w:pPr>
                  <w:r>
                    <w:rPr>
                      <w:rFonts w:hint="eastAsia" w:cs="Times New Roman"/>
                      <w:color w:val="FF0000"/>
                      <w:kern w:val="2"/>
                      <w:sz w:val="21"/>
                      <w:szCs w:val="21"/>
                      <w:highlight w:val="none"/>
                      <w:vertAlign w:val="baseline"/>
                      <w:lang w:val="en-US" w:eastAsia="zh-CN" w:bidi="ar-SA"/>
                    </w:rPr>
                    <w:t>0.129</w:t>
                  </w:r>
                  <w:r>
                    <w:rPr>
                      <w:rFonts w:hint="eastAsia" w:cs="Times New Roman"/>
                      <w:b w:val="0"/>
                      <w:bCs w:val="0"/>
                      <w:color w:val="FF0000"/>
                      <w:sz w:val="21"/>
                      <w:szCs w:val="21"/>
                      <w:highlight w:val="none"/>
                      <w:vertAlign w:val="baseline"/>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20" w:type="dxa"/>
                  <w:vMerge w:val="continue"/>
                  <w:tcBorders>
                    <w:righ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473" w:type="dxa"/>
                  <w:vMerge w:val="continue"/>
                  <w:tcBorders>
                    <w:lef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7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69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8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FF0000"/>
                      <w:sz w:val="21"/>
                      <w:szCs w:val="21"/>
                      <w:highlight w:val="none"/>
                      <w:vertAlign w:val="baseline"/>
                      <w:lang w:val="en-US" w:eastAsia="zh-CN"/>
                    </w:rPr>
                  </w:pPr>
                  <w:r>
                    <w:rPr>
                      <w:rFonts w:hint="eastAsia" w:ascii="Times New Roman" w:hAnsi="Times New Roman" w:cs="Times New Roman"/>
                      <w:color w:val="FF0000"/>
                      <w:sz w:val="21"/>
                      <w:szCs w:val="21"/>
                      <w:highlight w:val="none"/>
                      <w:lang w:val="en-US" w:eastAsia="zh-CN"/>
                    </w:rPr>
                    <w:t>SO</w:t>
                  </w:r>
                  <w:r>
                    <w:rPr>
                      <w:rFonts w:hint="eastAsia" w:ascii="Times New Roman" w:hAnsi="Times New Roman" w:cs="Times New Roman"/>
                      <w:color w:val="FF0000"/>
                      <w:sz w:val="21"/>
                      <w:szCs w:val="21"/>
                      <w:highlight w:val="none"/>
                      <w:vertAlign w:val="subscript"/>
                      <w:lang w:val="en-US" w:eastAsia="zh-CN"/>
                    </w:rPr>
                    <w:t>2</w:t>
                  </w:r>
                </w:p>
              </w:tc>
              <w:tc>
                <w:tcPr>
                  <w:tcW w:w="7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val="0"/>
                      <w:bCs w:val="0"/>
                      <w:color w:val="FF0000"/>
                      <w:sz w:val="21"/>
                      <w:szCs w:val="21"/>
                      <w:highlight w:val="none"/>
                      <w:vertAlign w:val="baseline"/>
                      <w:lang w:val="en-US" w:eastAsia="zh-CN"/>
                    </w:rPr>
                  </w:pPr>
                  <w:r>
                    <w:rPr>
                      <w:rFonts w:hint="eastAsia" w:cs="Times New Roman"/>
                      <w:color w:val="FF0000"/>
                      <w:sz w:val="21"/>
                      <w:szCs w:val="21"/>
                      <w:highlight w:val="none"/>
                      <w:vertAlign w:val="baseline"/>
                      <w:lang w:val="en-US" w:eastAsia="zh-CN"/>
                    </w:rPr>
                    <w:t>4.376</w:t>
                  </w:r>
                  <w:r>
                    <w:rPr>
                      <w:rFonts w:hint="eastAsia" w:cs="Times New Roman"/>
                      <w:b w:val="0"/>
                      <w:bCs w:val="0"/>
                      <w:color w:val="FF0000"/>
                      <w:sz w:val="21"/>
                      <w:szCs w:val="21"/>
                      <w:highlight w:val="none"/>
                      <w:vertAlign w:val="baseline"/>
                      <w:lang w:val="en-US" w:eastAsia="zh-CN"/>
                    </w:rPr>
                    <w:t>t/a</w:t>
                  </w:r>
                </w:p>
              </w:tc>
              <w:tc>
                <w:tcPr>
                  <w:tcW w:w="219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left"/>
                    <w:textAlignment w:val="auto"/>
                    <w:rPr>
                      <w:rFonts w:hint="eastAsia" w:cs="Times New Roman"/>
                      <w:b w:val="0"/>
                      <w:bCs w:val="0"/>
                      <w:color w:val="FF0000"/>
                      <w:sz w:val="21"/>
                      <w:szCs w:val="21"/>
                      <w:highlight w:val="none"/>
                      <w:vertAlign w:val="baseline"/>
                      <w:lang w:val="en-US" w:eastAsia="zh-CN"/>
                    </w:rPr>
                  </w:pPr>
                </w:p>
              </w:tc>
              <w:tc>
                <w:tcPr>
                  <w:tcW w:w="96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val="0"/>
                      <w:bCs w:val="0"/>
                      <w:color w:val="FF0000"/>
                      <w:sz w:val="21"/>
                      <w:szCs w:val="21"/>
                      <w:highlight w:val="none"/>
                      <w:vertAlign w:val="baseline"/>
                      <w:lang w:val="en-US" w:eastAsia="zh-CN"/>
                    </w:rPr>
                  </w:pPr>
                  <w:r>
                    <w:rPr>
                      <w:rFonts w:hint="eastAsia" w:cs="Times New Roman"/>
                      <w:color w:val="FF0000"/>
                      <w:kern w:val="2"/>
                      <w:sz w:val="21"/>
                      <w:szCs w:val="21"/>
                      <w:highlight w:val="none"/>
                      <w:vertAlign w:val="baseline"/>
                      <w:lang w:val="en-US" w:eastAsia="zh-CN" w:bidi="ar-SA"/>
                    </w:rPr>
                    <w:t>1.313</w:t>
                  </w:r>
                  <w:r>
                    <w:rPr>
                      <w:rFonts w:hint="eastAsia" w:cs="Times New Roman"/>
                      <w:b w:val="0"/>
                      <w:bCs w:val="0"/>
                      <w:color w:val="FF0000"/>
                      <w:sz w:val="21"/>
                      <w:szCs w:val="21"/>
                      <w:highlight w:val="none"/>
                      <w:vertAlign w:val="baseline"/>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2" w:hRule="atLeast"/>
              </w:trPr>
              <w:tc>
                <w:tcPr>
                  <w:tcW w:w="520" w:type="dxa"/>
                  <w:vMerge w:val="continue"/>
                  <w:tcBorders>
                    <w:righ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473" w:type="dxa"/>
                  <w:vMerge w:val="continue"/>
                  <w:tcBorders>
                    <w:lef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7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69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8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FF0000"/>
                      <w:sz w:val="21"/>
                      <w:szCs w:val="21"/>
                      <w:highlight w:val="none"/>
                      <w:vertAlign w:val="baseline"/>
                      <w:lang w:val="en-US" w:eastAsia="zh-CN"/>
                    </w:rPr>
                  </w:pPr>
                  <w:r>
                    <w:rPr>
                      <w:rFonts w:hint="eastAsia" w:ascii="Times New Roman" w:hAnsi="Times New Roman" w:cs="Times New Roman"/>
                      <w:color w:val="FF0000"/>
                      <w:sz w:val="21"/>
                      <w:szCs w:val="21"/>
                      <w:highlight w:val="none"/>
                      <w:lang w:val="en-US" w:eastAsia="zh-CN"/>
                    </w:rPr>
                    <w:t>NO</w:t>
                  </w:r>
                  <w:r>
                    <w:rPr>
                      <w:rFonts w:hint="eastAsia" w:ascii="Times New Roman" w:hAnsi="Times New Roman" w:cs="Times New Roman"/>
                      <w:color w:val="FF0000"/>
                      <w:sz w:val="21"/>
                      <w:szCs w:val="21"/>
                      <w:highlight w:val="none"/>
                      <w:vertAlign w:val="subscript"/>
                      <w:lang w:val="en-US" w:eastAsia="zh-CN"/>
                    </w:rPr>
                    <w:t>X</w:t>
                  </w:r>
                </w:p>
              </w:tc>
              <w:tc>
                <w:tcPr>
                  <w:tcW w:w="7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val="0"/>
                      <w:bCs w:val="0"/>
                      <w:color w:val="FF0000"/>
                      <w:sz w:val="21"/>
                      <w:szCs w:val="21"/>
                      <w:highlight w:val="none"/>
                      <w:vertAlign w:val="baseline"/>
                      <w:lang w:val="en-US" w:eastAsia="zh-CN"/>
                    </w:rPr>
                  </w:pPr>
                  <w:r>
                    <w:rPr>
                      <w:rFonts w:hint="eastAsia" w:cs="Times New Roman"/>
                      <w:color w:val="FF0000"/>
                      <w:sz w:val="21"/>
                      <w:szCs w:val="21"/>
                      <w:highlight w:val="none"/>
                      <w:vertAlign w:val="baseline"/>
                      <w:lang w:val="en-US" w:eastAsia="zh-CN"/>
                    </w:rPr>
                    <w:t>2.625</w:t>
                  </w:r>
                  <w:r>
                    <w:rPr>
                      <w:rFonts w:hint="eastAsia" w:cs="Times New Roman"/>
                      <w:b w:val="0"/>
                      <w:bCs w:val="0"/>
                      <w:color w:val="FF0000"/>
                      <w:sz w:val="21"/>
                      <w:szCs w:val="21"/>
                      <w:highlight w:val="none"/>
                      <w:vertAlign w:val="baseline"/>
                      <w:lang w:val="en-US" w:eastAsia="zh-CN"/>
                    </w:rPr>
                    <w:t>t/a</w:t>
                  </w:r>
                </w:p>
              </w:tc>
              <w:tc>
                <w:tcPr>
                  <w:tcW w:w="219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left"/>
                    <w:textAlignment w:val="auto"/>
                    <w:rPr>
                      <w:rFonts w:hint="eastAsia" w:cs="Times New Roman"/>
                      <w:b w:val="0"/>
                      <w:bCs w:val="0"/>
                      <w:color w:val="FF0000"/>
                      <w:sz w:val="21"/>
                      <w:szCs w:val="21"/>
                      <w:highlight w:val="none"/>
                      <w:vertAlign w:val="baseline"/>
                      <w:lang w:val="en-US" w:eastAsia="zh-CN"/>
                    </w:rPr>
                  </w:pPr>
                </w:p>
              </w:tc>
              <w:tc>
                <w:tcPr>
                  <w:tcW w:w="96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2.625t/a</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2" w:hRule="atLeast"/>
              </w:trPr>
              <w:tc>
                <w:tcPr>
                  <w:tcW w:w="520" w:type="dxa"/>
                  <w:vMerge w:val="continue"/>
                  <w:tcBorders>
                    <w:righ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473" w:type="dxa"/>
                  <w:vMerge w:val="continue"/>
                  <w:tcBorders>
                    <w:lef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7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69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8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color w:val="FF0000"/>
                      <w:sz w:val="21"/>
                      <w:szCs w:val="21"/>
                      <w:highlight w:val="none"/>
                      <w:lang w:val="en-US" w:eastAsia="zh-CN"/>
                    </w:rPr>
                  </w:pPr>
                  <w:r>
                    <w:rPr>
                      <w:rFonts w:hint="eastAsia" w:cs="Times New Roman"/>
                      <w:color w:val="FF0000"/>
                      <w:sz w:val="21"/>
                      <w:szCs w:val="21"/>
                      <w:highlight w:val="none"/>
                      <w:lang w:val="en-US" w:eastAsia="zh-CN"/>
                    </w:rPr>
                    <w:t>汞及其化合物</w:t>
                  </w:r>
                </w:p>
              </w:tc>
              <w:tc>
                <w:tcPr>
                  <w:tcW w:w="7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color w:val="FF0000"/>
                      <w:sz w:val="21"/>
                      <w:szCs w:val="21"/>
                      <w:highlight w:val="none"/>
                      <w:vertAlign w:val="baseline"/>
                      <w:lang w:val="en-US" w:eastAsia="zh-CN"/>
                    </w:rPr>
                  </w:pPr>
                  <w:r>
                    <w:rPr>
                      <w:rFonts w:hint="eastAsia" w:cs="Times New Roman"/>
                      <w:color w:val="FF0000"/>
                      <w:sz w:val="21"/>
                      <w:szCs w:val="21"/>
                      <w:highlight w:val="none"/>
                      <w:vertAlign w:val="baseline"/>
                      <w:lang w:val="en-US" w:eastAsia="zh-CN"/>
                    </w:rPr>
                    <w:t>0.0003</w:t>
                  </w:r>
                  <w:r>
                    <w:rPr>
                      <w:rFonts w:hint="eastAsia" w:cs="Times New Roman"/>
                      <w:b w:val="0"/>
                      <w:bCs w:val="0"/>
                      <w:color w:val="FF0000"/>
                      <w:sz w:val="21"/>
                      <w:szCs w:val="21"/>
                      <w:highlight w:val="none"/>
                      <w:vertAlign w:val="baseline"/>
                      <w:lang w:val="en-US" w:eastAsia="zh-CN"/>
                    </w:rPr>
                    <w:t>t/a</w:t>
                  </w:r>
                </w:p>
              </w:tc>
              <w:tc>
                <w:tcPr>
                  <w:tcW w:w="219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left"/>
                    <w:textAlignment w:val="auto"/>
                    <w:rPr>
                      <w:rFonts w:hint="eastAsia" w:cs="Times New Roman"/>
                      <w:b w:val="0"/>
                      <w:bCs w:val="0"/>
                      <w:color w:val="FF0000"/>
                      <w:sz w:val="21"/>
                      <w:szCs w:val="21"/>
                      <w:highlight w:val="none"/>
                      <w:vertAlign w:val="baseline"/>
                      <w:lang w:val="en-US" w:eastAsia="zh-CN"/>
                    </w:rPr>
                  </w:pPr>
                </w:p>
              </w:tc>
              <w:tc>
                <w:tcPr>
                  <w:tcW w:w="96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color w:val="FF0000"/>
                      <w:kern w:val="2"/>
                      <w:sz w:val="21"/>
                      <w:szCs w:val="21"/>
                      <w:highlight w:val="none"/>
                      <w:vertAlign w:val="baseline"/>
                      <w:lang w:val="en-US" w:eastAsia="zh-CN" w:bidi="ar-SA"/>
                    </w:rPr>
                  </w:pPr>
                  <w:r>
                    <w:rPr>
                      <w:rFonts w:hint="eastAsia" w:cs="Times New Roman"/>
                      <w:color w:val="FF0000"/>
                      <w:kern w:val="2"/>
                      <w:sz w:val="21"/>
                      <w:szCs w:val="21"/>
                      <w:highlight w:val="none"/>
                      <w:vertAlign w:val="baseline"/>
                      <w:lang w:val="en-US" w:eastAsia="zh-CN" w:bidi="ar-SA"/>
                    </w:rPr>
                    <w:t>0.00009</w:t>
                  </w:r>
                  <w:r>
                    <w:rPr>
                      <w:rFonts w:hint="eastAsia" w:cs="Times New Roman"/>
                      <w:b w:val="0"/>
                      <w:bCs w:val="0"/>
                      <w:color w:val="FF0000"/>
                      <w:sz w:val="21"/>
                      <w:szCs w:val="21"/>
                      <w:highlight w:val="none"/>
                      <w:vertAlign w:val="baseline"/>
                      <w:lang w:val="en-US" w:eastAsia="zh-CN"/>
                    </w:rPr>
                    <w:t>t/a</w:t>
                  </w:r>
                </w:p>
              </w:tc>
            </w:tr>
          </w:tbl>
          <w:p>
            <w:pPr>
              <w:snapToGrid w:val="0"/>
              <w:spacing w:line="360" w:lineRule="auto"/>
              <w:ind w:firstLine="480" w:firstLineChars="200"/>
              <w:rPr>
                <w:rFonts w:hint="default" w:eastAsia="宋体"/>
                <w:color w:val="FF0000"/>
                <w:kern w:val="0"/>
                <w:sz w:val="24"/>
                <w:highlight w:val="none"/>
                <w:lang w:val="en-US" w:eastAsia="zh-CN"/>
              </w:rPr>
            </w:pPr>
            <w:r>
              <w:rPr>
                <w:rFonts w:hint="eastAsia"/>
                <w:color w:val="FF0000"/>
                <w:kern w:val="0"/>
                <w:sz w:val="24"/>
                <w:highlight w:val="none"/>
                <w:lang w:val="en-US" w:eastAsia="zh-CN"/>
              </w:rPr>
              <w:t>本</w:t>
            </w:r>
            <w:r>
              <w:rPr>
                <w:rFonts w:hint="eastAsia"/>
                <w:color w:val="FF0000"/>
                <w:kern w:val="0"/>
                <w:sz w:val="24"/>
                <w:highlight w:val="none"/>
                <w:lang w:eastAsia="zh-CN"/>
              </w:rPr>
              <w:t>项目废气达标情况见表</w:t>
            </w:r>
            <w:r>
              <w:rPr>
                <w:rFonts w:hint="eastAsia"/>
                <w:color w:val="FF0000"/>
                <w:kern w:val="0"/>
                <w:sz w:val="24"/>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eastAsia="宋体" w:cs="Times New Roman"/>
                <w:b/>
                <w:bCs/>
                <w:color w:val="FF0000"/>
                <w:sz w:val="24"/>
                <w:szCs w:val="22"/>
                <w:highlight w:val="none"/>
                <w:lang w:val="en-US" w:eastAsia="zh-CN"/>
              </w:rPr>
            </w:pPr>
            <w:r>
              <w:rPr>
                <w:rFonts w:hint="eastAsia" w:ascii="Times New Roman" w:hAnsi="Times New Roman" w:eastAsia="宋体" w:cs="Times New Roman"/>
                <w:b/>
                <w:bCs/>
                <w:color w:val="FF0000"/>
                <w:sz w:val="24"/>
                <w:szCs w:val="22"/>
                <w:highlight w:val="none"/>
                <w:lang w:val="en-US" w:eastAsia="zh-CN"/>
              </w:rPr>
              <w:t>表</w:t>
            </w:r>
            <w:r>
              <w:rPr>
                <w:rFonts w:hint="eastAsia" w:cs="Times New Roman"/>
                <w:b/>
                <w:bCs/>
                <w:color w:val="FF0000"/>
                <w:sz w:val="24"/>
                <w:szCs w:val="22"/>
                <w:highlight w:val="none"/>
                <w:lang w:val="en-US" w:eastAsia="zh-CN"/>
              </w:rPr>
              <w:t>4</w:t>
            </w:r>
            <w:r>
              <w:rPr>
                <w:rFonts w:hint="eastAsia" w:ascii="Times New Roman" w:hAnsi="Times New Roman" w:eastAsia="宋体" w:cs="Times New Roman"/>
                <w:b/>
                <w:bCs/>
                <w:color w:val="FF0000"/>
                <w:sz w:val="24"/>
                <w:szCs w:val="22"/>
                <w:highlight w:val="none"/>
                <w:lang w:val="en-US" w:eastAsia="zh-CN"/>
              </w:rPr>
              <w:t xml:space="preserve">  废气污染物排放达标情况</w:t>
            </w:r>
          </w:p>
          <w:tbl>
            <w:tblPr>
              <w:tblStyle w:val="18"/>
              <w:tblW w:w="7946"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993"/>
              <w:gridCol w:w="859"/>
              <w:gridCol w:w="912"/>
              <w:gridCol w:w="1092"/>
              <w:gridCol w:w="1109"/>
              <w:gridCol w:w="994"/>
              <w:gridCol w:w="99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FF0000"/>
                      <w:kern w:val="2"/>
                      <w:sz w:val="21"/>
                      <w:szCs w:val="21"/>
                      <w:highlight w:val="none"/>
                      <w:vertAlign w:val="baseline"/>
                      <w:lang w:val="en-US" w:eastAsia="zh-CN" w:bidi="ar-SA"/>
                    </w:rPr>
                  </w:pPr>
                  <w:r>
                    <w:rPr>
                      <w:rFonts w:hint="eastAsia" w:ascii="Times New Roman" w:hAnsi="Times New Roman" w:cs="Times New Roman"/>
                      <w:b/>
                      <w:bCs/>
                      <w:color w:val="FF0000"/>
                      <w:sz w:val="21"/>
                      <w:szCs w:val="21"/>
                      <w:highlight w:val="none"/>
                      <w:vertAlign w:val="baseline"/>
                      <w:lang w:val="en-US" w:eastAsia="zh-CN"/>
                    </w:rPr>
                    <w:t>编号</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FF0000"/>
                      <w:kern w:val="2"/>
                      <w:sz w:val="21"/>
                      <w:szCs w:val="21"/>
                      <w:highlight w:val="none"/>
                      <w:vertAlign w:val="baseline"/>
                      <w:lang w:val="en-US" w:eastAsia="zh-CN" w:bidi="ar-SA"/>
                    </w:rPr>
                  </w:pPr>
                  <w:r>
                    <w:rPr>
                      <w:rFonts w:hint="eastAsia" w:ascii="Times New Roman" w:hAnsi="Times New Roman" w:cs="Times New Roman"/>
                      <w:b/>
                      <w:bCs/>
                      <w:color w:val="FF0000"/>
                      <w:sz w:val="21"/>
                      <w:szCs w:val="21"/>
                      <w:highlight w:val="none"/>
                      <w:vertAlign w:val="baseline"/>
                      <w:lang w:val="en-US" w:eastAsia="zh-CN"/>
                    </w:rPr>
                    <w:t>排气筒高度</w:t>
                  </w:r>
                </w:p>
              </w:tc>
              <w:tc>
                <w:tcPr>
                  <w:tcW w:w="8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FF0000"/>
                      <w:kern w:val="2"/>
                      <w:sz w:val="21"/>
                      <w:szCs w:val="21"/>
                      <w:highlight w:val="none"/>
                      <w:vertAlign w:val="baseline"/>
                      <w:lang w:val="en-US" w:eastAsia="zh-CN" w:bidi="ar-SA"/>
                    </w:rPr>
                  </w:pPr>
                  <w:r>
                    <w:rPr>
                      <w:rFonts w:hint="eastAsia" w:ascii="Times New Roman" w:hAnsi="Times New Roman" w:cs="Times New Roman"/>
                      <w:b/>
                      <w:bCs/>
                      <w:color w:val="FF0000"/>
                      <w:sz w:val="21"/>
                      <w:szCs w:val="21"/>
                      <w:highlight w:val="none"/>
                      <w:vertAlign w:val="baseline"/>
                      <w:lang w:val="en-US" w:eastAsia="zh-CN"/>
                    </w:rPr>
                    <w:t>污染物种类</w:t>
                  </w:r>
                </w:p>
              </w:tc>
              <w:tc>
                <w:tcPr>
                  <w:tcW w:w="9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FF0000"/>
                      <w:kern w:val="2"/>
                      <w:sz w:val="21"/>
                      <w:szCs w:val="21"/>
                      <w:highlight w:val="none"/>
                      <w:vertAlign w:val="baseline"/>
                      <w:lang w:val="en-US" w:eastAsia="zh-CN" w:bidi="ar-SA"/>
                    </w:rPr>
                  </w:pPr>
                  <w:r>
                    <w:rPr>
                      <w:rFonts w:hint="eastAsia" w:ascii="Times New Roman" w:hAnsi="Times New Roman" w:cs="Times New Roman"/>
                      <w:b/>
                      <w:bCs/>
                      <w:color w:val="FF0000"/>
                      <w:sz w:val="21"/>
                      <w:szCs w:val="21"/>
                      <w:highlight w:val="none"/>
                      <w:vertAlign w:val="baseline"/>
                      <w:lang w:val="en-US" w:eastAsia="zh-CN"/>
                    </w:rPr>
                    <w:t>排放量</w:t>
                  </w:r>
                  <w:r>
                    <w:rPr>
                      <w:rFonts w:hint="eastAsia" w:cs="Times New Roman"/>
                      <w:b/>
                      <w:bCs/>
                      <w:color w:val="FF0000"/>
                      <w:sz w:val="21"/>
                      <w:szCs w:val="21"/>
                      <w:highlight w:val="none"/>
                      <w:vertAlign w:val="baseline"/>
                      <w:lang w:val="en-US" w:eastAsia="zh-CN"/>
                    </w:rPr>
                    <w:t>（t/a）</w:t>
                  </w:r>
                </w:p>
              </w:tc>
              <w:tc>
                <w:tcPr>
                  <w:tcW w:w="10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FF0000"/>
                      <w:kern w:val="2"/>
                      <w:sz w:val="21"/>
                      <w:szCs w:val="21"/>
                      <w:highlight w:val="none"/>
                      <w:vertAlign w:val="baseline"/>
                      <w:lang w:val="en-US" w:eastAsia="zh-CN" w:bidi="ar-SA"/>
                    </w:rPr>
                  </w:pPr>
                  <w:r>
                    <w:rPr>
                      <w:rFonts w:hint="eastAsia" w:ascii="Times New Roman" w:hAnsi="Times New Roman" w:cs="Times New Roman"/>
                      <w:b/>
                      <w:bCs/>
                      <w:color w:val="FF0000"/>
                      <w:sz w:val="21"/>
                      <w:szCs w:val="21"/>
                      <w:highlight w:val="none"/>
                      <w:vertAlign w:val="baseline"/>
                      <w:lang w:val="en-US" w:eastAsia="zh-CN"/>
                    </w:rPr>
                    <w:t>排放速率</w:t>
                  </w:r>
                  <w:r>
                    <w:rPr>
                      <w:rFonts w:hint="eastAsia" w:cs="Times New Roman"/>
                      <w:b/>
                      <w:bCs/>
                      <w:color w:val="FF0000"/>
                      <w:sz w:val="21"/>
                      <w:szCs w:val="21"/>
                      <w:highlight w:val="none"/>
                      <w:vertAlign w:val="baseline"/>
                      <w:lang w:val="en-US" w:eastAsia="zh-CN"/>
                    </w:rPr>
                    <w:t>（kg/h）</w:t>
                  </w:r>
                </w:p>
              </w:tc>
              <w:tc>
                <w:tcPr>
                  <w:tcW w:w="11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FF0000"/>
                      <w:kern w:val="2"/>
                      <w:sz w:val="21"/>
                      <w:szCs w:val="21"/>
                      <w:highlight w:val="none"/>
                      <w:vertAlign w:val="baseline"/>
                      <w:lang w:val="en-US" w:eastAsia="zh-CN" w:bidi="ar-SA"/>
                    </w:rPr>
                  </w:pPr>
                  <w:r>
                    <w:rPr>
                      <w:rFonts w:hint="eastAsia" w:ascii="Times New Roman" w:hAnsi="Times New Roman" w:cs="Times New Roman"/>
                      <w:b/>
                      <w:bCs/>
                      <w:color w:val="FF0000"/>
                      <w:sz w:val="21"/>
                      <w:szCs w:val="21"/>
                      <w:highlight w:val="none"/>
                      <w:vertAlign w:val="baseline"/>
                      <w:lang w:val="en-US" w:eastAsia="zh-CN"/>
                    </w:rPr>
                    <w:t>排放浓度(mg/m</w:t>
                  </w:r>
                  <w:r>
                    <w:rPr>
                      <w:rFonts w:hint="eastAsia" w:ascii="Times New Roman" w:hAnsi="Times New Roman" w:cs="Times New Roman"/>
                      <w:b/>
                      <w:bCs/>
                      <w:color w:val="FF0000"/>
                      <w:sz w:val="21"/>
                      <w:szCs w:val="21"/>
                      <w:highlight w:val="none"/>
                      <w:vertAlign w:val="superscript"/>
                      <w:lang w:val="en-US" w:eastAsia="zh-CN"/>
                    </w:rPr>
                    <w:t>3</w:t>
                  </w:r>
                  <w:r>
                    <w:rPr>
                      <w:rFonts w:hint="eastAsia" w:ascii="Times New Roman" w:hAnsi="Times New Roman" w:cs="Times New Roman"/>
                      <w:b/>
                      <w:bCs/>
                      <w:color w:val="FF0000"/>
                      <w:sz w:val="21"/>
                      <w:szCs w:val="21"/>
                      <w:highlight w:val="none"/>
                      <w:vertAlign w:val="baseline"/>
                      <w:lang w:val="en-US" w:eastAsia="zh-CN"/>
                    </w:rPr>
                    <w:t>)</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FF0000"/>
                      <w:kern w:val="2"/>
                      <w:sz w:val="21"/>
                      <w:szCs w:val="21"/>
                      <w:highlight w:val="none"/>
                      <w:vertAlign w:val="baseline"/>
                      <w:lang w:val="en-US" w:eastAsia="zh-CN" w:bidi="ar-SA"/>
                    </w:rPr>
                  </w:pPr>
                  <w:r>
                    <w:rPr>
                      <w:rFonts w:hint="eastAsia" w:ascii="Times New Roman" w:hAnsi="Times New Roman" w:cs="Times New Roman"/>
                      <w:b/>
                      <w:bCs/>
                      <w:color w:val="FF0000"/>
                      <w:sz w:val="21"/>
                      <w:szCs w:val="21"/>
                      <w:highlight w:val="none"/>
                      <w:vertAlign w:val="baseline"/>
                      <w:lang w:val="en-US" w:eastAsia="zh-CN"/>
                    </w:rPr>
                    <w:t>允许排放浓度(mg/m</w:t>
                  </w:r>
                  <w:r>
                    <w:rPr>
                      <w:rFonts w:hint="eastAsia" w:ascii="Times New Roman" w:hAnsi="Times New Roman" w:cs="Times New Roman"/>
                      <w:b/>
                      <w:bCs/>
                      <w:color w:val="FF0000"/>
                      <w:sz w:val="21"/>
                      <w:szCs w:val="21"/>
                      <w:highlight w:val="none"/>
                      <w:vertAlign w:val="superscript"/>
                      <w:lang w:val="en-US" w:eastAsia="zh-CN"/>
                    </w:rPr>
                    <w:t>3</w:t>
                  </w:r>
                  <w:r>
                    <w:rPr>
                      <w:rFonts w:hint="eastAsia" w:ascii="Times New Roman" w:hAnsi="Times New Roman" w:cs="Times New Roman"/>
                      <w:b/>
                      <w:bCs/>
                      <w:color w:val="FF0000"/>
                      <w:sz w:val="21"/>
                      <w:szCs w:val="21"/>
                      <w:highlight w:val="none"/>
                      <w:vertAlign w:val="baseline"/>
                      <w:lang w:val="en-US" w:eastAsia="zh-CN"/>
                    </w:rPr>
                    <w:t>)</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FF0000"/>
                      <w:kern w:val="2"/>
                      <w:sz w:val="21"/>
                      <w:szCs w:val="21"/>
                      <w:highlight w:val="none"/>
                      <w:vertAlign w:val="baseline"/>
                      <w:lang w:val="en-US" w:eastAsia="zh-CN" w:bidi="ar-SA"/>
                    </w:rPr>
                  </w:pPr>
                  <w:r>
                    <w:rPr>
                      <w:rFonts w:hint="eastAsia" w:ascii="Times New Roman" w:hAnsi="Times New Roman" w:cs="Times New Roman"/>
                      <w:b/>
                      <w:bCs/>
                      <w:color w:val="FF0000"/>
                      <w:sz w:val="21"/>
                      <w:szCs w:val="21"/>
                      <w:highlight w:val="none"/>
                      <w:vertAlign w:val="baseline"/>
                      <w:lang w:val="en-US" w:eastAsia="zh-CN"/>
                    </w:rPr>
                    <w:t>是否达标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1#</w:t>
                  </w:r>
                </w:p>
              </w:tc>
              <w:tc>
                <w:tcPr>
                  <w:tcW w:w="99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40</w:t>
                  </w:r>
                  <w:r>
                    <w:rPr>
                      <w:rFonts w:hint="eastAsia" w:ascii="Times New Roman" w:hAnsi="Times New Roman" w:cs="Times New Roman"/>
                      <w:b w:val="0"/>
                      <w:bCs w:val="0"/>
                      <w:color w:val="FF0000"/>
                      <w:sz w:val="21"/>
                      <w:szCs w:val="21"/>
                      <w:highlight w:val="none"/>
                      <w:vertAlign w:val="baseline"/>
                      <w:lang w:val="en-US" w:eastAsia="zh-CN"/>
                    </w:rPr>
                    <w:t>m</w:t>
                  </w:r>
                </w:p>
              </w:tc>
              <w:tc>
                <w:tcPr>
                  <w:tcW w:w="8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颗粒物</w:t>
                  </w:r>
                </w:p>
              </w:tc>
              <w:tc>
                <w:tcPr>
                  <w:tcW w:w="9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val="0"/>
                      <w:bCs w:val="0"/>
                      <w:color w:val="FF0000"/>
                      <w:sz w:val="21"/>
                      <w:szCs w:val="21"/>
                      <w:highlight w:val="none"/>
                      <w:vertAlign w:val="baseline"/>
                      <w:lang w:val="en-US" w:eastAsia="zh-CN"/>
                    </w:rPr>
                  </w:pPr>
                  <w:r>
                    <w:rPr>
                      <w:rFonts w:hint="eastAsia" w:cs="Times New Roman"/>
                      <w:color w:val="FF0000"/>
                      <w:kern w:val="2"/>
                      <w:sz w:val="21"/>
                      <w:szCs w:val="21"/>
                      <w:highlight w:val="none"/>
                      <w:vertAlign w:val="baseline"/>
                      <w:lang w:val="en-US" w:eastAsia="zh-CN" w:bidi="ar-SA"/>
                    </w:rPr>
                    <w:t>0.129</w:t>
                  </w:r>
                </w:p>
              </w:tc>
              <w:tc>
                <w:tcPr>
                  <w:tcW w:w="10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0.0299</w:t>
                  </w:r>
                </w:p>
              </w:tc>
              <w:tc>
                <w:tcPr>
                  <w:tcW w:w="11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val="0"/>
                      <w:bCs w:val="0"/>
                      <w:color w:val="FF0000"/>
                      <w:sz w:val="21"/>
                      <w:szCs w:val="21"/>
                      <w:highlight w:val="none"/>
                      <w:vertAlign w:val="baseline"/>
                      <w:lang w:val="en-US" w:eastAsia="zh-CN"/>
                    </w:rPr>
                  </w:pPr>
                  <w:r>
                    <w:rPr>
                      <w:rFonts w:hint="eastAsia" w:cs="Times New Roman"/>
                      <w:color w:val="FF0000"/>
                      <w:sz w:val="21"/>
                      <w:szCs w:val="21"/>
                      <w:highlight w:val="none"/>
                      <w:vertAlign w:val="baseline"/>
                      <w:lang w:val="en-US" w:eastAsia="zh-CN"/>
                    </w:rPr>
                    <w:t>4.27</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50</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FF0000"/>
                      <w:sz w:val="21"/>
                      <w:szCs w:val="21"/>
                      <w:highlight w:val="none"/>
                      <w:vertAlign w:val="baseline"/>
                      <w:lang w:val="en-US" w:eastAsia="zh-CN"/>
                    </w:rPr>
                  </w:pPr>
                  <w:r>
                    <w:rPr>
                      <w:rFonts w:hint="eastAsia" w:ascii="Times New Roman" w:hAnsi="Times New Roman" w:cs="Times New Roman"/>
                      <w:b w:val="0"/>
                      <w:bCs w:val="0"/>
                      <w:color w:val="FF0000"/>
                      <w:sz w:val="21"/>
                      <w:szCs w:val="21"/>
                      <w:highlight w:val="none"/>
                      <w:vertAlign w:val="baselin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8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cs="Times New Roman"/>
                      <w:b w:val="0"/>
                      <w:bCs w:val="0"/>
                      <w:color w:val="FF0000"/>
                      <w:sz w:val="21"/>
                      <w:szCs w:val="21"/>
                      <w:highlight w:val="none"/>
                      <w:vertAlign w:val="baseline"/>
                      <w:lang w:val="en-US" w:eastAsia="zh-CN"/>
                    </w:rPr>
                  </w:pPr>
                  <w:r>
                    <w:rPr>
                      <w:rFonts w:hint="eastAsia" w:ascii="Times New Roman" w:hAnsi="Times New Roman" w:cs="Times New Roman"/>
                      <w:color w:val="FF0000"/>
                      <w:sz w:val="21"/>
                      <w:szCs w:val="21"/>
                      <w:highlight w:val="none"/>
                      <w:lang w:val="en-US" w:eastAsia="zh-CN"/>
                    </w:rPr>
                    <w:t>SO</w:t>
                  </w:r>
                  <w:r>
                    <w:rPr>
                      <w:rFonts w:hint="eastAsia" w:ascii="Times New Roman" w:hAnsi="Times New Roman" w:cs="Times New Roman"/>
                      <w:color w:val="FF0000"/>
                      <w:sz w:val="21"/>
                      <w:szCs w:val="21"/>
                      <w:highlight w:val="none"/>
                      <w:vertAlign w:val="subscript"/>
                      <w:lang w:val="en-US" w:eastAsia="zh-CN"/>
                    </w:rPr>
                    <w:t>2</w:t>
                  </w:r>
                </w:p>
              </w:tc>
              <w:tc>
                <w:tcPr>
                  <w:tcW w:w="9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1.313</w:t>
                  </w:r>
                </w:p>
              </w:tc>
              <w:tc>
                <w:tcPr>
                  <w:tcW w:w="10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0.304</w:t>
                  </w:r>
                </w:p>
              </w:tc>
              <w:tc>
                <w:tcPr>
                  <w:tcW w:w="11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b w:val="0"/>
                      <w:bCs w:val="0"/>
                      <w:color w:val="FF0000"/>
                      <w:sz w:val="21"/>
                      <w:szCs w:val="21"/>
                      <w:highlight w:val="none"/>
                      <w:vertAlign w:val="baseline"/>
                      <w:lang w:val="en-US" w:eastAsia="zh-CN"/>
                    </w:rPr>
                  </w:pPr>
                  <w:r>
                    <w:rPr>
                      <w:rFonts w:hint="eastAsia" w:cs="Times New Roman"/>
                      <w:color w:val="FF0000"/>
                      <w:sz w:val="21"/>
                      <w:szCs w:val="21"/>
                      <w:highlight w:val="none"/>
                      <w:vertAlign w:val="baseline"/>
                      <w:lang w:val="en-US" w:eastAsia="zh-CN"/>
                    </w:rPr>
                    <w:t>43.43</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300</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ascii="Times New Roman" w:hAnsi="Times New Roman" w:cs="Times New Roman"/>
                      <w:b w:val="0"/>
                      <w:bCs w:val="0"/>
                      <w:color w:val="FF0000"/>
                      <w:sz w:val="21"/>
                      <w:szCs w:val="21"/>
                      <w:highlight w:val="none"/>
                      <w:vertAlign w:val="baseline"/>
                      <w:lang w:val="en-US" w:eastAsia="zh-CN"/>
                    </w:rPr>
                  </w:pPr>
                  <w:r>
                    <w:rPr>
                      <w:rFonts w:hint="eastAsia" w:ascii="Times New Roman" w:hAnsi="Times New Roman" w:cs="Times New Roman"/>
                      <w:b w:val="0"/>
                      <w:bCs w:val="0"/>
                      <w:color w:val="FF0000"/>
                      <w:sz w:val="21"/>
                      <w:szCs w:val="21"/>
                      <w:highlight w:val="none"/>
                      <w:vertAlign w:val="baselin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8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cs="Times New Roman"/>
                      <w:b w:val="0"/>
                      <w:bCs w:val="0"/>
                      <w:color w:val="FF0000"/>
                      <w:sz w:val="21"/>
                      <w:szCs w:val="21"/>
                      <w:highlight w:val="none"/>
                      <w:vertAlign w:val="baseline"/>
                      <w:lang w:val="en-US" w:eastAsia="zh-CN"/>
                    </w:rPr>
                  </w:pPr>
                  <w:r>
                    <w:rPr>
                      <w:rFonts w:hint="eastAsia" w:ascii="Times New Roman" w:hAnsi="Times New Roman" w:cs="Times New Roman"/>
                      <w:color w:val="FF0000"/>
                      <w:sz w:val="21"/>
                      <w:szCs w:val="21"/>
                      <w:highlight w:val="none"/>
                      <w:lang w:val="en-US" w:eastAsia="zh-CN"/>
                    </w:rPr>
                    <w:t>NO</w:t>
                  </w:r>
                  <w:r>
                    <w:rPr>
                      <w:rFonts w:hint="eastAsia" w:ascii="Times New Roman" w:hAnsi="Times New Roman" w:cs="Times New Roman"/>
                      <w:color w:val="FF0000"/>
                      <w:sz w:val="21"/>
                      <w:szCs w:val="21"/>
                      <w:highlight w:val="none"/>
                      <w:vertAlign w:val="subscript"/>
                      <w:lang w:val="en-US" w:eastAsia="zh-CN"/>
                    </w:rPr>
                    <w:t>X</w:t>
                  </w:r>
                </w:p>
              </w:tc>
              <w:tc>
                <w:tcPr>
                  <w:tcW w:w="9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2.625</w:t>
                  </w:r>
                </w:p>
              </w:tc>
              <w:tc>
                <w:tcPr>
                  <w:tcW w:w="10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0.608</w:t>
                  </w:r>
                </w:p>
              </w:tc>
              <w:tc>
                <w:tcPr>
                  <w:tcW w:w="11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b w:val="0"/>
                      <w:bCs w:val="0"/>
                      <w:color w:val="FF0000"/>
                      <w:sz w:val="21"/>
                      <w:szCs w:val="21"/>
                      <w:highlight w:val="none"/>
                      <w:vertAlign w:val="baseline"/>
                      <w:lang w:val="en-US" w:eastAsia="zh-CN"/>
                    </w:rPr>
                  </w:pPr>
                  <w:r>
                    <w:rPr>
                      <w:rFonts w:hint="eastAsia" w:cs="Times New Roman"/>
                      <w:color w:val="FF0000"/>
                      <w:sz w:val="21"/>
                      <w:szCs w:val="21"/>
                      <w:highlight w:val="none"/>
                      <w:vertAlign w:val="baseline"/>
                      <w:lang w:val="en-US" w:eastAsia="zh-CN"/>
                    </w:rPr>
                    <w:t>86.86</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300</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ascii="Times New Roman" w:hAnsi="Times New Roman" w:cs="Times New Roman"/>
                      <w:b w:val="0"/>
                      <w:bCs w:val="0"/>
                      <w:color w:val="FF0000"/>
                      <w:sz w:val="21"/>
                      <w:szCs w:val="21"/>
                      <w:highlight w:val="none"/>
                      <w:vertAlign w:val="baseline"/>
                      <w:lang w:val="en-US" w:eastAsia="zh-CN"/>
                    </w:rPr>
                  </w:pPr>
                  <w:r>
                    <w:rPr>
                      <w:rFonts w:hint="eastAsia" w:ascii="Times New Roman" w:hAnsi="Times New Roman" w:cs="Times New Roman"/>
                      <w:b w:val="0"/>
                      <w:bCs w:val="0"/>
                      <w:color w:val="FF0000"/>
                      <w:sz w:val="21"/>
                      <w:szCs w:val="21"/>
                      <w:highlight w:val="none"/>
                      <w:vertAlign w:val="baselin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FF0000"/>
                      <w:sz w:val="21"/>
                      <w:szCs w:val="21"/>
                      <w:highlight w:val="none"/>
                      <w:vertAlign w:val="baseline"/>
                      <w:lang w:val="en-US" w:eastAsia="zh-CN"/>
                    </w:rPr>
                  </w:pPr>
                </w:p>
              </w:tc>
              <w:tc>
                <w:tcPr>
                  <w:tcW w:w="8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cs="Times New Roman"/>
                      <w:color w:val="FF0000"/>
                      <w:sz w:val="21"/>
                      <w:szCs w:val="21"/>
                      <w:highlight w:val="none"/>
                      <w:lang w:val="en-US" w:eastAsia="zh-CN"/>
                    </w:rPr>
                  </w:pPr>
                  <w:r>
                    <w:rPr>
                      <w:rFonts w:hint="eastAsia" w:cs="Times New Roman"/>
                      <w:color w:val="FF0000"/>
                      <w:sz w:val="21"/>
                      <w:szCs w:val="21"/>
                      <w:highlight w:val="none"/>
                      <w:lang w:val="en-US" w:eastAsia="zh-CN"/>
                    </w:rPr>
                    <w:t>汞及其化合物</w:t>
                  </w:r>
                </w:p>
              </w:tc>
              <w:tc>
                <w:tcPr>
                  <w:tcW w:w="9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color w:val="FF0000"/>
                      <w:kern w:val="2"/>
                      <w:sz w:val="21"/>
                      <w:szCs w:val="21"/>
                      <w:highlight w:val="none"/>
                      <w:vertAlign w:val="baseline"/>
                      <w:lang w:val="en-US" w:eastAsia="zh-CN" w:bidi="ar-SA"/>
                    </w:rPr>
                  </w:pPr>
                  <w:r>
                    <w:rPr>
                      <w:rFonts w:hint="eastAsia" w:cs="Times New Roman"/>
                      <w:color w:val="FF0000"/>
                      <w:kern w:val="2"/>
                      <w:sz w:val="21"/>
                      <w:szCs w:val="21"/>
                      <w:highlight w:val="none"/>
                      <w:vertAlign w:val="baseline"/>
                      <w:lang w:val="en-US" w:eastAsia="zh-CN" w:bidi="ar-SA"/>
                    </w:rPr>
                    <w:t>0.00009</w:t>
                  </w:r>
                </w:p>
              </w:tc>
              <w:tc>
                <w:tcPr>
                  <w:tcW w:w="10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0.000021</w:t>
                  </w:r>
                </w:p>
              </w:tc>
              <w:tc>
                <w:tcPr>
                  <w:tcW w:w="11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0.003</w:t>
                  </w:r>
                </w:p>
              </w:tc>
              <w:tc>
                <w:tcPr>
                  <w:tcW w:w="994" w:type="dxa"/>
                  <w:tcBorders>
                    <w:tl2br w:val="nil"/>
                    <w:tr2bl w:val="nil"/>
                  </w:tcBorders>
                  <w:vAlign w:val="center"/>
                </w:tcPr>
                <w:p>
                  <w:pPr>
                    <w:keepNext w:val="0"/>
                    <w:keepLines w:val="0"/>
                    <w:pageBreakBefore w:val="0"/>
                    <w:widowControl w:val="0"/>
                    <w:tabs>
                      <w:tab w:val="left" w:pos="556"/>
                    </w:tabs>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0.05</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ascii="Times New Roman" w:hAnsi="Times New Roman" w:cs="Times New Roman"/>
                      <w:b w:val="0"/>
                      <w:bCs w:val="0"/>
                      <w:color w:val="FF0000"/>
                      <w:sz w:val="21"/>
                      <w:szCs w:val="21"/>
                      <w:highlight w:val="none"/>
                      <w:vertAlign w:val="baseline"/>
                      <w:lang w:val="en-US" w:eastAsia="zh-CN"/>
                    </w:rPr>
                  </w:pPr>
                  <w:r>
                    <w:rPr>
                      <w:rFonts w:hint="eastAsia" w:ascii="Times New Roman" w:hAnsi="Times New Roman" w:cs="Times New Roman"/>
                      <w:b w:val="0"/>
                      <w:bCs w:val="0"/>
                      <w:color w:val="FF0000"/>
                      <w:sz w:val="21"/>
                      <w:szCs w:val="21"/>
                      <w:highlight w:val="none"/>
                      <w:vertAlign w:val="baseline"/>
                      <w:lang w:val="en-US" w:eastAsia="zh-CN"/>
                    </w:rPr>
                    <w:t>是</w:t>
                  </w:r>
                </w:p>
              </w:tc>
            </w:tr>
          </w:tbl>
          <w:p>
            <w:pPr>
              <w:spacing w:line="360" w:lineRule="auto"/>
              <w:ind w:firstLine="480" w:firstLineChars="200"/>
              <w:rPr>
                <w:rFonts w:hint="default" w:ascii="Times New Roman" w:hAnsi="Times New Roman" w:eastAsia="宋体" w:cs="Times New Roman"/>
                <w:color w:val="FF0000"/>
                <w:sz w:val="24"/>
                <w:highlight w:val="none"/>
              </w:rPr>
            </w:pPr>
            <w:r>
              <w:rPr>
                <w:color w:val="FF0000"/>
                <w:sz w:val="24"/>
                <w:highlight w:val="none"/>
              </w:rPr>
              <w:t>由上表可知，</w:t>
            </w:r>
            <w:r>
              <w:rPr>
                <w:rFonts w:hint="eastAsia"/>
                <w:color w:val="FF0000"/>
                <w:sz w:val="24"/>
                <w:highlight w:val="none"/>
                <w:lang w:val="en-US" w:eastAsia="zh-CN"/>
              </w:rPr>
              <w:t>改建</w:t>
            </w:r>
            <w:r>
              <w:rPr>
                <w:rFonts w:hint="default" w:ascii="Times New Roman" w:hAnsi="Times New Roman" w:eastAsia="宋体" w:cs="Times New Roman"/>
                <w:color w:val="FF0000"/>
                <w:sz w:val="24"/>
                <w:highlight w:val="none"/>
              </w:rPr>
              <w:t>项目1台</w:t>
            </w:r>
            <w:r>
              <w:rPr>
                <w:rFonts w:hint="eastAsia" w:cs="Times New Roman"/>
                <w:color w:val="FF0000"/>
                <w:sz w:val="24"/>
                <w:highlight w:val="none"/>
                <w:lang w:val="en-US" w:eastAsia="zh-CN"/>
              </w:rPr>
              <w:t>8t/h</w:t>
            </w:r>
            <w:r>
              <w:rPr>
                <w:rFonts w:hint="default" w:ascii="Times New Roman" w:hAnsi="Times New Roman" w:eastAsia="宋体" w:cs="Times New Roman"/>
                <w:color w:val="FF0000"/>
                <w:sz w:val="24"/>
                <w:szCs w:val="32"/>
                <w:highlight w:val="none"/>
                <w:lang w:eastAsia="zh-CN"/>
              </w:rPr>
              <w:t>生物质热水锅炉</w:t>
            </w:r>
            <w:r>
              <w:rPr>
                <w:rFonts w:hint="default" w:ascii="Times New Roman" w:hAnsi="Times New Roman" w:eastAsia="宋体" w:cs="Times New Roman"/>
                <w:color w:val="FF0000"/>
                <w:sz w:val="24"/>
                <w:highlight w:val="none"/>
              </w:rPr>
              <w:t>废气污染物颗粒物、SO</w:t>
            </w:r>
            <w:r>
              <w:rPr>
                <w:rFonts w:hint="default" w:ascii="Times New Roman" w:hAnsi="Times New Roman" w:eastAsia="宋体" w:cs="Times New Roman"/>
                <w:color w:val="FF0000"/>
                <w:sz w:val="24"/>
                <w:highlight w:val="none"/>
                <w:vertAlign w:val="subscript"/>
              </w:rPr>
              <w:t>2</w:t>
            </w:r>
            <w:r>
              <w:rPr>
                <w:rFonts w:hint="default" w:ascii="Times New Roman" w:hAnsi="Times New Roman" w:eastAsia="宋体" w:cs="Times New Roman"/>
                <w:color w:val="FF0000"/>
                <w:sz w:val="24"/>
                <w:highlight w:val="none"/>
              </w:rPr>
              <w:t>、NO</w:t>
            </w:r>
            <w:r>
              <w:rPr>
                <w:rFonts w:hint="default" w:ascii="Times New Roman" w:hAnsi="Times New Roman" w:eastAsia="宋体" w:cs="Times New Roman"/>
                <w:color w:val="FF0000"/>
                <w:sz w:val="24"/>
                <w:highlight w:val="none"/>
                <w:vertAlign w:val="subscript"/>
              </w:rPr>
              <w:t>x</w:t>
            </w:r>
            <w:r>
              <w:rPr>
                <w:rFonts w:hint="default" w:ascii="Times New Roman" w:hAnsi="Times New Roman" w:eastAsia="宋体" w:cs="Times New Roman"/>
                <w:color w:val="FF0000"/>
                <w:sz w:val="24"/>
                <w:highlight w:val="none"/>
              </w:rPr>
              <w:t>、汞及其化合物排放浓度均符合</w:t>
            </w:r>
            <w:r>
              <w:rPr>
                <w:rFonts w:hint="default" w:ascii="Times New Roman" w:hAnsi="Times New Roman" w:eastAsia="宋体" w:cs="Times New Roman"/>
                <w:bCs/>
                <w:color w:val="FF0000"/>
                <w:sz w:val="24"/>
                <w:highlight w:val="none"/>
              </w:rPr>
              <w:t>《锅炉大气污染物排放标准》</w:t>
            </w:r>
            <w:r>
              <w:rPr>
                <w:rFonts w:hint="default" w:ascii="Times New Roman" w:hAnsi="Times New Roman" w:eastAsia="宋体" w:cs="Times New Roman"/>
                <w:bCs/>
                <w:color w:val="FF0000"/>
                <w:sz w:val="24"/>
                <w:highlight w:val="none"/>
                <w:lang w:eastAsia="zh-CN"/>
              </w:rPr>
              <w:t>（</w:t>
            </w:r>
            <w:r>
              <w:rPr>
                <w:rFonts w:hint="default" w:ascii="Times New Roman" w:hAnsi="Times New Roman" w:eastAsia="宋体" w:cs="Times New Roman"/>
                <w:bCs/>
                <w:color w:val="FF0000"/>
                <w:sz w:val="24"/>
                <w:highlight w:val="none"/>
              </w:rPr>
              <w:t>GB13271-2014）表2新建锅炉大气污染物排放浓度限值中燃煤锅炉的排放浓度限值</w:t>
            </w:r>
            <w:r>
              <w:rPr>
                <w:rFonts w:hint="default" w:ascii="Times New Roman" w:hAnsi="Times New Roman" w:eastAsia="宋体" w:cs="Times New Roman"/>
                <w:color w:val="FF0000"/>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default" w:cs="Times New Roman"/>
                <w:b/>
                <w:bCs/>
                <w:color w:val="auto"/>
                <w:highlight w:val="none"/>
                <w:lang w:val="en-US" w:eastAsia="zh-CN"/>
              </w:rPr>
            </w:pPr>
            <w:r>
              <w:rPr>
                <w:rFonts w:hint="eastAsia" w:cs="Times New Roman"/>
                <w:b/>
                <w:bCs/>
                <w:color w:val="auto"/>
                <w:highlight w:val="none"/>
                <w:lang w:val="en-US" w:eastAsia="zh-CN"/>
              </w:rPr>
              <w:t>（2）燃料装卸粉尘</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color w:val="auto"/>
                <w:sz w:val="24"/>
                <w:highlight w:val="none"/>
                <w:lang w:val="en-US" w:eastAsia="zh-CN"/>
              </w:rPr>
              <w:t>改建</w:t>
            </w:r>
            <w:r>
              <w:rPr>
                <w:rFonts w:hint="default" w:ascii="Times New Roman" w:hAnsi="Times New Roman" w:eastAsia="宋体" w:cs="Times New Roman"/>
                <w:color w:val="auto"/>
                <w:sz w:val="24"/>
                <w:highlight w:val="none"/>
              </w:rPr>
              <w:t>项目</w:t>
            </w:r>
            <w:r>
              <w:rPr>
                <w:rFonts w:hint="eastAsia" w:ascii="Times New Roman" w:hAnsi="Times New Roman" w:cs="Times New Roman"/>
                <w:color w:val="auto"/>
                <w:sz w:val="24"/>
                <w:highlight w:val="none"/>
                <w:lang w:val="en-US" w:eastAsia="zh-CN"/>
              </w:rPr>
              <w:t>生物质燃料使用量</w:t>
            </w:r>
            <w:r>
              <w:rPr>
                <w:rFonts w:hint="default" w:ascii="Times New Roman" w:hAnsi="Times New Roman" w:eastAsia="宋体" w:cs="Times New Roman"/>
                <w:bCs/>
                <w:color w:val="auto"/>
                <w:sz w:val="24"/>
                <w:highlight w:val="none"/>
              </w:rPr>
              <w:t>为</w:t>
            </w:r>
            <w:r>
              <w:rPr>
                <w:rFonts w:hint="eastAsia" w:cs="Times New Roman"/>
                <w:bCs/>
                <w:color w:val="auto"/>
                <w:sz w:val="24"/>
                <w:highlight w:val="none"/>
                <w:lang w:val="en-US" w:eastAsia="zh-CN"/>
              </w:rPr>
              <w:t>2574</w:t>
            </w:r>
            <w:r>
              <w:rPr>
                <w:rFonts w:hint="default" w:ascii="Times New Roman" w:hAnsi="Times New Roman" w:eastAsia="宋体" w:cs="Times New Roman"/>
                <w:bCs/>
                <w:color w:val="auto"/>
                <w:sz w:val="24"/>
                <w:highlight w:val="none"/>
              </w:rPr>
              <w:t>t/a，</w:t>
            </w:r>
            <w:r>
              <w:rPr>
                <w:rFonts w:hint="eastAsia" w:ascii="Times New Roman" w:hAnsi="Times New Roman" w:cs="Times New Roman"/>
                <w:bCs/>
                <w:color w:val="auto"/>
                <w:sz w:val="24"/>
                <w:highlight w:val="none"/>
                <w:lang w:val="en-US" w:eastAsia="zh-CN"/>
              </w:rPr>
              <w:t>燃料暂存</w:t>
            </w:r>
            <w:r>
              <w:rPr>
                <w:rFonts w:hint="default" w:ascii="Times New Roman" w:hAnsi="Times New Roman" w:eastAsia="宋体" w:cs="Times New Roman"/>
                <w:color w:val="auto"/>
                <w:sz w:val="24"/>
                <w:highlight w:val="none"/>
              </w:rPr>
              <w:t>于</w:t>
            </w:r>
            <w:r>
              <w:rPr>
                <w:rFonts w:hint="eastAsia" w:cs="Times New Roman"/>
                <w:color w:val="auto"/>
                <w:sz w:val="24"/>
                <w:highlight w:val="none"/>
                <w:lang w:val="en-US" w:eastAsia="zh-CN"/>
              </w:rPr>
              <w:t>全</w:t>
            </w:r>
            <w:r>
              <w:rPr>
                <w:rFonts w:hint="default" w:ascii="Times New Roman" w:hAnsi="Times New Roman" w:eastAsia="宋体" w:cs="Times New Roman"/>
                <w:color w:val="auto"/>
                <w:sz w:val="24"/>
                <w:highlight w:val="none"/>
              </w:rPr>
              <w:t>封闭</w:t>
            </w:r>
            <w:r>
              <w:rPr>
                <w:rFonts w:hint="eastAsia" w:ascii="Times New Roman" w:hAnsi="Times New Roman" w:cs="Times New Roman"/>
                <w:color w:val="auto"/>
                <w:sz w:val="24"/>
                <w:highlight w:val="none"/>
                <w:lang w:val="en-US" w:eastAsia="zh-CN"/>
              </w:rPr>
              <w:t>储料间</w:t>
            </w:r>
            <w:r>
              <w:rPr>
                <w:rFonts w:hint="default" w:ascii="Times New Roman" w:hAnsi="Times New Roman" w:eastAsia="宋体" w:cs="Times New Roman"/>
                <w:color w:val="auto"/>
                <w:sz w:val="24"/>
                <w:highlight w:val="none"/>
              </w:rPr>
              <w:t>内</w:t>
            </w:r>
            <w:r>
              <w:rPr>
                <w:rFonts w:hint="default" w:ascii="Times New Roman" w:hAnsi="Times New Roman" w:eastAsia="宋体" w:cs="Times New Roman"/>
                <w:color w:val="auto"/>
                <w:sz w:val="24"/>
                <w:highlight w:val="none"/>
                <w:lang w:eastAsia="zh-CN"/>
              </w:rPr>
              <w:t>，</w:t>
            </w:r>
            <w:r>
              <w:rPr>
                <w:rFonts w:hint="eastAsia" w:ascii="Times New Roman" w:hAnsi="Times New Roman" w:cs="Times New Roman"/>
                <w:color w:val="auto"/>
                <w:sz w:val="24"/>
                <w:highlight w:val="none"/>
                <w:lang w:val="en-US" w:eastAsia="zh-CN"/>
              </w:rPr>
              <w:t>在装卸</w:t>
            </w:r>
            <w:r>
              <w:rPr>
                <w:rFonts w:hint="default" w:ascii="Times New Roman" w:hAnsi="Times New Roman" w:eastAsia="宋体" w:cs="Times New Roman"/>
                <w:color w:val="auto"/>
                <w:sz w:val="24"/>
                <w:highlight w:val="none"/>
              </w:rPr>
              <w:t>过程中会产生粉尘，参照《逸散性工业粉尘控制技术》“卸料”按0.01kg/t</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卸料）计算，则</w:t>
            </w:r>
            <w:r>
              <w:rPr>
                <w:rFonts w:hint="eastAsia" w:ascii="Times New Roman" w:hAnsi="Times New Roman" w:cs="Times New Roman"/>
                <w:color w:val="auto"/>
                <w:sz w:val="24"/>
                <w:highlight w:val="none"/>
                <w:lang w:val="en-US" w:eastAsia="zh-CN"/>
              </w:rPr>
              <w:t>储料间</w:t>
            </w:r>
            <w:r>
              <w:rPr>
                <w:rFonts w:hint="default" w:ascii="Times New Roman" w:hAnsi="Times New Roman" w:eastAsia="宋体" w:cs="Times New Roman"/>
                <w:color w:val="auto"/>
                <w:sz w:val="24"/>
                <w:highlight w:val="none"/>
              </w:rPr>
              <w:t>粉尘产生量为0.0</w:t>
            </w:r>
            <w:r>
              <w:rPr>
                <w:rFonts w:hint="eastAsia" w:cs="Times New Roman"/>
                <w:color w:val="auto"/>
                <w:sz w:val="24"/>
                <w:highlight w:val="none"/>
                <w:lang w:val="en-US" w:eastAsia="zh-CN"/>
              </w:rPr>
              <w:t>26</w:t>
            </w:r>
            <w:r>
              <w:rPr>
                <w:rFonts w:hint="default" w:ascii="Times New Roman" w:hAnsi="Times New Roman" w:eastAsia="宋体" w:cs="Times New Roman"/>
                <w:color w:val="auto"/>
                <w:sz w:val="24"/>
                <w:highlight w:val="none"/>
              </w:rPr>
              <w:t>t/a；</w:t>
            </w:r>
            <w:r>
              <w:rPr>
                <w:rFonts w:hint="default" w:ascii="Times New Roman" w:hAnsi="Times New Roman" w:eastAsia="宋体" w:cs="Times New Roman"/>
                <w:bCs/>
                <w:color w:val="auto"/>
                <w:sz w:val="24"/>
                <w:highlight w:val="none"/>
              </w:rPr>
              <w:t>本项目</w:t>
            </w:r>
            <w:r>
              <w:rPr>
                <w:rFonts w:hint="eastAsia" w:ascii="Times New Roman" w:hAnsi="Times New Roman" w:cs="Times New Roman"/>
                <w:bCs/>
                <w:color w:val="auto"/>
                <w:sz w:val="24"/>
                <w:highlight w:val="none"/>
                <w:lang w:val="en-US" w:eastAsia="zh-CN"/>
              </w:rPr>
              <w:t>生物质燃料</w:t>
            </w:r>
            <w:r>
              <w:rPr>
                <w:rFonts w:hint="default" w:ascii="Times New Roman" w:hAnsi="Times New Roman" w:eastAsia="宋体" w:cs="Times New Roman"/>
                <w:color w:val="auto"/>
                <w:sz w:val="24"/>
                <w:highlight w:val="none"/>
              </w:rPr>
              <w:t>卸载</w:t>
            </w:r>
            <w:r>
              <w:rPr>
                <w:rFonts w:hint="default" w:ascii="Times New Roman" w:hAnsi="Times New Roman" w:eastAsia="宋体" w:cs="Times New Roman"/>
                <w:bCs/>
                <w:color w:val="auto"/>
                <w:sz w:val="24"/>
                <w:highlight w:val="none"/>
              </w:rPr>
              <w:t>过程中均在全封闭</w:t>
            </w:r>
            <w:r>
              <w:rPr>
                <w:rFonts w:hint="eastAsia" w:ascii="Times New Roman" w:hAnsi="Times New Roman" w:cs="Times New Roman"/>
                <w:bCs/>
                <w:color w:val="auto"/>
                <w:sz w:val="24"/>
                <w:highlight w:val="none"/>
                <w:lang w:val="en-US" w:eastAsia="zh-CN"/>
              </w:rPr>
              <w:t>储料间</w:t>
            </w:r>
            <w:r>
              <w:rPr>
                <w:rFonts w:hint="default" w:ascii="Times New Roman" w:hAnsi="Times New Roman" w:eastAsia="宋体" w:cs="Times New Roman"/>
                <w:bCs/>
                <w:color w:val="auto"/>
                <w:sz w:val="24"/>
                <w:highlight w:val="none"/>
              </w:rPr>
              <w:t>内进行，</w:t>
            </w:r>
            <w:r>
              <w:rPr>
                <w:rFonts w:hint="default" w:ascii="Times New Roman" w:hAnsi="Times New Roman" w:eastAsia="宋体" w:cs="Times New Roman"/>
                <w:color w:val="auto"/>
                <w:sz w:val="24"/>
                <w:highlight w:val="none"/>
              </w:rPr>
              <w:t>抑尘率按</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0%计，则</w:t>
            </w:r>
            <w:r>
              <w:rPr>
                <w:rFonts w:hint="eastAsia" w:ascii="Times New Roman" w:hAnsi="Times New Roman" w:cs="Times New Roman"/>
                <w:color w:val="auto"/>
                <w:sz w:val="24"/>
                <w:highlight w:val="none"/>
                <w:lang w:val="en-US" w:eastAsia="zh-CN"/>
              </w:rPr>
              <w:t>储料间</w:t>
            </w:r>
            <w:r>
              <w:rPr>
                <w:rFonts w:hint="default" w:ascii="Times New Roman" w:hAnsi="Times New Roman" w:eastAsia="宋体" w:cs="Times New Roman"/>
                <w:color w:val="auto"/>
                <w:sz w:val="24"/>
                <w:highlight w:val="none"/>
              </w:rPr>
              <w:t>粉尘排放量为0.0</w:t>
            </w:r>
            <w:r>
              <w:rPr>
                <w:rFonts w:hint="eastAsia" w:ascii="Times New Roman" w:hAnsi="Times New Roman" w:eastAsia="宋体" w:cs="Times New Roman"/>
                <w:color w:val="auto"/>
                <w:sz w:val="24"/>
                <w:highlight w:val="none"/>
                <w:lang w:val="en-US" w:eastAsia="zh-CN"/>
              </w:rPr>
              <w:t>1</w:t>
            </w:r>
            <w:r>
              <w:rPr>
                <w:rFonts w:hint="eastAsia" w:cs="Times New Roman"/>
                <w:color w:val="auto"/>
                <w:sz w:val="24"/>
                <w:highlight w:val="none"/>
                <w:lang w:val="en-US" w:eastAsia="zh-CN"/>
              </w:rPr>
              <w:t>04</w:t>
            </w:r>
            <w:r>
              <w:rPr>
                <w:rFonts w:hint="default" w:ascii="Times New Roman" w:hAnsi="Times New Roman" w:eastAsia="宋体" w:cs="Times New Roman"/>
                <w:color w:val="auto"/>
                <w:sz w:val="24"/>
                <w:highlight w:val="none"/>
              </w:rPr>
              <w:t>t/a；同时企业加强卸料环节作业管理，及时清理散落的粉尘，防止造成二次污染。</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default" w:cs="Times New Roman"/>
                <w:b/>
                <w:bCs/>
                <w:color w:val="auto"/>
                <w:highlight w:val="none"/>
                <w:lang w:val="en-US" w:eastAsia="zh-CN"/>
              </w:rPr>
            </w:pPr>
            <w:r>
              <w:rPr>
                <w:rFonts w:hint="eastAsia" w:cs="Times New Roman"/>
                <w:b/>
                <w:bCs/>
                <w:color w:val="auto"/>
                <w:highlight w:val="none"/>
                <w:lang w:val="en-US" w:eastAsia="zh-CN"/>
              </w:rPr>
              <w:t>（3）灰渣库粉尘</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color w:val="auto"/>
                <w:sz w:val="24"/>
                <w:highlight w:val="none"/>
                <w:lang w:val="en-US" w:eastAsia="zh-CN"/>
              </w:rPr>
              <w:t>改建</w:t>
            </w:r>
            <w:r>
              <w:rPr>
                <w:rFonts w:hint="default" w:ascii="Times New Roman" w:hAnsi="Times New Roman" w:eastAsia="宋体" w:cs="Times New Roman"/>
                <w:color w:val="auto"/>
                <w:sz w:val="24"/>
                <w:highlight w:val="none"/>
              </w:rPr>
              <w:t>项目</w:t>
            </w:r>
            <w:r>
              <w:rPr>
                <w:rFonts w:hint="default" w:ascii="Times New Roman" w:hAnsi="Times New Roman" w:eastAsia="宋体" w:cs="Times New Roman"/>
                <w:color w:val="auto"/>
                <w:sz w:val="24"/>
                <w:szCs w:val="32"/>
                <w:highlight w:val="none"/>
              </w:rPr>
              <w:t>锅炉</w:t>
            </w:r>
            <w:r>
              <w:rPr>
                <w:rFonts w:hint="default" w:ascii="Times New Roman" w:hAnsi="Times New Roman" w:eastAsia="宋体" w:cs="Times New Roman"/>
                <w:bCs/>
                <w:color w:val="auto"/>
                <w:sz w:val="24"/>
                <w:highlight w:val="none"/>
                <w:lang w:val="en-US" w:eastAsia="zh-CN"/>
              </w:rPr>
              <w:t>炉渣</w:t>
            </w:r>
            <w:r>
              <w:rPr>
                <w:rFonts w:hint="default" w:ascii="Times New Roman" w:hAnsi="Times New Roman" w:eastAsia="宋体" w:cs="Times New Roman"/>
                <w:bCs/>
                <w:color w:val="auto"/>
                <w:sz w:val="24"/>
                <w:highlight w:val="none"/>
                <w:lang w:eastAsia="zh-CN"/>
              </w:rPr>
              <w:t>年产生</w:t>
            </w:r>
            <w:r>
              <w:rPr>
                <w:rFonts w:hint="default" w:ascii="Times New Roman" w:hAnsi="Times New Roman" w:eastAsia="宋体" w:cs="Times New Roman"/>
                <w:bCs/>
                <w:color w:val="auto"/>
                <w:sz w:val="24"/>
                <w:highlight w:val="none"/>
              </w:rPr>
              <w:t>量为</w:t>
            </w:r>
            <w:r>
              <w:rPr>
                <w:rFonts w:hint="eastAsia" w:ascii="Times New Roman" w:hAnsi="Times New Roman" w:eastAsia="宋体" w:cs="Times New Roman"/>
                <w:bCs/>
                <w:color w:val="auto"/>
                <w:sz w:val="24"/>
                <w:highlight w:val="none"/>
                <w:lang w:val="en-US" w:eastAsia="zh-CN"/>
              </w:rPr>
              <w:t>2</w:t>
            </w:r>
            <w:r>
              <w:rPr>
                <w:rFonts w:hint="eastAsia" w:cs="Times New Roman"/>
                <w:bCs/>
                <w:color w:val="auto"/>
                <w:sz w:val="24"/>
                <w:highlight w:val="none"/>
                <w:lang w:val="en-US" w:eastAsia="zh-CN"/>
              </w:rPr>
              <w:t>25.58</w:t>
            </w:r>
            <w:r>
              <w:rPr>
                <w:rFonts w:hint="default" w:ascii="Times New Roman" w:hAnsi="Times New Roman" w:eastAsia="宋体" w:cs="Times New Roman"/>
                <w:bCs/>
                <w:color w:val="auto"/>
                <w:sz w:val="24"/>
                <w:highlight w:val="none"/>
              </w:rPr>
              <w:t>t/a，</w:t>
            </w:r>
            <w:r>
              <w:rPr>
                <w:rFonts w:hint="default" w:ascii="Times New Roman" w:hAnsi="Times New Roman" w:eastAsia="宋体" w:cs="Times New Roman"/>
                <w:bCs/>
                <w:color w:val="auto"/>
                <w:sz w:val="24"/>
                <w:highlight w:val="none"/>
                <w:lang w:val="en-US" w:eastAsia="zh-CN"/>
              </w:rPr>
              <w:t>除尘灰</w:t>
            </w:r>
            <w:r>
              <w:rPr>
                <w:rFonts w:hint="default" w:ascii="Times New Roman" w:hAnsi="Times New Roman" w:eastAsia="宋体" w:cs="Times New Roman"/>
                <w:bCs/>
                <w:color w:val="auto"/>
                <w:sz w:val="24"/>
                <w:highlight w:val="none"/>
                <w:lang w:eastAsia="zh-CN"/>
              </w:rPr>
              <w:t>年产生</w:t>
            </w:r>
            <w:r>
              <w:rPr>
                <w:rFonts w:hint="default" w:ascii="Times New Roman" w:hAnsi="Times New Roman" w:eastAsia="宋体" w:cs="Times New Roman"/>
                <w:bCs/>
                <w:color w:val="auto"/>
                <w:sz w:val="24"/>
                <w:highlight w:val="none"/>
              </w:rPr>
              <w:t>量为</w:t>
            </w:r>
            <w:r>
              <w:rPr>
                <w:rFonts w:hint="eastAsia" w:ascii="Times New Roman" w:hAnsi="Times New Roman" w:eastAsia="宋体" w:cs="Times New Roman"/>
                <w:bCs/>
                <w:color w:val="auto"/>
                <w:sz w:val="24"/>
                <w:highlight w:val="none"/>
                <w:lang w:val="en-US" w:eastAsia="zh-CN"/>
              </w:rPr>
              <w:t>1.</w:t>
            </w:r>
            <w:r>
              <w:rPr>
                <w:rFonts w:hint="eastAsia" w:cs="Times New Roman"/>
                <w:bCs/>
                <w:color w:val="auto"/>
                <w:sz w:val="24"/>
                <w:highlight w:val="none"/>
                <w:lang w:val="en-US" w:eastAsia="zh-CN"/>
              </w:rPr>
              <w:t>1</w:t>
            </w:r>
            <w:r>
              <w:rPr>
                <w:rFonts w:hint="eastAsia" w:ascii="Times New Roman" w:hAnsi="Times New Roman" w:eastAsia="宋体" w:cs="Times New Roman"/>
                <w:bCs/>
                <w:color w:val="auto"/>
                <w:sz w:val="24"/>
                <w:highlight w:val="none"/>
                <w:lang w:val="en-US" w:eastAsia="zh-CN"/>
              </w:rPr>
              <w:t>58</w:t>
            </w:r>
            <w:r>
              <w:rPr>
                <w:rFonts w:hint="default" w:ascii="Times New Roman" w:hAnsi="Times New Roman" w:eastAsia="宋体" w:cs="Times New Roman"/>
                <w:bCs/>
                <w:color w:val="auto"/>
                <w:sz w:val="24"/>
                <w:highlight w:val="none"/>
                <w:lang w:val="en-US" w:eastAsia="zh-CN"/>
              </w:rPr>
              <w:t>t</w:t>
            </w:r>
            <w:r>
              <w:rPr>
                <w:rFonts w:hint="default" w:ascii="Times New Roman" w:hAnsi="Times New Roman" w:eastAsia="宋体" w:cs="Times New Roman"/>
                <w:bCs/>
                <w:color w:val="auto"/>
                <w:sz w:val="24"/>
                <w:highlight w:val="none"/>
              </w:rPr>
              <w:t>/a，</w:t>
            </w:r>
            <w:r>
              <w:rPr>
                <w:rFonts w:hint="default" w:ascii="Times New Roman" w:hAnsi="Times New Roman" w:eastAsia="宋体" w:cs="Times New Roman"/>
                <w:color w:val="auto"/>
                <w:sz w:val="24"/>
                <w:highlight w:val="none"/>
              </w:rPr>
              <w:t>暂存于</w:t>
            </w:r>
            <w:r>
              <w:rPr>
                <w:rFonts w:hint="eastAsia" w:cs="Times New Roman"/>
                <w:color w:val="auto"/>
                <w:sz w:val="24"/>
                <w:highlight w:val="none"/>
                <w:lang w:val="en-US" w:eastAsia="zh-CN"/>
              </w:rPr>
              <w:t>全</w:t>
            </w:r>
            <w:r>
              <w:rPr>
                <w:rFonts w:hint="default" w:ascii="Times New Roman" w:hAnsi="Times New Roman" w:eastAsia="宋体" w:cs="Times New Roman"/>
                <w:color w:val="auto"/>
                <w:sz w:val="24"/>
                <w:highlight w:val="none"/>
              </w:rPr>
              <w:t>封闭灰渣间内</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装卸过程中会产生粉尘，参照《逸散性工业粉尘控制技术》“卸料”按0.01kg/t</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卸料）计算，则灰渣间粉尘产生量为0.0</w:t>
            </w:r>
            <w:r>
              <w:rPr>
                <w:rFonts w:hint="default" w:ascii="Times New Roman" w:hAnsi="Times New Roman" w:eastAsia="宋体" w:cs="Times New Roman"/>
                <w:color w:val="auto"/>
                <w:sz w:val="24"/>
                <w:highlight w:val="none"/>
                <w:lang w:val="en-US" w:eastAsia="zh-CN"/>
              </w:rPr>
              <w:t>0</w:t>
            </w: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rPr>
              <w:t>t/a；</w:t>
            </w:r>
            <w:r>
              <w:rPr>
                <w:rFonts w:hint="default" w:ascii="Times New Roman" w:hAnsi="Times New Roman" w:eastAsia="宋体" w:cs="Times New Roman"/>
                <w:bCs/>
                <w:color w:val="auto"/>
                <w:sz w:val="24"/>
                <w:highlight w:val="none"/>
              </w:rPr>
              <w:t>本项目</w:t>
            </w:r>
            <w:r>
              <w:rPr>
                <w:rFonts w:hint="default" w:ascii="Times New Roman" w:hAnsi="Times New Roman" w:eastAsia="宋体" w:cs="Times New Roman"/>
                <w:color w:val="auto"/>
                <w:sz w:val="24"/>
                <w:szCs w:val="32"/>
                <w:highlight w:val="none"/>
              </w:rPr>
              <w:t>锅炉</w:t>
            </w:r>
            <w:r>
              <w:rPr>
                <w:rFonts w:hint="default" w:ascii="Times New Roman" w:hAnsi="Times New Roman" w:eastAsia="宋体" w:cs="Times New Roman"/>
                <w:bCs/>
                <w:color w:val="auto"/>
                <w:sz w:val="24"/>
                <w:highlight w:val="none"/>
              </w:rPr>
              <w:t>灰渣</w:t>
            </w:r>
            <w:r>
              <w:rPr>
                <w:rFonts w:hint="default" w:ascii="Times New Roman" w:hAnsi="Times New Roman" w:eastAsia="宋体" w:cs="Times New Roman"/>
                <w:color w:val="auto"/>
                <w:sz w:val="24"/>
                <w:highlight w:val="none"/>
              </w:rPr>
              <w:t>卸载</w:t>
            </w:r>
            <w:r>
              <w:rPr>
                <w:rFonts w:hint="default" w:ascii="Times New Roman" w:hAnsi="Times New Roman" w:eastAsia="宋体" w:cs="Times New Roman"/>
                <w:bCs/>
                <w:color w:val="auto"/>
                <w:sz w:val="24"/>
                <w:highlight w:val="none"/>
              </w:rPr>
              <w:t>过程中均在全封闭灰渣间内进行，并进行洒水抑尘，</w:t>
            </w:r>
            <w:r>
              <w:rPr>
                <w:rFonts w:hint="default" w:ascii="Times New Roman" w:hAnsi="Times New Roman" w:eastAsia="宋体" w:cs="Times New Roman"/>
                <w:color w:val="auto"/>
                <w:sz w:val="24"/>
                <w:highlight w:val="none"/>
              </w:rPr>
              <w:t>抑尘率按</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0%计，则灰渣间粉尘排放量为0.00</w:t>
            </w:r>
            <w:r>
              <w:rPr>
                <w:rFonts w:hint="eastAsia" w:cs="Times New Roman"/>
                <w:color w:val="auto"/>
                <w:sz w:val="24"/>
                <w:highlight w:val="none"/>
                <w:lang w:val="en-US" w:eastAsia="zh-CN"/>
              </w:rPr>
              <w:t>08</w:t>
            </w:r>
            <w:r>
              <w:rPr>
                <w:rFonts w:hint="default" w:ascii="Times New Roman" w:hAnsi="Times New Roman" w:eastAsia="宋体" w:cs="Times New Roman"/>
                <w:color w:val="auto"/>
                <w:sz w:val="24"/>
                <w:highlight w:val="none"/>
              </w:rPr>
              <w:t>t/a；同时企业加强卸料环节作业管理，及时清理散落的粉尘，防止造成二次污染。</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default" w:ascii="Times New Roman" w:hAnsi="Times New Roman" w:cs="Times New Roman"/>
                <w:b/>
                <w:bCs/>
                <w:color w:val="auto"/>
                <w:highlight w:val="none"/>
                <w:lang w:val="en-US" w:eastAsia="zh-CN"/>
              </w:rPr>
            </w:pPr>
            <w:r>
              <w:rPr>
                <w:rFonts w:hint="eastAsia" w:cs="Times New Roman"/>
                <w:b/>
                <w:bCs/>
                <w:color w:val="auto"/>
                <w:highlight w:val="none"/>
                <w:lang w:val="en-US" w:eastAsia="zh-CN"/>
              </w:rPr>
              <w:t>1.2大气环境影响分析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kern w:val="0"/>
                <w:sz w:val="24"/>
                <w:highlight w:val="none"/>
                <w:lang w:eastAsia="zh-CN"/>
              </w:rPr>
            </w:pPr>
            <w:r>
              <w:rPr>
                <w:rFonts w:hint="default" w:ascii="Times New Roman" w:hAnsi="Times New Roman" w:eastAsia="宋体" w:cs="Times New Roman"/>
                <w:bCs/>
                <w:color w:val="auto"/>
                <w:kern w:val="0"/>
                <w:sz w:val="24"/>
                <w:highlight w:val="none"/>
                <w:lang w:eastAsia="zh-CN"/>
              </w:rPr>
              <w:t>（</w:t>
            </w:r>
            <w:r>
              <w:rPr>
                <w:rFonts w:hint="default" w:ascii="Times New Roman" w:hAnsi="Times New Roman" w:eastAsia="宋体" w:cs="Times New Roman"/>
                <w:bCs/>
                <w:color w:val="auto"/>
                <w:kern w:val="0"/>
                <w:sz w:val="24"/>
                <w:highlight w:val="none"/>
                <w:lang w:val="en-US" w:eastAsia="zh-CN"/>
              </w:rPr>
              <w:t>1</w:t>
            </w:r>
            <w:r>
              <w:rPr>
                <w:rFonts w:hint="default" w:ascii="Times New Roman" w:hAnsi="Times New Roman" w:eastAsia="宋体" w:cs="Times New Roman"/>
                <w:bCs/>
                <w:color w:val="auto"/>
                <w:kern w:val="0"/>
                <w:sz w:val="24"/>
                <w:highlight w:val="none"/>
                <w:lang w:eastAsia="zh-CN"/>
              </w:rPr>
              <w:t>）</w:t>
            </w:r>
            <w:r>
              <w:rPr>
                <w:rFonts w:hint="default" w:ascii="Times New Roman" w:hAnsi="Times New Roman" w:eastAsia="宋体" w:cs="Times New Roman"/>
                <w:bCs/>
                <w:color w:val="auto"/>
                <w:kern w:val="0"/>
                <w:sz w:val="24"/>
                <w:highlight w:val="none"/>
                <w:lang w:val="en-US" w:eastAsia="zh-CN"/>
              </w:rPr>
              <w:t>生物质</w:t>
            </w:r>
            <w:r>
              <w:rPr>
                <w:rFonts w:hint="default" w:ascii="Times New Roman" w:hAnsi="Times New Roman" w:eastAsia="宋体" w:cs="Times New Roman"/>
                <w:bCs/>
                <w:color w:val="auto"/>
                <w:kern w:val="0"/>
                <w:sz w:val="24"/>
                <w:highlight w:val="none"/>
                <w:lang w:eastAsia="zh-CN"/>
              </w:rPr>
              <w:t>燃料与灰渣储存于</w:t>
            </w:r>
            <w:r>
              <w:rPr>
                <w:rFonts w:hint="eastAsia" w:cs="Times New Roman"/>
                <w:bCs/>
                <w:color w:val="auto"/>
                <w:kern w:val="0"/>
                <w:sz w:val="24"/>
                <w:highlight w:val="none"/>
                <w:lang w:val="en-US" w:eastAsia="zh-CN"/>
              </w:rPr>
              <w:t>全</w:t>
            </w:r>
            <w:r>
              <w:rPr>
                <w:rFonts w:hint="default" w:ascii="Times New Roman" w:hAnsi="Times New Roman" w:eastAsia="宋体" w:cs="Times New Roman"/>
                <w:bCs/>
                <w:color w:val="auto"/>
                <w:kern w:val="0"/>
                <w:sz w:val="24"/>
                <w:highlight w:val="none"/>
                <w:lang w:eastAsia="zh-CN"/>
              </w:rPr>
              <w:t>封闭库内，属于《排污许可证申请与核发技术规范 锅炉》（HJ953-2018）中可行技术--密闭措施。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kern w:val="0"/>
                <w:sz w:val="24"/>
                <w:highlight w:val="none"/>
              </w:rPr>
            </w:pP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lang w:val="en-US" w:eastAsia="zh-CN"/>
              </w:rPr>
              <w:t>2</w:t>
            </w:r>
            <w:r>
              <w:rPr>
                <w:rFonts w:hint="default" w:ascii="Times New Roman" w:hAnsi="Times New Roman" w:eastAsia="宋体" w:cs="Times New Roman"/>
                <w:bCs/>
                <w:color w:val="auto"/>
                <w:sz w:val="24"/>
                <w:highlight w:val="none"/>
                <w:lang w:eastAsia="zh-CN"/>
              </w:rPr>
              <w:t>）本</w:t>
            </w:r>
            <w:r>
              <w:rPr>
                <w:rFonts w:hint="default" w:ascii="Times New Roman" w:hAnsi="Times New Roman" w:eastAsia="宋体" w:cs="Times New Roman"/>
                <w:b w:val="0"/>
                <w:bCs w:val="0"/>
                <w:color w:val="auto"/>
                <w:sz w:val="24"/>
                <w:szCs w:val="24"/>
                <w:highlight w:val="none"/>
                <w:lang w:val="en-US" w:eastAsia="zh-CN"/>
              </w:rPr>
              <w:t>项目</w:t>
            </w:r>
            <w:r>
              <w:rPr>
                <w:rFonts w:hint="eastAsia" w:cs="Times New Roman"/>
                <w:color w:val="auto"/>
                <w:sz w:val="24"/>
                <w:highlight w:val="none"/>
                <w:lang w:val="en-US" w:eastAsia="zh-CN"/>
              </w:rPr>
              <w:t>8t/h</w:t>
            </w:r>
            <w:r>
              <w:rPr>
                <w:rFonts w:hint="default" w:ascii="Times New Roman" w:hAnsi="Times New Roman" w:eastAsia="宋体" w:cs="Times New Roman"/>
                <w:color w:val="auto"/>
                <w:sz w:val="24"/>
                <w:szCs w:val="32"/>
                <w:highlight w:val="none"/>
                <w:lang w:eastAsia="zh-CN"/>
              </w:rPr>
              <w:t>生物质热水锅炉</w:t>
            </w:r>
            <w:r>
              <w:rPr>
                <w:rFonts w:hint="default" w:ascii="Times New Roman" w:hAnsi="Times New Roman" w:eastAsia="宋体" w:cs="Times New Roman"/>
                <w:bCs/>
                <w:color w:val="auto"/>
                <w:kern w:val="0"/>
                <w:sz w:val="24"/>
                <w:highlight w:val="none"/>
              </w:rPr>
              <w:t>排放的颗粒物治理措施为</w:t>
            </w:r>
            <w:r>
              <w:rPr>
                <w:rFonts w:hint="default" w:ascii="Times New Roman" w:hAnsi="Times New Roman" w:eastAsia="宋体" w:cs="Times New Roman"/>
                <w:bCs/>
                <w:color w:val="auto"/>
                <w:kern w:val="0"/>
                <w:sz w:val="24"/>
                <w:highlight w:val="none"/>
                <w:lang w:val="en-US" w:eastAsia="zh-CN"/>
              </w:rPr>
              <w:t>1</w:t>
            </w:r>
            <w:r>
              <w:rPr>
                <w:rFonts w:hint="default" w:ascii="Times New Roman" w:hAnsi="Times New Roman" w:eastAsia="宋体" w:cs="Times New Roman"/>
                <w:bCs/>
                <w:color w:val="auto"/>
                <w:kern w:val="0"/>
                <w:sz w:val="24"/>
                <w:highlight w:val="none"/>
                <w:lang w:eastAsia="zh-CN"/>
              </w:rPr>
              <w:t>台布袋除尘器</w:t>
            </w:r>
            <w:r>
              <w:rPr>
                <w:rFonts w:hint="default" w:ascii="Times New Roman" w:hAnsi="Times New Roman" w:eastAsia="宋体" w:cs="Times New Roman"/>
                <w:bCs/>
                <w:color w:val="auto"/>
                <w:kern w:val="0"/>
                <w:sz w:val="24"/>
                <w:highlight w:val="none"/>
                <w:lang w:val="en-US" w:eastAsia="zh-CN"/>
              </w:rPr>
              <w:t>+1台</w:t>
            </w:r>
            <w:r>
              <w:rPr>
                <w:rFonts w:hint="eastAsia" w:cs="Times New Roman"/>
                <w:bCs/>
                <w:color w:val="auto"/>
                <w:kern w:val="0"/>
                <w:sz w:val="24"/>
                <w:highlight w:val="none"/>
                <w:lang w:val="en-US" w:eastAsia="zh-CN"/>
              </w:rPr>
              <w:t>双</w:t>
            </w:r>
            <w:r>
              <w:rPr>
                <w:rFonts w:hint="default" w:ascii="Times New Roman" w:hAnsi="Times New Roman" w:eastAsia="宋体" w:cs="Times New Roman"/>
                <w:bCs/>
                <w:color w:val="auto"/>
                <w:kern w:val="0"/>
                <w:sz w:val="24"/>
                <w:highlight w:val="none"/>
                <w:lang w:val="en-US" w:eastAsia="zh-CN"/>
              </w:rPr>
              <w:t>碱法脱硫塔</w:t>
            </w:r>
            <w:r>
              <w:rPr>
                <w:rFonts w:hint="default" w:ascii="Times New Roman" w:hAnsi="Times New Roman" w:eastAsia="宋体" w:cs="Times New Roman"/>
                <w:bCs/>
                <w:color w:val="auto"/>
                <w:kern w:val="0"/>
                <w:sz w:val="24"/>
                <w:highlight w:val="none"/>
                <w:lang w:eastAsia="zh-CN"/>
              </w:rPr>
              <w:t>，污染物颗粒物的防治措施属于《排污许可证申请与核发技术规范 锅炉》（HJ953-2018）中可行技术--袋式除尘技术；污染物二氧化硫的防治措施《排污许可证申请与核发技术规范 锅炉》（HJ953-2018）中可行技术。</w:t>
            </w:r>
            <w:r>
              <w:rPr>
                <w:rFonts w:hint="default" w:ascii="Times New Roman" w:hAnsi="Times New Roman" w:eastAsia="宋体" w:cs="Times New Roman"/>
                <w:color w:val="auto"/>
                <w:sz w:val="24"/>
                <w:highlight w:val="none"/>
              </w:rPr>
              <w:t>因此，本</w:t>
            </w:r>
            <w:r>
              <w:rPr>
                <w:rFonts w:hint="default" w:ascii="Times New Roman" w:hAnsi="Times New Roman" w:eastAsia="宋体" w:cs="Times New Roman"/>
                <w:color w:val="auto"/>
                <w:sz w:val="24"/>
                <w:highlight w:val="none"/>
                <w:lang w:eastAsia="zh-CN"/>
              </w:rPr>
              <w:t>项目</w:t>
            </w:r>
            <w:r>
              <w:rPr>
                <w:rFonts w:hint="default" w:ascii="Times New Roman" w:hAnsi="Times New Roman" w:eastAsia="宋体" w:cs="Times New Roman"/>
                <w:color w:val="auto"/>
                <w:sz w:val="24"/>
                <w:highlight w:val="none"/>
              </w:rPr>
              <w:t>废气治理措施可行。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default" w:ascii="Times New Roman" w:hAnsi="Times New Roman" w:cs="Times New Roman"/>
                <w:b/>
                <w:bCs/>
                <w:color w:val="auto"/>
                <w:highlight w:val="none"/>
                <w:lang w:val="en-US" w:eastAsia="zh-CN"/>
              </w:rPr>
            </w:pPr>
            <w:r>
              <w:rPr>
                <w:rFonts w:hint="eastAsia" w:cs="Times New Roman"/>
                <w:b/>
                <w:bCs/>
                <w:color w:val="auto"/>
                <w:highlight w:val="none"/>
                <w:lang w:val="en-US" w:eastAsia="zh-CN"/>
              </w:rPr>
              <w:t>1.3大气环境监测计划</w:t>
            </w:r>
          </w:p>
          <w:p>
            <w:pPr>
              <w:bidi w:val="0"/>
              <w:rPr>
                <w:color w:val="auto"/>
                <w:highlight w:val="none"/>
              </w:rPr>
            </w:pPr>
            <w:r>
              <w:rPr>
                <w:color w:val="auto"/>
                <w:highlight w:val="none"/>
              </w:rPr>
              <w:t>根据《排污单位自行监测技术指南 总则》（HJ 819-2017）</w:t>
            </w:r>
            <w:r>
              <w:rPr>
                <w:rFonts w:hint="eastAsia"/>
                <w:color w:val="auto"/>
                <w:highlight w:val="none"/>
                <w:lang w:eastAsia="zh-CN"/>
              </w:rPr>
              <w:t>、《排污许可证申请与核发技术规范</w:t>
            </w:r>
            <w:r>
              <w:rPr>
                <w:rFonts w:hint="eastAsia"/>
                <w:color w:val="auto"/>
                <w:highlight w:val="none"/>
                <w:lang w:val="en-US" w:eastAsia="zh-CN"/>
              </w:rPr>
              <w:t xml:space="preserve"> 锅炉</w:t>
            </w:r>
            <w:r>
              <w:rPr>
                <w:rFonts w:hint="eastAsia"/>
                <w:color w:val="auto"/>
                <w:highlight w:val="none"/>
                <w:lang w:eastAsia="zh-CN"/>
              </w:rPr>
              <w:t>》（</w:t>
            </w:r>
            <w:r>
              <w:rPr>
                <w:rFonts w:hint="eastAsia"/>
                <w:color w:val="auto"/>
                <w:highlight w:val="none"/>
                <w:lang w:val="en-US" w:eastAsia="zh-CN"/>
              </w:rPr>
              <w:t>HJ953-2018</w:t>
            </w:r>
            <w:r>
              <w:rPr>
                <w:rFonts w:hint="eastAsia"/>
                <w:color w:val="auto"/>
                <w:highlight w:val="none"/>
                <w:lang w:eastAsia="zh-CN"/>
              </w:rPr>
              <w:t>）和《排污单位自行监测技术指南</w:t>
            </w:r>
            <w:r>
              <w:rPr>
                <w:rFonts w:hint="eastAsia"/>
                <w:color w:val="auto"/>
                <w:highlight w:val="none"/>
                <w:lang w:val="en-US" w:eastAsia="zh-CN"/>
              </w:rPr>
              <w:t xml:space="preserve">  火力发电及锅炉</w:t>
            </w:r>
            <w:r>
              <w:rPr>
                <w:rFonts w:hint="eastAsia"/>
                <w:color w:val="auto"/>
                <w:highlight w:val="none"/>
                <w:lang w:eastAsia="zh-CN"/>
              </w:rPr>
              <w:t>》（</w:t>
            </w:r>
            <w:r>
              <w:rPr>
                <w:rFonts w:hint="eastAsia"/>
                <w:color w:val="auto"/>
                <w:highlight w:val="none"/>
                <w:lang w:val="en-US" w:eastAsia="zh-CN"/>
              </w:rPr>
              <w:t>HJ820-2017</w:t>
            </w:r>
            <w:r>
              <w:rPr>
                <w:rFonts w:hint="eastAsia"/>
                <w:color w:val="auto"/>
                <w:highlight w:val="none"/>
                <w:lang w:eastAsia="zh-CN"/>
              </w:rPr>
              <w:t>）</w:t>
            </w:r>
            <w:r>
              <w:rPr>
                <w:color w:val="auto"/>
                <w:highlight w:val="none"/>
              </w:rPr>
              <w:t>，</w:t>
            </w:r>
            <w:r>
              <w:rPr>
                <w:rFonts w:hint="eastAsia"/>
                <w:color w:val="auto"/>
                <w:highlight w:val="none"/>
              </w:rPr>
              <w:t>大气</w:t>
            </w:r>
            <w:r>
              <w:rPr>
                <w:color w:val="auto"/>
                <w:highlight w:val="none"/>
              </w:rPr>
              <w:t>污染源监测频次详见表</w:t>
            </w:r>
            <w:r>
              <w:rPr>
                <w:rFonts w:hint="eastAsia"/>
                <w:color w:val="auto"/>
                <w:highlight w:val="none"/>
                <w:lang w:val="en-US" w:eastAsia="zh-CN"/>
              </w:rPr>
              <w:t>5</w:t>
            </w:r>
            <w:r>
              <w:rPr>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jc w:val="center"/>
              <w:textAlignment w:val="auto"/>
              <w:rPr>
                <w:rFonts w:hint="default" w:ascii="Times New Roman" w:hAnsi="Times New Roman" w:cs="Times New Roman"/>
                <w:b/>
                <w:bCs/>
                <w:color w:val="auto"/>
                <w:highlight w:val="none"/>
                <w:lang w:val="en-US" w:eastAsia="zh-CN"/>
              </w:rPr>
            </w:pPr>
            <w:r>
              <w:rPr>
                <w:rFonts w:hint="eastAsia" w:cs="Times New Roman"/>
                <w:b/>
                <w:bCs/>
                <w:color w:val="auto"/>
                <w:highlight w:val="none"/>
                <w:lang w:val="en-US" w:eastAsia="zh-CN"/>
              </w:rPr>
              <w:t>表5  大气环境监测计划一览表</w:t>
            </w:r>
          </w:p>
          <w:tbl>
            <w:tblPr>
              <w:tblStyle w:val="18"/>
              <w:tblW w:w="7946"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69"/>
              <w:gridCol w:w="1248"/>
              <w:gridCol w:w="1116"/>
              <w:gridCol w:w="1380"/>
              <w:gridCol w:w="283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3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cs="Times New Roman"/>
                      <w:b/>
                      <w:bCs/>
                      <w:color w:val="auto"/>
                      <w:sz w:val="21"/>
                      <w:szCs w:val="21"/>
                      <w:highlight w:val="none"/>
                      <w:vertAlign w:val="baseline"/>
                      <w:lang w:val="en-US" w:eastAsia="zh-CN"/>
                    </w:rPr>
                    <w:t>污染物名称</w:t>
                  </w:r>
                </w:p>
              </w:tc>
              <w:tc>
                <w:tcPr>
                  <w:tcW w:w="12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cs="Times New Roman"/>
                      <w:b/>
                      <w:bCs/>
                      <w:color w:val="auto"/>
                      <w:sz w:val="21"/>
                      <w:szCs w:val="21"/>
                      <w:highlight w:val="none"/>
                      <w:vertAlign w:val="baseline"/>
                      <w:lang w:val="en-US" w:eastAsia="zh-CN"/>
                    </w:rPr>
                    <w:t>监测点</w:t>
                  </w:r>
                </w:p>
              </w:tc>
              <w:tc>
                <w:tcPr>
                  <w:tcW w:w="11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cs="Times New Roman"/>
                      <w:b/>
                      <w:bCs/>
                      <w:color w:val="auto"/>
                      <w:sz w:val="21"/>
                      <w:szCs w:val="21"/>
                      <w:highlight w:val="none"/>
                      <w:vertAlign w:val="baseline"/>
                      <w:lang w:val="en-US" w:eastAsia="zh-CN"/>
                    </w:rPr>
                    <w:t>监测项目</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cs="Times New Roman"/>
                      <w:b/>
                      <w:bCs/>
                      <w:color w:val="auto"/>
                      <w:sz w:val="21"/>
                      <w:szCs w:val="21"/>
                      <w:highlight w:val="none"/>
                      <w:vertAlign w:val="baseline"/>
                      <w:lang w:val="en-US" w:eastAsia="zh-CN"/>
                    </w:rPr>
                    <w:t>监测频次</w:t>
                  </w:r>
                </w:p>
              </w:tc>
              <w:tc>
                <w:tcPr>
                  <w:tcW w:w="28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cs="Times New Roman"/>
                      <w:b/>
                      <w:bCs/>
                      <w:color w:val="auto"/>
                      <w:sz w:val="21"/>
                      <w:szCs w:val="21"/>
                      <w:highlight w:val="none"/>
                      <w:vertAlign w:val="baseli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36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大气污染物</w:t>
                  </w:r>
                </w:p>
              </w:tc>
              <w:tc>
                <w:tcPr>
                  <w:tcW w:w="124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both"/>
                    <w:textAlignment w:val="auto"/>
                    <w:rPr>
                      <w:rFonts w:hint="default" w:ascii="Times New Roman" w:hAnsi="Times New Roman"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锅炉废气排气筒</w:t>
                  </w:r>
                </w:p>
              </w:tc>
              <w:tc>
                <w:tcPr>
                  <w:tcW w:w="11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颗粒物</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1次/月</w:t>
                  </w:r>
                </w:p>
              </w:tc>
              <w:tc>
                <w:tcPr>
                  <w:tcW w:w="283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满足《锅炉大气污染物排放标准》（GB13271-2014）中表2燃煤锅炉排放限值要求。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3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12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11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二氧化硫</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1次/月</w:t>
                  </w:r>
                </w:p>
              </w:tc>
              <w:tc>
                <w:tcPr>
                  <w:tcW w:w="283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13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12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11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氮氧化物</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1次/月</w:t>
                  </w:r>
                </w:p>
              </w:tc>
              <w:tc>
                <w:tcPr>
                  <w:tcW w:w="283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3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12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11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林格曼黑度</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1次/月</w:t>
                  </w:r>
                </w:p>
              </w:tc>
              <w:tc>
                <w:tcPr>
                  <w:tcW w:w="283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3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12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厂界</w:t>
                  </w:r>
                </w:p>
              </w:tc>
              <w:tc>
                <w:tcPr>
                  <w:tcW w:w="11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颗粒物</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1次/季度</w:t>
                  </w:r>
                </w:p>
              </w:tc>
              <w:tc>
                <w:tcPr>
                  <w:tcW w:w="28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《大气污染物综合排放标准》（GB16297-1996）中表2 新污染源无组织监控浓度排放限值要求。</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default" w:ascii="Times New Roman" w:hAnsi="Times New Roman" w:cs="Times New Roman"/>
                <w:b/>
                <w:bCs/>
                <w:color w:val="auto"/>
                <w:highlight w:val="none"/>
                <w:lang w:val="en-US"/>
              </w:rPr>
            </w:pPr>
            <w:r>
              <w:rPr>
                <w:rFonts w:hint="eastAsia" w:ascii="Times New Roman" w:hAnsi="Times New Roman" w:cs="Times New Roman"/>
                <w:b/>
                <w:bCs/>
                <w:color w:val="auto"/>
                <w:highlight w:val="none"/>
                <w:lang w:val="en-US" w:eastAsia="zh-CN"/>
              </w:rPr>
              <w:t>2</w:t>
            </w:r>
            <w:r>
              <w:rPr>
                <w:rFonts w:ascii="Times New Roman" w:hAnsi="Times New Roman" w:cs="Times New Roman"/>
                <w:b/>
                <w:bCs/>
                <w:color w:val="auto"/>
                <w:highlight w:val="none"/>
              </w:rPr>
              <w:t>、</w:t>
            </w:r>
            <w:r>
              <w:rPr>
                <w:rFonts w:hint="eastAsia" w:cs="Times New Roman"/>
                <w:b/>
                <w:bCs/>
                <w:color w:val="auto"/>
                <w:highlight w:val="none"/>
                <w:lang w:val="en-US" w:eastAsia="zh-CN"/>
              </w:rPr>
              <w:t>废水产排情况及治理措施可行性分析</w:t>
            </w:r>
          </w:p>
          <w:p>
            <w:pPr>
              <w:spacing w:line="360" w:lineRule="auto"/>
              <w:ind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改建项目不新增劳动定员，因此不新增生活污水。</w:t>
            </w:r>
            <w:r>
              <w:rPr>
                <w:rFonts w:hint="default" w:ascii="Times New Roman" w:hAnsi="Times New Roman" w:eastAsia="宋体" w:cs="Times New Roman"/>
                <w:color w:val="auto"/>
                <w:sz w:val="24"/>
                <w:highlight w:val="none"/>
              </w:rPr>
              <w:t>项目运营期废水主要为软水制备废水</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锅炉定期排污水</w:t>
            </w:r>
            <w:r>
              <w:rPr>
                <w:rFonts w:hint="eastAsia" w:cs="Times New Roman"/>
                <w:color w:val="auto"/>
                <w:sz w:val="24"/>
                <w:highlight w:val="none"/>
                <w:lang w:eastAsia="zh-CN"/>
              </w:rPr>
              <w:t>、</w:t>
            </w:r>
            <w:r>
              <w:rPr>
                <w:rFonts w:hint="eastAsia" w:cs="Times New Roman"/>
                <w:color w:val="auto"/>
                <w:sz w:val="24"/>
                <w:highlight w:val="none"/>
                <w:lang w:val="en-US" w:eastAsia="zh-CN"/>
              </w:rPr>
              <w:t>灰渣间抑尘废水、出渣机废水和脱硫塔废水</w:t>
            </w:r>
            <w:r>
              <w:rPr>
                <w:rFonts w:hint="default" w:ascii="Times New Roman" w:hAnsi="Times New Roman" w:eastAsia="宋体" w:cs="Times New Roman"/>
                <w:color w:val="auto"/>
                <w:sz w:val="24"/>
                <w:highlight w:val="none"/>
              </w:rPr>
              <w:t>。</w:t>
            </w:r>
          </w:p>
          <w:p>
            <w:pPr>
              <w:spacing w:line="360" w:lineRule="auto"/>
              <w:ind w:firstLine="480" w:firstLineChars="200"/>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软水制备废水和锅炉定期排污水用于灰渣间抑尘、出渣机补水，不外排；出渣机废水循环使用，不外排；脱硫塔废水循环使用不外排；灰渣间抑尘废水，自然蒸发损耗；</w:t>
            </w:r>
            <w:r>
              <w:rPr>
                <w:rFonts w:hint="default" w:ascii="Times New Roman" w:hAnsi="Times New Roman" w:eastAsia="宋体" w:cs="Times New Roman"/>
                <w:color w:val="auto"/>
                <w:sz w:val="24"/>
                <w:highlight w:val="none"/>
                <w:lang w:eastAsia="zh-CN"/>
              </w:rPr>
              <w:t>综上</w:t>
            </w:r>
            <w:r>
              <w:rPr>
                <w:rFonts w:hint="eastAsia" w:cs="Times New Roman"/>
                <w:color w:val="auto"/>
                <w:sz w:val="24"/>
                <w:highlight w:val="none"/>
                <w:lang w:val="en-US" w:eastAsia="zh-CN"/>
              </w:rPr>
              <w:t>所述</w:t>
            </w:r>
            <w:r>
              <w:rPr>
                <w:rFonts w:hint="default" w:ascii="Times New Roman" w:hAnsi="Times New Roman" w:eastAsia="宋体" w:cs="Times New Roman"/>
                <w:color w:val="auto"/>
                <w:sz w:val="24"/>
                <w:highlight w:val="none"/>
                <w:lang w:eastAsia="zh-CN"/>
              </w:rPr>
              <w:t>，</w:t>
            </w:r>
            <w:r>
              <w:rPr>
                <w:rFonts w:hint="eastAsia" w:cs="Times New Roman"/>
                <w:color w:val="auto"/>
                <w:sz w:val="24"/>
                <w:highlight w:val="none"/>
                <w:lang w:val="en-US" w:eastAsia="zh-CN"/>
              </w:rPr>
              <w:t>改建</w:t>
            </w:r>
            <w:r>
              <w:rPr>
                <w:rFonts w:hint="default" w:ascii="Times New Roman" w:hAnsi="Times New Roman" w:eastAsia="宋体" w:cs="Times New Roman"/>
                <w:color w:val="auto"/>
                <w:sz w:val="24"/>
                <w:highlight w:val="none"/>
              </w:rPr>
              <w:t>项目生产废水均不外排，对周围水环境无影响。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default"/>
                <w:color w:val="auto"/>
                <w:highlight w:val="none"/>
              </w:rPr>
            </w:pPr>
            <w:r>
              <w:rPr>
                <w:rFonts w:hint="eastAsia" w:cs="Times New Roman"/>
                <w:b/>
                <w:bCs/>
                <w:color w:val="auto"/>
                <w:highlight w:val="none"/>
                <w:lang w:val="en-US" w:eastAsia="zh-CN"/>
              </w:rPr>
              <w:t>3、</w:t>
            </w:r>
            <w:r>
              <w:rPr>
                <w:rFonts w:hint="eastAsia" w:ascii="Times New Roman" w:hAnsi="Times New Roman" w:cs="Times New Roman"/>
                <w:b/>
                <w:bCs/>
                <w:color w:val="auto"/>
                <w:highlight w:val="none"/>
                <w:lang w:eastAsia="zh-CN"/>
              </w:rPr>
              <w:t>噪声</w:t>
            </w:r>
          </w:p>
          <w:p>
            <w:pPr>
              <w:bidi w:val="0"/>
              <w:rPr>
                <w:rFonts w:hint="default"/>
                <w:b/>
                <w:bCs/>
                <w:color w:val="auto"/>
                <w:highlight w:val="none"/>
                <w:lang w:val="en-US" w:eastAsia="zh-CN"/>
              </w:rPr>
            </w:pPr>
            <w:r>
              <w:rPr>
                <w:rFonts w:hint="eastAsia"/>
                <w:b/>
                <w:bCs/>
                <w:color w:val="auto"/>
                <w:highlight w:val="none"/>
                <w:lang w:val="en-US" w:eastAsia="zh-CN"/>
              </w:rPr>
              <w:t>3.1噪声源强分析</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8"/>
                <w:highlight w:val="none"/>
              </w:rPr>
              <w:t>本项目运营期产生的主要声源为给水泵、</w:t>
            </w:r>
            <w:r>
              <w:rPr>
                <w:rFonts w:hint="default" w:ascii="Times New Roman" w:hAnsi="Times New Roman" w:eastAsia="宋体" w:cs="Times New Roman"/>
                <w:color w:val="auto"/>
                <w:sz w:val="24"/>
                <w:szCs w:val="28"/>
                <w:highlight w:val="none"/>
                <w:lang w:eastAsia="zh-CN"/>
              </w:rPr>
              <w:t>循环水</w:t>
            </w:r>
            <w:r>
              <w:rPr>
                <w:rFonts w:hint="default" w:ascii="Times New Roman" w:hAnsi="Times New Roman" w:eastAsia="宋体" w:cs="Times New Roman"/>
                <w:color w:val="auto"/>
                <w:sz w:val="24"/>
                <w:szCs w:val="28"/>
                <w:highlight w:val="none"/>
              </w:rPr>
              <w:t>泵、风机设备噪声，该类设备运行时噪声源强参照《污染源源强核算技术指南 锅炉》</w:t>
            </w:r>
            <w:r>
              <w:rPr>
                <w:rFonts w:hint="default" w:ascii="Times New Roman" w:hAnsi="Times New Roman" w:eastAsia="宋体" w:cs="Times New Roman"/>
                <w:color w:val="auto"/>
                <w:sz w:val="24"/>
                <w:szCs w:val="28"/>
                <w:highlight w:val="none"/>
                <w:lang w:eastAsia="zh-CN"/>
              </w:rPr>
              <w:t>（</w:t>
            </w:r>
            <w:r>
              <w:rPr>
                <w:rFonts w:hint="default" w:ascii="Times New Roman" w:hAnsi="Times New Roman" w:eastAsia="宋体" w:cs="Times New Roman"/>
                <w:color w:val="auto"/>
                <w:sz w:val="24"/>
                <w:szCs w:val="28"/>
                <w:highlight w:val="none"/>
              </w:rPr>
              <w:t>HJ991-2018）中“附录D 锅炉相关设备噪声源声压级及常见降噪措施一览表”可知，本项目设备源强在70-90dB</w:t>
            </w:r>
            <w:r>
              <w:rPr>
                <w:rFonts w:hint="default" w:ascii="Times New Roman" w:hAnsi="Times New Roman" w:eastAsia="宋体" w:cs="Times New Roman"/>
                <w:color w:val="auto"/>
                <w:sz w:val="24"/>
                <w:szCs w:val="28"/>
                <w:highlight w:val="none"/>
                <w:lang w:eastAsia="zh-CN"/>
              </w:rPr>
              <w:t>（</w:t>
            </w:r>
            <w:r>
              <w:rPr>
                <w:rFonts w:hint="default" w:ascii="Times New Roman" w:hAnsi="Times New Roman" w:eastAsia="宋体" w:cs="Times New Roman"/>
                <w:color w:val="auto"/>
                <w:sz w:val="24"/>
                <w:szCs w:val="28"/>
                <w:highlight w:val="none"/>
              </w:rPr>
              <w:t>A</w:t>
            </w:r>
            <w:r>
              <w:rPr>
                <w:rFonts w:hint="default" w:ascii="Times New Roman" w:hAnsi="Times New Roman" w:eastAsia="宋体" w:cs="Times New Roman"/>
                <w:color w:val="auto"/>
                <w:sz w:val="24"/>
                <w:szCs w:val="28"/>
                <w:highlight w:val="none"/>
                <w:lang w:eastAsia="zh-CN"/>
              </w:rPr>
              <w:t>）</w:t>
            </w:r>
            <w:r>
              <w:rPr>
                <w:rFonts w:hint="default" w:ascii="Times New Roman" w:hAnsi="Times New Roman" w:eastAsia="宋体" w:cs="Times New Roman"/>
                <w:color w:val="auto"/>
                <w:sz w:val="24"/>
                <w:szCs w:val="28"/>
                <w:highlight w:val="none"/>
              </w:rPr>
              <w:t>左右</w:t>
            </w:r>
            <w:r>
              <w:rPr>
                <w:rFonts w:hint="default" w:ascii="Times New Roman" w:hAnsi="Times New Roman" w:eastAsia="宋体" w:cs="Times New Roman"/>
                <w:snapToGrid w:val="0"/>
                <w:color w:val="auto"/>
                <w:kern w:val="0"/>
                <w:sz w:val="24"/>
                <w:highlight w:val="none"/>
              </w:rPr>
              <w:t>。为使项目运营期噪声影响降到最低，项目锅炉设备均设于室内，做全封闭隔声同时进行减振处理，降噪值可达25dB</w:t>
            </w:r>
            <w:r>
              <w:rPr>
                <w:rFonts w:hint="default" w:ascii="Times New Roman" w:hAnsi="Times New Roman" w:eastAsia="宋体" w:cs="Times New Roman"/>
                <w:snapToGrid w:val="0"/>
                <w:color w:val="auto"/>
                <w:kern w:val="0"/>
                <w:sz w:val="24"/>
                <w:highlight w:val="none"/>
                <w:lang w:eastAsia="zh-CN"/>
              </w:rPr>
              <w:t>（</w:t>
            </w:r>
            <w:r>
              <w:rPr>
                <w:rFonts w:hint="default" w:ascii="Times New Roman" w:hAnsi="Times New Roman" w:eastAsia="宋体" w:cs="Times New Roman"/>
                <w:snapToGrid w:val="0"/>
                <w:color w:val="auto"/>
                <w:kern w:val="0"/>
                <w:sz w:val="24"/>
                <w:highlight w:val="none"/>
              </w:rPr>
              <w:t>A）以上</w:t>
            </w:r>
            <w:r>
              <w:rPr>
                <w:rFonts w:hint="default" w:ascii="Times New Roman" w:hAnsi="Times New Roman" w:eastAsia="宋体" w:cs="Times New Roman"/>
                <w:color w:val="auto"/>
                <w:sz w:val="24"/>
                <w:highlight w:val="none"/>
              </w:rPr>
              <w:t>，设备噪声源值见表</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w:t>
            </w:r>
          </w:p>
          <w:p>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w:t>
            </w:r>
            <w:r>
              <w:rPr>
                <w:rFonts w:hint="eastAsia" w:cs="Times New Roman"/>
                <w:b/>
                <w:bCs/>
                <w:color w:val="auto"/>
                <w:sz w:val="24"/>
                <w:highlight w:val="none"/>
                <w:lang w:val="en-US" w:eastAsia="zh-CN"/>
              </w:rPr>
              <w:t xml:space="preserve">6 </w:t>
            </w:r>
            <w:r>
              <w:rPr>
                <w:rFonts w:hint="default" w:ascii="Times New Roman" w:hAnsi="Times New Roman" w:eastAsia="宋体" w:cs="Times New Roman"/>
                <w:b/>
                <w:bCs/>
                <w:color w:val="auto"/>
                <w:sz w:val="24"/>
                <w:highlight w:val="none"/>
              </w:rPr>
              <w:t xml:space="preserve"> 设备噪声源值表</w:t>
            </w:r>
          </w:p>
          <w:tbl>
            <w:tblPr>
              <w:tblStyle w:val="17"/>
              <w:tblW w:w="7896"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5" w:type="dxa"/>
                <w:bottom w:w="0" w:type="dxa"/>
                <w:right w:w="15" w:type="dxa"/>
              </w:tblCellMar>
            </w:tblPr>
            <w:tblGrid>
              <w:gridCol w:w="481"/>
              <w:gridCol w:w="1281"/>
              <w:gridCol w:w="720"/>
              <w:gridCol w:w="1464"/>
              <w:gridCol w:w="1573"/>
              <w:gridCol w:w="1066"/>
              <w:gridCol w:w="1311"/>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5" w:type="dxa"/>
                  <w:bottom w:w="0" w:type="dxa"/>
                  <w:right w:w="15" w:type="dxa"/>
                </w:tblCellMar>
              </w:tblPrEx>
              <w:trPr>
                <w:trHeight w:val="739" w:hRule="atLeast"/>
                <w:jc w:val="center"/>
              </w:trPr>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12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名称及型号</w:t>
                  </w:r>
                </w:p>
              </w:tc>
              <w:tc>
                <w:tcPr>
                  <w:tcW w:w="7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噪声值dB</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A</w:t>
                  </w:r>
                  <w:r>
                    <w:rPr>
                      <w:rFonts w:hint="default" w:ascii="Times New Roman" w:hAnsi="Times New Roman" w:eastAsia="宋体" w:cs="Times New Roman"/>
                      <w:b/>
                      <w:bCs/>
                      <w:color w:val="auto"/>
                      <w:sz w:val="21"/>
                      <w:szCs w:val="21"/>
                      <w:highlight w:val="none"/>
                      <w:lang w:eastAsia="zh-CN"/>
                    </w:rPr>
                    <w:t>）</w:t>
                  </w:r>
                </w:p>
              </w:tc>
              <w:tc>
                <w:tcPr>
                  <w:tcW w:w="1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防护措施</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减噪数值dB</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A</w:t>
                  </w:r>
                  <w:r>
                    <w:rPr>
                      <w:rFonts w:hint="default" w:ascii="Times New Roman" w:hAnsi="Times New Roman" w:eastAsia="宋体" w:cs="Times New Roman"/>
                      <w:b/>
                      <w:bCs/>
                      <w:color w:val="auto"/>
                      <w:sz w:val="21"/>
                      <w:szCs w:val="21"/>
                      <w:highlight w:val="none"/>
                      <w:lang w:eastAsia="zh-CN"/>
                    </w:rPr>
                    <w:t>）</w:t>
                  </w:r>
                </w:p>
              </w:tc>
              <w:tc>
                <w:tcPr>
                  <w:tcW w:w="13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采取环保措施的噪声值dB</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A</w:t>
                  </w:r>
                  <w:r>
                    <w:rPr>
                      <w:rFonts w:hint="default" w:ascii="Times New Roman" w:hAnsi="Times New Roman" w:eastAsia="宋体" w:cs="Times New Roman"/>
                      <w:b/>
                      <w:bCs/>
                      <w:color w:val="auto"/>
                      <w:sz w:val="21"/>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5" w:type="dxa"/>
                  <w:bottom w:w="0" w:type="dxa"/>
                  <w:right w:w="15" w:type="dxa"/>
                </w:tblCellMar>
              </w:tblPrEx>
              <w:trPr>
                <w:trHeight w:val="90" w:hRule="atLeast"/>
                <w:jc w:val="center"/>
              </w:trPr>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2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给水泵</w:t>
                  </w:r>
                </w:p>
              </w:tc>
              <w:tc>
                <w:tcPr>
                  <w:tcW w:w="7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90</w:t>
                  </w:r>
                </w:p>
              </w:tc>
              <w:tc>
                <w:tcPr>
                  <w:tcW w:w="1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减震、封闭隔声</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w:t>
                  </w:r>
                </w:p>
              </w:tc>
              <w:tc>
                <w:tcPr>
                  <w:tcW w:w="13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5" w:type="dxa"/>
                  <w:bottom w:w="0" w:type="dxa"/>
                  <w:right w:w="15" w:type="dxa"/>
                </w:tblCellMar>
              </w:tblPrEx>
              <w:trPr>
                <w:trHeight w:val="90" w:hRule="atLeast"/>
                <w:jc w:val="center"/>
              </w:trPr>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2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风机</w:t>
                  </w:r>
                </w:p>
              </w:tc>
              <w:tc>
                <w:tcPr>
                  <w:tcW w:w="7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90</w:t>
                  </w:r>
                </w:p>
              </w:tc>
              <w:tc>
                <w:tcPr>
                  <w:tcW w:w="1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减震、封闭隔声</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w:t>
                  </w:r>
                </w:p>
              </w:tc>
              <w:tc>
                <w:tcPr>
                  <w:tcW w:w="13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5" w:type="dxa"/>
                  <w:bottom w:w="0" w:type="dxa"/>
                  <w:right w:w="15" w:type="dxa"/>
                </w:tblCellMar>
              </w:tblPrEx>
              <w:trPr>
                <w:trHeight w:val="90" w:hRule="atLeast"/>
                <w:jc w:val="center"/>
              </w:trPr>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2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炉排减速机</w:t>
                  </w:r>
                </w:p>
              </w:tc>
              <w:tc>
                <w:tcPr>
                  <w:tcW w:w="7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85</w:t>
                  </w:r>
                </w:p>
              </w:tc>
              <w:tc>
                <w:tcPr>
                  <w:tcW w:w="1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减震、封闭隔声</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25</w:t>
                  </w:r>
                </w:p>
              </w:tc>
              <w:tc>
                <w:tcPr>
                  <w:tcW w:w="13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60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5" w:type="dxa"/>
                  <w:bottom w:w="0" w:type="dxa"/>
                  <w:right w:w="15" w:type="dxa"/>
                </w:tblCellMar>
              </w:tblPrEx>
              <w:trPr>
                <w:trHeight w:val="480" w:hRule="atLeast"/>
                <w:jc w:val="center"/>
              </w:trPr>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2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上料机</w:t>
                  </w:r>
                </w:p>
              </w:tc>
              <w:tc>
                <w:tcPr>
                  <w:tcW w:w="7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80</w:t>
                  </w:r>
                </w:p>
              </w:tc>
              <w:tc>
                <w:tcPr>
                  <w:tcW w:w="1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减震、封闭隔声</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25</w:t>
                  </w:r>
                </w:p>
              </w:tc>
              <w:tc>
                <w:tcPr>
                  <w:tcW w:w="13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55</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5" w:type="dxa"/>
                  <w:bottom w:w="0" w:type="dxa"/>
                  <w:right w:w="15" w:type="dxa"/>
                </w:tblCellMar>
              </w:tblPrEx>
              <w:trPr>
                <w:trHeight w:val="90" w:hRule="atLeast"/>
                <w:jc w:val="center"/>
              </w:trPr>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2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出渣机</w:t>
                  </w:r>
                </w:p>
              </w:tc>
              <w:tc>
                <w:tcPr>
                  <w:tcW w:w="7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85</w:t>
                  </w:r>
                </w:p>
              </w:tc>
              <w:tc>
                <w:tcPr>
                  <w:tcW w:w="1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减震、封闭隔声</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25</w:t>
                  </w:r>
                </w:p>
              </w:tc>
              <w:tc>
                <w:tcPr>
                  <w:tcW w:w="13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60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90" w:hRule="atLeast"/>
                <w:jc w:val="center"/>
              </w:trPr>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2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循环水泵</w:t>
                  </w:r>
                </w:p>
              </w:tc>
              <w:tc>
                <w:tcPr>
                  <w:tcW w:w="7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90</w:t>
                  </w:r>
                </w:p>
              </w:tc>
              <w:tc>
                <w:tcPr>
                  <w:tcW w:w="15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减震、封闭隔声</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25</w:t>
                  </w:r>
                </w:p>
              </w:tc>
              <w:tc>
                <w:tcPr>
                  <w:tcW w:w="13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65</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eastAsia"/>
                <w:b/>
                <w:bCs/>
                <w:color w:val="auto"/>
                <w:highlight w:val="none"/>
              </w:rPr>
            </w:pPr>
            <w:r>
              <w:rPr>
                <w:rFonts w:hint="eastAsia" w:cs="Times New Roman"/>
                <w:b/>
                <w:bCs/>
                <w:color w:val="auto"/>
                <w:highlight w:val="none"/>
                <w:lang w:val="en-US" w:eastAsia="zh-CN"/>
              </w:rPr>
              <w:t>3.2</w:t>
            </w:r>
            <w:r>
              <w:rPr>
                <w:rFonts w:hint="eastAsia"/>
                <w:b/>
                <w:bCs/>
                <w:color w:val="auto"/>
                <w:highlight w:val="none"/>
              </w:rPr>
              <w:t>预测模式与方法</w:t>
            </w:r>
          </w:p>
          <w:p>
            <w:pPr>
              <w:pStyle w:val="39"/>
              <w:rPr>
                <w:color w:val="auto"/>
                <w:highlight w:val="none"/>
              </w:rPr>
            </w:pPr>
            <w:r>
              <w:rPr>
                <w:color w:val="auto"/>
                <w:highlight w:val="none"/>
              </w:rPr>
              <w:t>在进行噪声预测时，只考虑各噪声源所在厂房围护结构的屏蔽效应、初声源至受声点的距离衰减以及空气吸收等主要衰减因素，各噪声源强只考虑常规降噪措施。预测模式如下：</w:t>
            </w:r>
          </w:p>
          <w:p>
            <w:pPr>
              <w:ind w:firstLine="480"/>
              <w:rPr>
                <w:color w:val="auto"/>
                <w:highlight w:val="none"/>
              </w:rPr>
            </w:pPr>
            <w:r>
              <w:rPr>
                <w:color w:val="auto"/>
                <w:highlight w:val="none"/>
              </w:rPr>
              <w:t>本次环境噪声预测，采用《环境影响评价技术导则声环境》</w:t>
            </w:r>
            <w:r>
              <w:rPr>
                <w:rFonts w:hint="eastAsia"/>
                <w:color w:val="auto"/>
                <w:highlight w:val="none"/>
              </w:rPr>
              <w:t xml:space="preserve">  </w:t>
            </w:r>
            <w:r>
              <w:rPr>
                <w:color w:val="auto"/>
                <w:highlight w:val="none"/>
              </w:rPr>
              <w:t>(HJ2.4-20</w:t>
            </w:r>
            <w:r>
              <w:rPr>
                <w:rFonts w:hint="eastAsia"/>
                <w:color w:val="auto"/>
                <w:highlight w:val="none"/>
                <w:lang w:val="en-US" w:eastAsia="zh-CN"/>
              </w:rPr>
              <w:t>21</w:t>
            </w:r>
            <w:r>
              <w:rPr>
                <w:color w:val="auto"/>
                <w:highlight w:val="none"/>
              </w:rPr>
              <w:t>）中的工业噪声预测模式，主要是对拟建项目噪声源对厂界的影响进行预测，厂界以现状监测点为预测点。预测模式如下：</w:t>
            </w:r>
          </w:p>
          <w:p>
            <w:pPr>
              <w:ind w:firstLine="480"/>
              <w:rPr>
                <w:color w:val="auto"/>
                <w:highlight w:val="none"/>
              </w:rPr>
            </w:pPr>
            <w:r>
              <w:rPr>
                <w:rFonts w:hint="eastAsia" w:ascii="宋体" w:hAnsi="宋体" w:cs="宋体"/>
                <w:color w:val="auto"/>
                <w:highlight w:val="none"/>
              </w:rPr>
              <w:t>①</w:t>
            </w:r>
            <w:r>
              <w:rPr>
                <w:color w:val="auto"/>
                <w:highlight w:val="none"/>
              </w:rPr>
              <w:t>计算某个设备在车间内靠近围护结构处的声压级：</w:t>
            </w:r>
          </w:p>
          <w:p>
            <w:pPr>
              <w:ind w:firstLine="480"/>
              <w:rPr>
                <w:color w:val="auto"/>
                <w:highlight w:val="none"/>
              </w:rPr>
            </w:pPr>
          </w:p>
          <w:p>
            <w:pPr>
              <w:spacing w:line="480" w:lineRule="auto"/>
              <w:ind w:firstLine="480"/>
              <w:jc w:val="center"/>
              <w:rPr>
                <w:color w:val="auto"/>
                <w:highlight w:val="none"/>
              </w:rPr>
            </w:pPr>
            <w:r>
              <w:rPr>
                <w:color w:val="auto"/>
                <w:position w:val="-24"/>
                <w:highlight w:val="none"/>
              </w:rPr>
              <w:object>
                <v:shape id="_x0000_i1030" o:spt="75" type="#_x0000_t75" style="height:30pt;width:156pt;" o:ole="t" filled="f" o:preferrelative="t" stroked="f" coordsize="21600,21600">
                  <v:path/>
                  <v:fill on="f" focussize="0,0"/>
                  <v:stroke on="f"/>
                  <v:imagedata r:id="rId24" o:title=""/>
                  <o:lock v:ext="edit" aspectratio="t"/>
                  <w10:wrap type="none"/>
                  <w10:anchorlock/>
                </v:shape>
                <o:OLEObject Type="Embed" ProgID="Equation.DSMT4" ShapeID="_x0000_i1030" DrawAspect="Content" ObjectID="_1468075730" r:id="rId23">
                  <o:LockedField>false</o:LockedField>
                </o:OLEObject>
              </w:object>
            </w:r>
          </w:p>
          <w:p>
            <w:pPr>
              <w:ind w:firstLine="480"/>
              <w:rPr>
                <w:color w:val="auto"/>
                <w:highlight w:val="none"/>
              </w:rPr>
            </w:pPr>
            <w:r>
              <w:rPr>
                <w:color w:val="auto"/>
                <w:highlight w:val="none"/>
              </w:rPr>
              <w:t>式中：</w:t>
            </w:r>
          </w:p>
          <w:p>
            <w:pPr>
              <w:ind w:firstLine="960" w:firstLineChars="400"/>
              <w:rPr>
                <w:color w:val="auto"/>
                <w:highlight w:val="none"/>
              </w:rPr>
            </w:pPr>
            <w:r>
              <w:rPr>
                <w:i/>
                <w:iCs/>
                <w:color w:val="auto"/>
                <w:highlight w:val="none"/>
              </w:rPr>
              <w:t>L</w:t>
            </w:r>
            <w:r>
              <w:rPr>
                <w:i/>
                <w:iCs/>
                <w:color w:val="auto"/>
                <w:highlight w:val="none"/>
                <w:vertAlign w:val="subscript"/>
              </w:rPr>
              <w:t>oct,1</w:t>
            </w:r>
            <w:r>
              <w:rPr>
                <w:i/>
                <w:iCs/>
                <w:color w:val="auto"/>
                <w:highlight w:val="none"/>
              </w:rPr>
              <w:t>——</w:t>
            </w:r>
            <w:r>
              <w:rPr>
                <w:color w:val="auto"/>
                <w:highlight w:val="none"/>
              </w:rPr>
              <w:t>某声源在靠近围护结构处的倍频带声压级，</w:t>
            </w:r>
            <w:r>
              <w:rPr>
                <w:rFonts w:hint="eastAsia"/>
                <w:color w:val="auto"/>
                <w:highlight w:val="none"/>
              </w:rPr>
              <w:t xml:space="preserve">  </w:t>
            </w:r>
            <w:r>
              <w:rPr>
                <w:color w:val="auto"/>
                <w:highlight w:val="none"/>
              </w:rPr>
              <w:t>dB(A)；</w:t>
            </w:r>
          </w:p>
          <w:p>
            <w:pPr>
              <w:ind w:firstLine="960" w:firstLineChars="400"/>
              <w:rPr>
                <w:color w:val="auto"/>
                <w:highlight w:val="none"/>
              </w:rPr>
            </w:pPr>
            <w:r>
              <w:rPr>
                <w:color w:val="auto"/>
                <w:highlight w:val="none"/>
              </w:rPr>
              <w:t>L</w:t>
            </w:r>
            <w:r>
              <w:rPr>
                <w:color w:val="auto"/>
                <w:highlight w:val="none"/>
                <w:vertAlign w:val="subscript"/>
              </w:rPr>
              <w:t>woct</w:t>
            </w:r>
            <w:r>
              <w:rPr>
                <w:color w:val="auto"/>
                <w:highlight w:val="none"/>
              </w:rPr>
              <w:t>——该声源的倍频带声功率级，dB(A)；</w:t>
            </w:r>
          </w:p>
          <w:p>
            <w:pPr>
              <w:ind w:firstLine="960" w:firstLineChars="400"/>
              <w:rPr>
                <w:color w:val="auto"/>
                <w:highlight w:val="none"/>
              </w:rPr>
            </w:pPr>
            <w:r>
              <w:rPr>
                <w:color w:val="auto"/>
                <w:highlight w:val="none"/>
              </w:rPr>
              <w:t>r</w:t>
            </w:r>
            <w:r>
              <w:rPr>
                <w:color w:val="auto"/>
                <w:highlight w:val="none"/>
                <w:vertAlign w:val="subscript"/>
              </w:rPr>
              <w:t>1</w:t>
            </w:r>
            <w:r>
              <w:rPr>
                <w:color w:val="auto"/>
                <w:highlight w:val="none"/>
              </w:rPr>
              <w:t>——该声源与靠近围护结构处的距离，m；</w:t>
            </w:r>
          </w:p>
          <w:p>
            <w:pPr>
              <w:ind w:firstLine="480"/>
              <w:rPr>
                <w:color w:val="auto"/>
                <w:highlight w:val="none"/>
              </w:rPr>
            </w:pPr>
            <w:r>
              <w:rPr>
                <w:rFonts w:hint="eastAsia"/>
                <w:color w:val="auto"/>
                <w:highlight w:val="none"/>
              </w:rPr>
              <w:t xml:space="preserve">                </w:t>
            </w:r>
            <w:r>
              <w:rPr>
                <w:color w:val="auto"/>
                <w:highlight w:val="none"/>
              </w:rPr>
              <w:t>R——房间常数；</w:t>
            </w:r>
          </w:p>
          <w:p>
            <w:pPr>
              <w:ind w:firstLine="480"/>
              <w:rPr>
                <w:color w:val="auto"/>
                <w:highlight w:val="none"/>
              </w:rPr>
            </w:pPr>
            <w:r>
              <w:rPr>
                <w:rFonts w:hint="eastAsia" w:ascii="宋体" w:hAnsi="宋体" w:cs="宋体"/>
                <w:color w:val="auto"/>
                <w:highlight w:val="none"/>
              </w:rPr>
              <w:t>②</w:t>
            </w:r>
            <w:r>
              <w:rPr>
                <w:color w:val="auto"/>
                <w:highlight w:val="none"/>
              </w:rPr>
              <w:t>计算某个车间内所有声源在围护处产生的</w:t>
            </w:r>
            <w:r>
              <w:rPr>
                <w:rFonts w:hint="eastAsia"/>
                <w:color w:val="auto"/>
                <w:highlight w:val="none"/>
              </w:rPr>
              <w:t xml:space="preserve">  </w:t>
            </w:r>
            <w:r>
              <w:rPr>
                <w:color w:val="auto"/>
                <w:highlight w:val="none"/>
              </w:rPr>
              <w:t>i</w:t>
            </w:r>
            <w:r>
              <w:rPr>
                <w:rFonts w:hint="eastAsia"/>
                <w:color w:val="auto"/>
                <w:highlight w:val="none"/>
              </w:rPr>
              <w:t xml:space="preserve">  </w:t>
            </w:r>
            <w:r>
              <w:rPr>
                <w:color w:val="auto"/>
                <w:highlight w:val="none"/>
              </w:rPr>
              <w:t>倍频带叠加声压级</w:t>
            </w:r>
          </w:p>
          <w:p>
            <w:pPr>
              <w:spacing w:line="480" w:lineRule="auto"/>
              <w:ind w:firstLine="480"/>
              <w:jc w:val="center"/>
              <w:rPr>
                <w:color w:val="auto"/>
                <w:highlight w:val="none"/>
              </w:rPr>
            </w:pPr>
            <w:r>
              <w:rPr>
                <w:color w:val="auto"/>
                <w:position w:val="-30"/>
                <w:highlight w:val="none"/>
              </w:rPr>
              <w:object>
                <v:shape id="_x0000_i1031" o:spt="75" type="#_x0000_t75" style="height:37.85pt;width:124.15pt;" o:ole="t" filled="f" o:preferrelative="t" stroked="f" coordsize="21600,21600">
                  <v:path/>
                  <v:fill on="f" focussize="0,0"/>
                  <v:stroke on="f"/>
                  <v:imagedata r:id="rId26" o:title=""/>
                  <o:lock v:ext="edit" aspectratio="t"/>
                  <w10:wrap type="none"/>
                  <w10:anchorlock/>
                </v:shape>
                <o:OLEObject Type="Embed" ProgID="Equation.DSMT4" ShapeID="_x0000_i1031" DrawAspect="Content" ObjectID="_1468075731" r:id="rId25">
                  <o:LockedField>false</o:LockedField>
                </o:OLEObject>
              </w:object>
            </w:r>
          </w:p>
          <w:p>
            <w:pPr>
              <w:ind w:firstLine="480"/>
              <w:rPr>
                <w:color w:val="auto"/>
                <w:highlight w:val="none"/>
              </w:rPr>
            </w:pPr>
            <w:r>
              <w:rPr>
                <w:rFonts w:hint="eastAsia" w:ascii="宋体" w:hAnsi="宋体" w:cs="宋体"/>
                <w:color w:val="auto"/>
                <w:highlight w:val="none"/>
              </w:rPr>
              <w:t>③</w:t>
            </w:r>
            <w:r>
              <w:rPr>
                <w:color w:val="auto"/>
                <w:highlight w:val="none"/>
              </w:rPr>
              <w:t>靠近室外围护结构处的声压级：m</w:t>
            </w:r>
            <w:r>
              <w:rPr>
                <w:color w:val="auto"/>
                <w:highlight w:val="none"/>
                <w:vertAlign w:val="superscript"/>
              </w:rPr>
              <w:t>3</w:t>
            </w:r>
          </w:p>
          <w:p>
            <w:pPr>
              <w:spacing w:line="720" w:lineRule="auto"/>
              <w:ind w:firstLine="480"/>
              <w:jc w:val="center"/>
              <w:rPr>
                <w:color w:val="auto"/>
                <w:highlight w:val="none"/>
              </w:rPr>
            </w:pPr>
            <w:r>
              <w:rPr>
                <w:color w:val="auto"/>
                <w:position w:val="-10"/>
                <w:highlight w:val="none"/>
              </w:rPr>
              <w:object>
                <v:shape id="_x0000_i1032" o:spt="75" type="#_x0000_t75" style="height:19.85pt;width:144pt;" o:ole="t" filled="f" o:preferrelative="t" stroked="f" coordsize="21600,21600">
                  <v:path/>
                  <v:fill on="f" focussize="0,0"/>
                  <v:stroke on="f"/>
                  <v:imagedata r:id="rId28" o:title=""/>
                  <o:lock v:ext="edit" aspectratio="t"/>
                  <w10:wrap type="none"/>
                  <w10:anchorlock/>
                </v:shape>
                <o:OLEObject Type="Embed" ProgID="Equation.DSMT4" ShapeID="_x0000_i1032" DrawAspect="Content" ObjectID="_1468075732" r:id="rId27">
                  <o:LockedField>false</o:LockedField>
                </o:OLEObject>
              </w:object>
            </w:r>
          </w:p>
          <w:p>
            <w:pPr>
              <w:ind w:firstLine="480"/>
              <w:rPr>
                <w:color w:val="auto"/>
                <w:highlight w:val="none"/>
              </w:rPr>
            </w:pPr>
            <w:r>
              <w:rPr>
                <w:color w:val="auto"/>
                <w:highlight w:val="none"/>
              </w:rPr>
              <w:t>式中：</w:t>
            </w:r>
            <w:r>
              <w:rPr>
                <w:i/>
                <w:iCs/>
                <w:color w:val="auto"/>
                <w:highlight w:val="none"/>
              </w:rPr>
              <w:t>TLoct——</w:t>
            </w:r>
            <w:r>
              <w:rPr>
                <w:color w:val="auto"/>
                <w:highlight w:val="none"/>
              </w:rPr>
              <w:t>围护结构的传声损失，</w:t>
            </w:r>
            <w:r>
              <w:rPr>
                <w:rFonts w:hint="eastAsia"/>
                <w:color w:val="auto"/>
                <w:highlight w:val="none"/>
              </w:rPr>
              <w:t xml:space="preserve">  </w:t>
            </w:r>
            <w:r>
              <w:rPr>
                <w:color w:val="auto"/>
                <w:highlight w:val="none"/>
              </w:rPr>
              <w:t>dB(A)。</w:t>
            </w:r>
          </w:p>
          <w:p>
            <w:pPr>
              <w:ind w:firstLine="480"/>
              <w:rPr>
                <w:color w:val="auto"/>
                <w:highlight w:val="none"/>
              </w:rPr>
            </w:pPr>
            <w:r>
              <w:rPr>
                <w:rFonts w:hint="eastAsia" w:ascii="宋体" w:hAnsi="宋体" w:cs="宋体"/>
                <w:color w:val="auto"/>
                <w:highlight w:val="none"/>
              </w:rPr>
              <w:t>④</w:t>
            </w:r>
            <w:r>
              <w:rPr>
                <w:color w:val="auto"/>
                <w:highlight w:val="none"/>
              </w:rPr>
              <w:t>将室外声级</w:t>
            </w:r>
            <w:r>
              <w:rPr>
                <w:rFonts w:hint="eastAsia"/>
                <w:color w:val="auto"/>
                <w:highlight w:val="none"/>
              </w:rPr>
              <w:t xml:space="preserve">  </w:t>
            </w:r>
            <w:r>
              <w:rPr>
                <w:color w:val="auto"/>
                <w:highlight w:val="none"/>
              </w:rPr>
              <w:t>Loct,2(T)和透声面积换算成室外等效声源，计算等效声源的声功率级：</w:t>
            </w:r>
          </w:p>
          <w:p>
            <w:pPr>
              <w:ind w:firstLine="480"/>
              <w:jc w:val="center"/>
              <w:rPr>
                <w:color w:val="auto"/>
                <w:highlight w:val="none"/>
              </w:rPr>
            </w:pPr>
            <w:r>
              <w:rPr>
                <w:color w:val="auto"/>
                <w:position w:val="-10"/>
                <w:highlight w:val="none"/>
              </w:rPr>
              <w:object>
                <v:shape id="_x0000_i1033" o:spt="75" type="#_x0000_t75" style="height:18.45pt;width:163.4pt;" o:ole="t" filled="f" o:preferrelative="t" stroked="f" coordsize="21600,21600">
                  <v:path/>
                  <v:fill on="f" focussize="0,0"/>
                  <v:stroke on="f"/>
                  <v:imagedata r:id="rId30" o:title=""/>
                  <o:lock v:ext="edit" aspectratio="t"/>
                  <w10:wrap type="none"/>
                  <w10:anchorlock/>
                </v:shape>
                <o:OLEObject Type="Embed" ProgID="Equation.DSMT4" ShapeID="_x0000_i1033" DrawAspect="Content" ObjectID="_1468075733" r:id="rId29">
                  <o:LockedField>false</o:LockedField>
                </o:OLEObject>
              </w:object>
            </w:r>
          </w:p>
          <w:p>
            <w:pPr>
              <w:ind w:firstLine="480"/>
              <w:rPr>
                <w:color w:val="auto"/>
                <w:highlight w:val="none"/>
              </w:rPr>
            </w:pPr>
            <w:r>
              <w:rPr>
                <w:color w:val="auto"/>
                <w:highlight w:val="none"/>
              </w:rPr>
              <w:t>式中：L</w:t>
            </w:r>
            <w:r>
              <w:rPr>
                <w:color w:val="auto"/>
                <w:highlight w:val="none"/>
                <w:vertAlign w:val="subscript"/>
              </w:rPr>
              <w:t>woct</w:t>
            </w:r>
            <w:r>
              <w:rPr>
                <w:color w:val="auto"/>
                <w:highlight w:val="none"/>
              </w:rPr>
              <w:t>——室外等效声源的声功率级，dB(A)；</w:t>
            </w:r>
          </w:p>
          <w:p>
            <w:pPr>
              <w:ind w:firstLine="1200" w:firstLineChars="500"/>
              <w:rPr>
                <w:color w:val="auto"/>
                <w:highlight w:val="none"/>
              </w:rPr>
            </w:pPr>
            <w:r>
              <w:rPr>
                <w:color w:val="auto"/>
                <w:highlight w:val="none"/>
              </w:rPr>
              <w:t>S——透声面积，m</w:t>
            </w:r>
            <w:r>
              <w:rPr>
                <w:color w:val="auto"/>
                <w:highlight w:val="none"/>
                <w:vertAlign w:val="superscript"/>
              </w:rPr>
              <w:t>2</w:t>
            </w:r>
            <w:r>
              <w:rPr>
                <w:color w:val="auto"/>
                <w:highlight w:val="none"/>
              </w:rPr>
              <w:t>。</w:t>
            </w:r>
          </w:p>
          <w:p>
            <w:pPr>
              <w:ind w:firstLine="480"/>
              <w:rPr>
                <w:color w:val="auto"/>
                <w:highlight w:val="none"/>
              </w:rPr>
            </w:pPr>
            <w:r>
              <w:rPr>
                <w:rFonts w:hint="eastAsia" w:ascii="宋体" w:hAnsi="宋体" w:cs="宋体"/>
                <w:color w:val="auto"/>
                <w:highlight w:val="none"/>
              </w:rPr>
              <w:t>⑤</w:t>
            </w:r>
            <w:r>
              <w:rPr>
                <w:color w:val="auto"/>
                <w:highlight w:val="none"/>
              </w:rPr>
              <w:t>计算室外等效声源在预测点的声级：</w:t>
            </w:r>
          </w:p>
          <w:p>
            <w:pPr>
              <w:spacing w:line="720" w:lineRule="auto"/>
              <w:ind w:firstLine="480"/>
              <w:jc w:val="center"/>
              <w:rPr>
                <w:color w:val="auto"/>
                <w:highlight w:val="none"/>
              </w:rPr>
            </w:pPr>
            <w:r>
              <w:rPr>
                <w:color w:val="auto"/>
                <w:position w:val="-10"/>
                <w:highlight w:val="none"/>
              </w:rPr>
              <w:object>
                <v:shape id="_x0000_i1034" o:spt="75" type="#_x0000_t75" style="height:19.85pt;width:126pt;" o:ole="t" filled="f" o:preferrelative="t" stroked="f" coordsize="21600,21600">
                  <v:path/>
                  <v:fill on="f" focussize="0,0"/>
                  <v:stroke on="f"/>
                  <v:imagedata r:id="rId32" o:title=""/>
                  <o:lock v:ext="edit" aspectratio="t"/>
                  <w10:wrap type="none"/>
                  <w10:anchorlock/>
                </v:shape>
                <o:OLEObject Type="Embed" ProgID="Equation.DSMT4" ShapeID="_x0000_i1034" DrawAspect="Content" ObjectID="_1468075734" r:id="rId31">
                  <o:LockedField>false</o:LockedField>
                </o:OLEObject>
              </w:object>
            </w:r>
          </w:p>
          <w:p>
            <w:pPr>
              <w:ind w:firstLine="480"/>
              <w:rPr>
                <w:color w:val="auto"/>
                <w:highlight w:val="none"/>
              </w:rPr>
            </w:pPr>
            <w:r>
              <w:rPr>
                <w:color w:val="auto"/>
                <w:highlight w:val="none"/>
              </w:rPr>
              <w:t>式中：Loct（r）——点声源在预测点产生的声压级，dB(A)；</w:t>
            </w:r>
          </w:p>
          <w:p>
            <w:pPr>
              <w:ind w:firstLine="1200" w:firstLineChars="500"/>
              <w:rPr>
                <w:color w:val="auto"/>
                <w:highlight w:val="none"/>
              </w:rPr>
            </w:pPr>
            <w:r>
              <w:rPr>
                <w:color w:val="auto"/>
                <w:highlight w:val="none"/>
              </w:rPr>
              <w:t>r——测点距点声源的距离，m。</w:t>
            </w:r>
          </w:p>
          <w:p>
            <w:pPr>
              <w:ind w:firstLine="480"/>
              <w:rPr>
                <w:color w:val="auto"/>
                <w:highlight w:val="none"/>
              </w:rPr>
            </w:pPr>
            <w:r>
              <w:rPr>
                <w:rFonts w:hint="eastAsia" w:ascii="宋体" w:hAnsi="宋体" w:cs="宋体"/>
                <w:color w:val="auto"/>
                <w:highlight w:val="none"/>
              </w:rPr>
              <w:t>⑥</w:t>
            </w:r>
            <w:r>
              <w:rPr>
                <w:color w:val="auto"/>
                <w:highlight w:val="none"/>
              </w:rPr>
              <w:t>拟建工程对预测点产生的贡献值：</w:t>
            </w:r>
          </w:p>
          <w:p>
            <w:pPr>
              <w:spacing w:line="720" w:lineRule="auto"/>
              <w:ind w:firstLine="480"/>
              <w:jc w:val="center"/>
              <w:rPr>
                <w:color w:val="auto"/>
                <w:highlight w:val="none"/>
              </w:rPr>
            </w:pPr>
            <w:r>
              <w:rPr>
                <w:color w:val="auto"/>
                <w:position w:val="-30"/>
                <w:highlight w:val="none"/>
              </w:rPr>
              <w:object>
                <v:shape id="_x0000_i1035" o:spt="75" type="#_x0000_t75" style="height:37.85pt;width:192pt;" o:ole="t" filled="f" o:preferrelative="t" stroked="f" coordsize="21600,21600">
                  <v:path/>
                  <v:fill on="f" focussize="0,0"/>
                  <v:stroke on="f"/>
                  <v:imagedata r:id="rId34" o:title=""/>
                  <o:lock v:ext="edit" aspectratio="t"/>
                  <w10:wrap type="none"/>
                  <w10:anchorlock/>
                </v:shape>
                <o:OLEObject Type="Embed" ProgID="Equation.DSMT4" ShapeID="_x0000_i1035" DrawAspect="Content" ObjectID="_1468075735" r:id="rId33">
                  <o:LockedField>false</o:LockedField>
                </o:OLEObject>
              </w:object>
            </w:r>
          </w:p>
          <w:p>
            <w:pPr>
              <w:ind w:firstLine="480"/>
              <w:rPr>
                <w:color w:val="auto"/>
                <w:highlight w:val="none"/>
              </w:rPr>
            </w:pPr>
            <w:r>
              <w:rPr>
                <w:color w:val="auto"/>
                <w:highlight w:val="none"/>
              </w:rPr>
              <w:t>式中：LA</w:t>
            </w:r>
            <w:r>
              <w:rPr>
                <w:rFonts w:hint="eastAsia"/>
                <w:color w:val="auto"/>
                <w:highlight w:val="none"/>
              </w:rPr>
              <w:t xml:space="preserve">  </w:t>
            </w:r>
            <w:r>
              <w:rPr>
                <w:color w:val="auto"/>
                <w:highlight w:val="none"/>
              </w:rPr>
              <w:t>out,i——声源在预测点产生的</w:t>
            </w:r>
            <w:r>
              <w:rPr>
                <w:rFonts w:hint="eastAsia"/>
                <w:color w:val="auto"/>
                <w:highlight w:val="none"/>
              </w:rPr>
              <w:t xml:space="preserve">  </w:t>
            </w:r>
            <w:r>
              <w:rPr>
                <w:color w:val="auto"/>
                <w:highlight w:val="none"/>
              </w:rPr>
              <w:t>A</w:t>
            </w:r>
            <w:r>
              <w:rPr>
                <w:rFonts w:hint="eastAsia"/>
                <w:color w:val="auto"/>
                <w:highlight w:val="none"/>
              </w:rPr>
              <w:t xml:space="preserve">  </w:t>
            </w:r>
            <w:r>
              <w:rPr>
                <w:color w:val="auto"/>
                <w:highlight w:val="none"/>
              </w:rPr>
              <w:t>声级，</w:t>
            </w:r>
            <w:r>
              <w:rPr>
                <w:rFonts w:hint="eastAsia"/>
                <w:color w:val="auto"/>
                <w:highlight w:val="none"/>
              </w:rPr>
              <w:t xml:space="preserve">  </w:t>
            </w:r>
            <w:r>
              <w:rPr>
                <w:color w:val="auto"/>
                <w:highlight w:val="none"/>
              </w:rPr>
              <w:t>dB(A)；</w:t>
            </w:r>
          </w:p>
          <w:p>
            <w:pPr>
              <w:ind w:firstLine="1200" w:firstLineChars="500"/>
              <w:rPr>
                <w:color w:val="auto"/>
                <w:highlight w:val="none"/>
              </w:rPr>
            </w:pPr>
            <w:r>
              <w:rPr>
                <w:color w:val="auto"/>
                <w:highlight w:val="none"/>
              </w:rPr>
              <w:t>t——在</w:t>
            </w:r>
            <w:r>
              <w:rPr>
                <w:rFonts w:hint="eastAsia"/>
                <w:color w:val="auto"/>
                <w:highlight w:val="none"/>
              </w:rPr>
              <w:t xml:space="preserve">  </w:t>
            </w:r>
            <w:r>
              <w:rPr>
                <w:color w:val="auto"/>
                <w:highlight w:val="none"/>
              </w:rPr>
              <w:t>T</w:t>
            </w:r>
            <w:r>
              <w:rPr>
                <w:rFonts w:hint="eastAsia"/>
                <w:color w:val="auto"/>
                <w:highlight w:val="none"/>
              </w:rPr>
              <w:t xml:space="preserve">  </w:t>
            </w:r>
            <w:r>
              <w:rPr>
                <w:color w:val="auto"/>
                <w:highlight w:val="none"/>
              </w:rPr>
              <w:t>时间内该声源工作的时间；</w:t>
            </w:r>
          </w:p>
          <w:p>
            <w:pPr>
              <w:ind w:firstLine="1200" w:firstLineChars="500"/>
              <w:rPr>
                <w:color w:val="auto"/>
                <w:highlight w:val="none"/>
              </w:rPr>
            </w:pPr>
            <w:r>
              <w:rPr>
                <w:color w:val="auto"/>
                <w:highlight w:val="none"/>
              </w:rPr>
              <w:t>M——等效室外声源数，个。</w:t>
            </w:r>
          </w:p>
          <w:p>
            <w:pPr>
              <w:ind w:firstLine="424" w:firstLineChars="177"/>
              <w:rPr>
                <w:color w:val="auto"/>
                <w:highlight w:val="none"/>
              </w:rPr>
            </w:pPr>
            <w:r>
              <w:rPr>
                <w:color w:val="auto"/>
                <w:highlight w:val="none"/>
              </w:rPr>
              <w:fldChar w:fldCharType="begin"/>
            </w:r>
            <w:r>
              <w:rPr>
                <w:color w:val="auto"/>
                <w:highlight w:val="none"/>
              </w:rPr>
              <w:instrText xml:space="preserve"> = 7 \* GB3 </w:instrText>
            </w:r>
            <w:r>
              <w:rPr>
                <w:color w:val="auto"/>
                <w:highlight w:val="none"/>
              </w:rPr>
              <w:fldChar w:fldCharType="separate"/>
            </w:r>
            <w:r>
              <w:rPr>
                <w:rFonts w:hint="eastAsia" w:ascii="宋体" w:hAnsi="宋体" w:cs="宋体"/>
                <w:color w:val="auto"/>
                <w:highlight w:val="none"/>
              </w:rPr>
              <w:t>⑦</w:t>
            </w:r>
            <w:r>
              <w:rPr>
                <w:color w:val="auto"/>
                <w:highlight w:val="none"/>
              </w:rPr>
              <w:fldChar w:fldCharType="end"/>
            </w:r>
            <w:r>
              <w:rPr>
                <w:color w:val="auto"/>
                <w:highlight w:val="none"/>
              </w:rPr>
              <w:t>噪声预测值计算</w:t>
            </w:r>
          </w:p>
          <w:p>
            <w:pPr>
              <w:ind w:firstLine="424" w:firstLineChars="177"/>
              <w:jc w:val="center"/>
              <w:rPr>
                <w:color w:val="auto"/>
                <w:highlight w:val="none"/>
              </w:rPr>
            </w:pPr>
            <w:r>
              <w:rPr>
                <w:color w:val="auto"/>
                <w:position w:val="-18"/>
                <w:highlight w:val="none"/>
              </w:rPr>
              <w:object>
                <v:shape id="_x0000_i1036" o:spt="75" type="#_x0000_t75" style="height:24pt;width:143.55pt;" o:ole="t" filled="f" o:preferrelative="t" stroked="f" coordsize="21600,21600">
                  <v:path/>
                  <v:fill on="f" focussize="0,0"/>
                  <v:stroke on="f"/>
                  <v:imagedata r:id="rId36" o:title=""/>
                  <o:lock v:ext="edit" aspectratio="t"/>
                  <w10:wrap type="none"/>
                  <w10:anchorlock/>
                </v:shape>
                <o:OLEObject Type="Embed" ProgID="Equation.DSMT4" ShapeID="_x0000_i1036" DrawAspect="Content" ObjectID="_1468075736" r:id="rId35">
                  <o:LockedField>false</o:LockedField>
                </o:OLEObject>
              </w:object>
            </w:r>
          </w:p>
          <w:p>
            <w:pPr>
              <w:ind w:firstLine="424" w:firstLineChars="177"/>
              <w:jc w:val="left"/>
              <w:rPr>
                <w:color w:val="auto"/>
                <w:highlight w:val="none"/>
              </w:rPr>
            </w:pPr>
            <w:r>
              <w:rPr>
                <w:color w:val="auto"/>
                <w:highlight w:val="none"/>
              </w:rPr>
              <w:t>式中：L</w:t>
            </w:r>
            <w:r>
              <w:rPr>
                <w:color w:val="auto"/>
                <w:highlight w:val="none"/>
                <w:vertAlign w:val="subscript"/>
              </w:rPr>
              <w:t>eqg</w:t>
            </w:r>
            <w:r>
              <w:rPr>
                <w:color w:val="auto"/>
                <w:highlight w:val="none"/>
              </w:rPr>
              <w:t>——建设项目声源在预测点的等效声级贡献值，dB（A）；</w:t>
            </w:r>
          </w:p>
          <w:p>
            <w:pPr>
              <w:ind w:firstLine="424" w:firstLineChars="177"/>
              <w:jc w:val="left"/>
              <w:rPr>
                <w:color w:val="auto"/>
                <w:highlight w:val="none"/>
              </w:rPr>
            </w:pPr>
            <w:r>
              <w:rPr>
                <w:rFonts w:hint="eastAsia"/>
                <w:color w:val="auto"/>
                <w:highlight w:val="none"/>
              </w:rPr>
              <w:t xml:space="preserve">          </w:t>
            </w:r>
            <w:r>
              <w:rPr>
                <w:color w:val="auto"/>
                <w:highlight w:val="none"/>
              </w:rPr>
              <w:t>L</w:t>
            </w:r>
            <w:r>
              <w:rPr>
                <w:color w:val="auto"/>
                <w:highlight w:val="none"/>
                <w:vertAlign w:val="subscript"/>
              </w:rPr>
              <w:t>eqb</w:t>
            </w:r>
            <w:r>
              <w:rPr>
                <w:color w:val="auto"/>
                <w:highlight w:val="none"/>
              </w:rPr>
              <w:t>——预测点的背景值，dB（A）；</w:t>
            </w:r>
          </w:p>
          <w:p>
            <w:pPr>
              <w:autoSpaceDE w:val="0"/>
              <w:autoSpaceDN w:val="0"/>
              <w:adjustRightInd w:val="0"/>
              <w:snapToGrid w:val="0"/>
              <w:ind w:firstLine="492" w:firstLineChars="204"/>
              <w:jc w:val="left"/>
              <w:rPr>
                <w:rFonts w:hint="eastAsia"/>
                <w:b/>
                <w:bCs/>
                <w:color w:val="auto"/>
                <w:highlight w:val="none"/>
              </w:rPr>
            </w:pPr>
            <w:r>
              <w:rPr>
                <w:rFonts w:hint="eastAsia"/>
                <w:b/>
                <w:bCs/>
                <w:color w:val="auto"/>
                <w:highlight w:val="none"/>
                <w:lang w:val="en-US" w:eastAsia="zh-CN"/>
              </w:rPr>
              <w:t>3.3</w:t>
            </w:r>
            <w:r>
              <w:rPr>
                <w:rFonts w:hint="eastAsia"/>
                <w:b/>
                <w:bCs/>
                <w:color w:val="auto"/>
                <w:highlight w:val="none"/>
              </w:rPr>
              <w:t>预测结果与评价</w:t>
            </w:r>
          </w:p>
          <w:p>
            <w:pPr>
              <w:spacing w:line="360" w:lineRule="auto"/>
              <w:ind w:firstLine="480"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color w:val="auto"/>
                <w:sz w:val="24"/>
                <w:highlight w:val="none"/>
              </w:rPr>
              <w:t>根据模式预测结果，噪声源对各预测点的影</w:t>
            </w:r>
            <w:r>
              <w:rPr>
                <w:rFonts w:hint="default" w:ascii="Times New Roman" w:hAnsi="Times New Roman" w:eastAsia="宋体" w:cs="Times New Roman"/>
                <w:color w:val="auto"/>
                <w:sz w:val="24"/>
                <w:szCs w:val="24"/>
                <w:highlight w:val="none"/>
              </w:rPr>
              <w:t>响预测结果见表</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w:t>
            </w:r>
          </w:p>
          <w:p>
            <w:pPr>
              <w:tabs>
                <w:tab w:val="center" w:pos="4153"/>
                <w:tab w:val="right" w:pos="8306"/>
              </w:tabs>
              <w:adjustRightInd/>
              <w:spacing w:line="360" w:lineRule="auto"/>
              <w:ind w:firstLine="482" w:firstLineChars="200"/>
              <w:jc w:val="center"/>
              <w:textAlignment w:val="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bCs/>
                <w:color w:val="auto"/>
                <w:kern w:val="0"/>
                <w:sz w:val="24"/>
                <w:szCs w:val="24"/>
                <w:highlight w:val="none"/>
              </w:rPr>
              <w:t>表</w:t>
            </w:r>
            <w:r>
              <w:rPr>
                <w:rFonts w:hint="eastAsia" w:cs="Times New Roman"/>
                <w:b/>
                <w:bCs/>
                <w:color w:val="auto"/>
                <w:kern w:val="0"/>
                <w:sz w:val="24"/>
                <w:szCs w:val="24"/>
                <w:highlight w:val="none"/>
                <w:lang w:val="en-US" w:eastAsia="zh-CN"/>
              </w:rPr>
              <w:t>7</w:t>
            </w:r>
            <w:r>
              <w:rPr>
                <w:rFonts w:hint="default" w:ascii="Times New Roman" w:hAnsi="Times New Roman" w:eastAsia="宋体" w:cs="Times New Roman"/>
                <w:b/>
                <w:bCs/>
                <w:color w:val="auto"/>
                <w:kern w:val="0"/>
                <w:sz w:val="24"/>
                <w:szCs w:val="24"/>
                <w:highlight w:val="none"/>
              </w:rPr>
              <w:t xml:space="preserve">   </w:t>
            </w:r>
            <w:r>
              <w:rPr>
                <w:rFonts w:hint="default" w:ascii="Times New Roman" w:hAnsi="Times New Roman" w:eastAsia="宋体" w:cs="Times New Roman"/>
                <w:b/>
                <w:color w:val="auto"/>
                <w:kern w:val="0"/>
                <w:sz w:val="24"/>
                <w:szCs w:val="24"/>
                <w:highlight w:val="none"/>
              </w:rPr>
              <w:t>厂界噪声预测结果</w:t>
            </w:r>
            <w:r>
              <w:rPr>
                <w:rFonts w:hint="default" w:ascii="Times New Roman" w:hAnsi="Times New Roman" w:eastAsia="宋体" w:cs="Times New Roman"/>
                <w:b/>
                <w:color w:val="auto"/>
                <w:kern w:val="0"/>
                <w:sz w:val="24"/>
                <w:szCs w:val="24"/>
                <w:highlight w:val="none"/>
                <w:lang w:eastAsia="zh-CN"/>
              </w:rPr>
              <w:t>（</w:t>
            </w:r>
            <w:r>
              <w:rPr>
                <w:rFonts w:hint="default" w:ascii="Times New Roman" w:hAnsi="Times New Roman" w:eastAsia="宋体" w:cs="Times New Roman"/>
                <w:b/>
                <w:color w:val="auto"/>
                <w:kern w:val="0"/>
                <w:sz w:val="24"/>
                <w:szCs w:val="24"/>
                <w:highlight w:val="none"/>
              </w:rPr>
              <w:t>单位：dB</w:t>
            </w:r>
            <w:r>
              <w:rPr>
                <w:rFonts w:hint="default" w:ascii="Times New Roman" w:hAnsi="Times New Roman" w:eastAsia="宋体" w:cs="Times New Roman"/>
                <w:b/>
                <w:color w:val="auto"/>
                <w:kern w:val="0"/>
                <w:sz w:val="24"/>
                <w:szCs w:val="24"/>
                <w:highlight w:val="none"/>
                <w:lang w:eastAsia="zh-CN"/>
              </w:rPr>
              <w:t>（</w:t>
            </w:r>
            <w:r>
              <w:rPr>
                <w:rFonts w:hint="default" w:ascii="Times New Roman" w:hAnsi="Times New Roman" w:eastAsia="宋体" w:cs="Times New Roman"/>
                <w:b/>
                <w:color w:val="auto"/>
                <w:kern w:val="0"/>
                <w:sz w:val="24"/>
                <w:szCs w:val="24"/>
                <w:highlight w:val="none"/>
              </w:rPr>
              <w:t>A</w:t>
            </w:r>
            <w:r>
              <w:rPr>
                <w:rFonts w:hint="default" w:ascii="Times New Roman" w:hAnsi="Times New Roman" w:eastAsia="宋体" w:cs="Times New Roman"/>
                <w:b/>
                <w:color w:val="auto"/>
                <w:kern w:val="0"/>
                <w:sz w:val="24"/>
                <w:szCs w:val="24"/>
                <w:highlight w:val="none"/>
                <w:lang w:eastAsia="zh-CN"/>
              </w:rPr>
              <w:t>）</w:t>
            </w:r>
            <w:r>
              <w:rPr>
                <w:rFonts w:hint="default" w:ascii="Times New Roman" w:hAnsi="Times New Roman" w:eastAsia="宋体" w:cs="Times New Roman"/>
                <w:b/>
                <w:color w:val="auto"/>
                <w:kern w:val="0"/>
                <w:sz w:val="24"/>
                <w:szCs w:val="24"/>
                <w:highlight w:val="none"/>
              </w:rPr>
              <w:t>）</w:t>
            </w:r>
          </w:p>
          <w:tbl>
            <w:tblPr>
              <w:tblStyle w:val="17"/>
              <w:tblW w:w="801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004"/>
              <w:gridCol w:w="2005"/>
              <w:gridCol w:w="2004"/>
              <w:gridCol w:w="20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trHeight w:val="450" w:hRule="atLeast"/>
                <w:jc w:val="center"/>
              </w:trPr>
              <w:tc>
                <w:tcPr>
                  <w:tcW w:w="4009" w:type="dxa"/>
                  <w:gridSpan w:val="2"/>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1"/>
                      <w:szCs w:val="21"/>
                      <w:highlight w:val="none"/>
                      <w:lang w:val="de-DE"/>
                    </w:rPr>
                  </w:pPr>
                  <w:r>
                    <w:rPr>
                      <w:rFonts w:hint="default" w:ascii="Times New Roman" w:hAnsi="Times New Roman" w:eastAsia="宋体" w:cs="Times New Roman"/>
                      <w:b/>
                      <w:bCs/>
                      <w:color w:val="auto"/>
                      <w:sz w:val="21"/>
                      <w:szCs w:val="21"/>
                      <w:highlight w:val="none"/>
                      <w:lang w:val="de-DE"/>
                    </w:rPr>
                    <w:t>预测点位</w:t>
                  </w:r>
                </w:p>
              </w:tc>
              <w:tc>
                <w:tcPr>
                  <w:tcW w:w="2004"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1"/>
                      <w:szCs w:val="21"/>
                      <w:highlight w:val="none"/>
                      <w:lang w:val="de-DE"/>
                    </w:rPr>
                  </w:pPr>
                  <w:r>
                    <w:rPr>
                      <w:rFonts w:hint="default" w:ascii="Times New Roman" w:hAnsi="Times New Roman" w:eastAsia="宋体" w:cs="Times New Roman"/>
                      <w:b/>
                      <w:bCs/>
                      <w:color w:val="auto"/>
                      <w:sz w:val="21"/>
                      <w:szCs w:val="21"/>
                      <w:highlight w:val="none"/>
                      <w:lang w:val="de-DE"/>
                    </w:rPr>
                    <w:t>昼间</w:t>
                  </w:r>
                </w:p>
              </w:tc>
              <w:tc>
                <w:tcPr>
                  <w:tcW w:w="2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1"/>
                      <w:szCs w:val="21"/>
                      <w:highlight w:val="none"/>
                      <w:lang w:val="de-DE"/>
                    </w:rPr>
                  </w:pPr>
                  <w:r>
                    <w:rPr>
                      <w:rFonts w:hint="default" w:ascii="Times New Roman" w:hAnsi="Times New Roman" w:eastAsia="宋体" w:cs="Times New Roman"/>
                      <w:b/>
                      <w:bCs/>
                      <w:color w:val="auto"/>
                      <w:sz w:val="21"/>
                      <w:szCs w:val="21"/>
                      <w:highlight w:val="none"/>
                      <w:lang w:val="de-DE"/>
                    </w:rPr>
                    <w:t>夜间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trHeight w:val="450" w:hRule="atLeast"/>
                <w:jc w:val="center"/>
              </w:trPr>
              <w:tc>
                <w:tcPr>
                  <w:tcW w:w="4009" w:type="dxa"/>
                  <w:gridSpan w:val="2"/>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1"/>
                      <w:szCs w:val="21"/>
                      <w:highlight w:val="none"/>
                      <w:lang w:val="de-DE"/>
                    </w:rPr>
                  </w:pPr>
                </w:p>
              </w:tc>
              <w:tc>
                <w:tcPr>
                  <w:tcW w:w="2004"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1"/>
                      <w:szCs w:val="21"/>
                      <w:highlight w:val="none"/>
                      <w:lang w:val="de-DE"/>
                    </w:rPr>
                  </w:pPr>
                  <w:r>
                    <w:rPr>
                      <w:rFonts w:hint="default" w:ascii="Times New Roman" w:hAnsi="Times New Roman" w:eastAsia="宋体" w:cs="Times New Roman"/>
                      <w:b/>
                      <w:bCs/>
                      <w:color w:val="auto"/>
                      <w:sz w:val="21"/>
                      <w:szCs w:val="21"/>
                      <w:highlight w:val="none"/>
                      <w:lang w:val="de-DE"/>
                    </w:rPr>
                    <w:t>贡献值</w:t>
                  </w:r>
                </w:p>
              </w:tc>
              <w:tc>
                <w:tcPr>
                  <w:tcW w:w="2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1"/>
                      <w:szCs w:val="21"/>
                      <w:highlight w:val="none"/>
                      <w:lang w:val="de-DE"/>
                    </w:rPr>
                  </w:pPr>
                  <w:r>
                    <w:rPr>
                      <w:rFonts w:hint="default" w:ascii="Times New Roman" w:hAnsi="Times New Roman" w:eastAsia="宋体" w:cs="Times New Roman"/>
                      <w:b/>
                      <w:bCs/>
                      <w:color w:val="auto"/>
                      <w:sz w:val="21"/>
                      <w:szCs w:val="21"/>
                      <w:highlight w:val="none"/>
                      <w:lang w:val="de-DE"/>
                    </w:rPr>
                    <w:t>贡献值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trHeight w:val="450" w:hRule="atLeast"/>
                <w:jc w:val="center"/>
              </w:trPr>
              <w:tc>
                <w:tcPr>
                  <w:tcW w:w="2004"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de-DE"/>
                    </w:rPr>
                  </w:pPr>
                  <w:r>
                    <w:rPr>
                      <w:rFonts w:hint="default" w:ascii="Times New Roman" w:hAnsi="Times New Roman" w:eastAsia="宋体" w:cs="Times New Roman"/>
                      <w:color w:val="auto"/>
                      <w:sz w:val="21"/>
                      <w:szCs w:val="21"/>
                      <w:highlight w:val="none"/>
                      <w:lang w:val="de-DE"/>
                    </w:rPr>
                    <w:t>1</w:t>
                  </w:r>
                </w:p>
              </w:tc>
              <w:tc>
                <w:tcPr>
                  <w:tcW w:w="2005"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项目东侧</w:t>
                  </w:r>
                </w:p>
              </w:tc>
              <w:tc>
                <w:tcPr>
                  <w:tcW w:w="2004" w:type="dxa"/>
                  <w:tcBorders>
                    <w:tl2br w:val="nil"/>
                    <w:tr2bl w:val="nil"/>
                  </w:tcBorders>
                  <w:tcMar>
                    <w:left w:w="28" w:type="dxa"/>
                    <w:right w:w="28" w:type="dxa"/>
                  </w:tcMar>
                  <w:vAlign w:val="center"/>
                </w:tcPr>
                <w:p>
                  <w:pPr>
                    <w:keepNext w:val="0"/>
                    <w:keepLines w:val="0"/>
                    <w:pageBreakBefore w:val="0"/>
                    <w:widowControl w:val="0"/>
                    <w:tabs>
                      <w:tab w:val="left" w:pos="496"/>
                    </w:tabs>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32.4</w:t>
                  </w:r>
                </w:p>
              </w:tc>
              <w:tc>
                <w:tcPr>
                  <w:tcW w:w="2005" w:type="dxa"/>
                  <w:tcBorders>
                    <w:tl2br w:val="nil"/>
                    <w:tr2bl w:val="nil"/>
                  </w:tcBorders>
                  <w:vAlign w:val="center"/>
                </w:tcPr>
                <w:p>
                  <w:pPr>
                    <w:keepNext w:val="0"/>
                    <w:keepLines w:val="0"/>
                    <w:pageBreakBefore w:val="0"/>
                    <w:widowControl w:val="0"/>
                    <w:tabs>
                      <w:tab w:val="left" w:pos="496"/>
                    </w:tabs>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32.4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trHeight w:val="450" w:hRule="atLeast"/>
                <w:jc w:val="center"/>
              </w:trPr>
              <w:tc>
                <w:tcPr>
                  <w:tcW w:w="2004"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de-DE"/>
                    </w:rPr>
                  </w:pPr>
                  <w:r>
                    <w:rPr>
                      <w:rFonts w:hint="default" w:ascii="Times New Roman" w:hAnsi="Times New Roman" w:eastAsia="宋体" w:cs="Times New Roman"/>
                      <w:color w:val="auto"/>
                      <w:sz w:val="21"/>
                      <w:szCs w:val="21"/>
                      <w:highlight w:val="none"/>
                      <w:lang w:val="de-DE"/>
                    </w:rPr>
                    <w:t>2</w:t>
                  </w:r>
                </w:p>
              </w:tc>
              <w:tc>
                <w:tcPr>
                  <w:tcW w:w="2005"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项目南侧</w:t>
                  </w:r>
                </w:p>
              </w:tc>
              <w:tc>
                <w:tcPr>
                  <w:tcW w:w="2004"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31.1</w:t>
                  </w:r>
                </w:p>
              </w:tc>
              <w:tc>
                <w:tcPr>
                  <w:tcW w:w="2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trHeight w:val="450" w:hRule="atLeast"/>
                <w:jc w:val="center"/>
              </w:trPr>
              <w:tc>
                <w:tcPr>
                  <w:tcW w:w="2004"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de-DE"/>
                    </w:rPr>
                  </w:pPr>
                  <w:r>
                    <w:rPr>
                      <w:rFonts w:hint="default" w:ascii="Times New Roman" w:hAnsi="Times New Roman" w:eastAsia="宋体" w:cs="Times New Roman"/>
                      <w:color w:val="auto"/>
                      <w:sz w:val="21"/>
                      <w:szCs w:val="21"/>
                      <w:highlight w:val="none"/>
                      <w:lang w:val="de-DE"/>
                    </w:rPr>
                    <w:t>3</w:t>
                  </w:r>
                </w:p>
              </w:tc>
              <w:tc>
                <w:tcPr>
                  <w:tcW w:w="2005"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项目西侧</w:t>
                  </w:r>
                </w:p>
              </w:tc>
              <w:tc>
                <w:tcPr>
                  <w:tcW w:w="2004"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31.8</w:t>
                  </w:r>
                </w:p>
              </w:tc>
              <w:tc>
                <w:tcPr>
                  <w:tcW w:w="2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31.8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trHeight w:val="459" w:hRule="atLeast"/>
                <w:jc w:val="center"/>
              </w:trPr>
              <w:tc>
                <w:tcPr>
                  <w:tcW w:w="2004"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de-DE"/>
                    </w:rPr>
                  </w:pPr>
                  <w:r>
                    <w:rPr>
                      <w:rFonts w:hint="default" w:ascii="Times New Roman" w:hAnsi="Times New Roman" w:eastAsia="宋体" w:cs="Times New Roman"/>
                      <w:color w:val="auto"/>
                      <w:sz w:val="21"/>
                      <w:szCs w:val="21"/>
                      <w:highlight w:val="none"/>
                      <w:lang w:val="de-DE"/>
                    </w:rPr>
                    <w:t>4</w:t>
                  </w:r>
                </w:p>
              </w:tc>
              <w:tc>
                <w:tcPr>
                  <w:tcW w:w="2005"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项目北侧</w:t>
                  </w:r>
                </w:p>
              </w:tc>
              <w:tc>
                <w:tcPr>
                  <w:tcW w:w="2004"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30.7</w:t>
                  </w:r>
                </w:p>
              </w:tc>
              <w:tc>
                <w:tcPr>
                  <w:tcW w:w="2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30.7</w:t>
                  </w:r>
                </w:p>
              </w:tc>
            </w:tr>
          </w:tbl>
          <w:p>
            <w:pPr>
              <w:keepNext w:val="0"/>
              <w:keepLines w:val="0"/>
              <w:pageBreakBefore w:val="0"/>
              <w:widowControl w:val="0"/>
              <w:tabs>
                <w:tab w:val="left" w:pos="1992"/>
              </w:tabs>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根据预测，本项目厂区边界四周昼</w:t>
            </w:r>
            <w:r>
              <w:rPr>
                <w:rFonts w:hint="default" w:ascii="Times New Roman" w:hAnsi="Times New Roman" w:eastAsia="宋体" w:cs="Times New Roman"/>
                <w:color w:val="auto"/>
                <w:sz w:val="24"/>
                <w:szCs w:val="24"/>
                <w:highlight w:val="none"/>
                <w:lang w:eastAsia="zh-CN"/>
              </w:rPr>
              <w:t>夜</w:t>
            </w:r>
            <w:r>
              <w:rPr>
                <w:rFonts w:hint="default" w:ascii="Times New Roman" w:hAnsi="Times New Roman" w:eastAsia="宋体" w:cs="Times New Roman"/>
                <w:color w:val="auto"/>
                <w:sz w:val="24"/>
                <w:szCs w:val="24"/>
                <w:highlight w:val="none"/>
              </w:rPr>
              <w:t>间噪声贡献值为</w:t>
            </w:r>
            <w:r>
              <w:rPr>
                <w:rFonts w:hint="default" w:ascii="Times New Roman" w:hAnsi="Times New Roman" w:eastAsia="宋体" w:cs="Times New Roman"/>
                <w:color w:val="auto"/>
                <w:sz w:val="24"/>
                <w:szCs w:val="24"/>
                <w:highlight w:val="none"/>
                <w:lang w:val="en-US" w:eastAsia="zh-CN"/>
              </w:rPr>
              <w:t>30.7</w:t>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2.4</w:t>
            </w:r>
            <w:r>
              <w:rPr>
                <w:rFonts w:hint="default" w:ascii="Times New Roman" w:hAnsi="Times New Roman" w:eastAsia="宋体" w:cs="Times New Roman"/>
                <w:color w:val="auto"/>
                <w:sz w:val="24"/>
                <w:szCs w:val="24"/>
                <w:highlight w:val="none"/>
              </w:rPr>
              <w:t>dB</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，均满足《工业企业厂界噪声排放标准》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GB12348-2008</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2类标准要求</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昼间60dB</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，夜间50 dB</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的排放限值。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eastAsia" w:cs="Times New Roman"/>
                <w:b/>
                <w:bCs/>
                <w:color w:val="auto"/>
                <w:highlight w:val="none"/>
                <w:lang w:val="en-US" w:eastAsia="zh-CN"/>
              </w:rPr>
            </w:pPr>
            <w:r>
              <w:rPr>
                <w:rFonts w:hint="eastAsia" w:cs="Times New Roman"/>
                <w:b/>
                <w:bCs/>
                <w:color w:val="auto"/>
                <w:highlight w:val="none"/>
                <w:lang w:val="en-US" w:eastAsia="zh-CN"/>
              </w:rPr>
              <w:t>3.3噪声监测计划</w:t>
            </w:r>
          </w:p>
          <w:p>
            <w:pPr>
              <w:widowControl w:val="0"/>
              <w:adjustRightInd/>
              <w:snapToGrid/>
              <w:spacing w:line="360" w:lineRule="auto"/>
              <w:ind w:firstLine="480" w:firstLineChars="200"/>
              <w:jc w:val="both"/>
              <w:rPr>
                <w:rFonts w:hint="default" w:ascii="Times New Roman" w:hAnsi="Times New Roman" w:eastAsia="宋体" w:cs="Times New Roman"/>
                <w:color w:val="auto"/>
                <w:kern w:val="2"/>
                <w:sz w:val="24"/>
                <w:highlight w:val="none"/>
                <w:lang w:val="en-US" w:eastAsia="zh-CN" w:bidi="ar-SA"/>
              </w:rPr>
            </w:pPr>
            <w:r>
              <w:rPr>
                <w:rFonts w:hint="default" w:ascii="Times New Roman" w:hAnsi="Times New Roman" w:eastAsia="宋体" w:cs="Times New Roman"/>
                <w:color w:val="auto"/>
                <w:kern w:val="2"/>
                <w:sz w:val="24"/>
                <w:highlight w:val="none"/>
                <w:lang w:val="en-US" w:eastAsia="zh-CN" w:bidi="ar-SA"/>
              </w:rPr>
              <w:t>根据《排污单位自行监测技术指南 总则》（HJ 819-2017）以及该项目的特点，</w:t>
            </w:r>
            <w:r>
              <w:rPr>
                <w:rFonts w:hint="eastAsia" w:ascii="Times New Roman" w:hAnsi="Times New Roman" w:eastAsia="宋体" w:cs="Times New Roman"/>
                <w:color w:val="auto"/>
                <w:kern w:val="2"/>
                <w:sz w:val="24"/>
                <w:highlight w:val="none"/>
                <w:lang w:val="en-US" w:eastAsia="zh-CN" w:bidi="ar-SA"/>
              </w:rPr>
              <w:t>噪声环境监测计划</w:t>
            </w:r>
            <w:r>
              <w:rPr>
                <w:rFonts w:hint="default" w:ascii="Times New Roman" w:hAnsi="Times New Roman" w:eastAsia="宋体" w:cs="Times New Roman"/>
                <w:color w:val="auto"/>
                <w:kern w:val="2"/>
                <w:sz w:val="24"/>
                <w:highlight w:val="none"/>
                <w:lang w:val="en-US" w:eastAsia="zh-CN" w:bidi="ar-SA"/>
              </w:rPr>
              <w:t>详见表</w:t>
            </w:r>
            <w:r>
              <w:rPr>
                <w:rFonts w:hint="eastAsia" w:cs="Times New Roman"/>
                <w:color w:val="auto"/>
                <w:kern w:val="2"/>
                <w:sz w:val="24"/>
                <w:highlight w:val="none"/>
                <w:lang w:val="en-US" w:eastAsia="zh-CN" w:bidi="ar-SA"/>
              </w:rPr>
              <w:t>8</w:t>
            </w:r>
            <w:r>
              <w:rPr>
                <w:rFonts w:hint="default" w:ascii="Times New Roman" w:hAnsi="Times New Roman" w:eastAsia="宋体" w:cs="Times New Roman"/>
                <w:color w:val="auto"/>
                <w:kern w:val="2"/>
                <w:sz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eastAsia="宋体" w:cs="Times New Roman"/>
                <w:b/>
                <w:bCs/>
                <w:color w:val="auto"/>
                <w:kern w:val="2"/>
                <w:sz w:val="24"/>
                <w:highlight w:val="none"/>
                <w:lang w:val="en-US" w:eastAsia="zh-CN" w:bidi="ar-SA"/>
              </w:rPr>
            </w:pPr>
            <w:r>
              <w:rPr>
                <w:rFonts w:hint="default" w:ascii="Times New Roman" w:hAnsi="Times New Roman" w:eastAsia="宋体" w:cs="Times New Roman"/>
                <w:b/>
                <w:bCs/>
                <w:color w:val="auto"/>
                <w:kern w:val="2"/>
                <w:sz w:val="24"/>
                <w:highlight w:val="none"/>
                <w:lang w:val="en-US" w:eastAsia="zh-CN" w:bidi="ar-SA"/>
              </w:rPr>
              <w:t>表</w:t>
            </w:r>
            <w:r>
              <w:rPr>
                <w:rFonts w:hint="eastAsia" w:cs="Times New Roman"/>
                <w:b/>
                <w:bCs/>
                <w:color w:val="auto"/>
                <w:kern w:val="2"/>
                <w:sz w:val="24"/>
                <w:highlight w:val="none"/>
                <w:lang w:val="en-US" w:eastAsia="zh-CN" w:bidi="ar-SA"/>
              </w:rPr>
              <w:t>8</w:t>
            </w:r>
            <w:r>
              <w:rPr>
                <w:rFonts w:hint="default" w:ascii="Times New Roman" w:hAnsi="Times New Roman" w:eastAsia="宋体" w:cs="Times New Roman"/>
                <w:b/>
                <w:bCs/>
                <w:color w:val="auto"/>
                <w:kern w:val="2"/>
                <w:sz w:val="24"/>
                <w:highlight w:val="none"/>
                <w:lang w:val="en-US" w:eastAsia="zh-CN" w:bidi="ar-SA"/>
              </w:rPr>
              <w:t xml:space="preserve"> </w:t>
            </w:r>
            <w:r>
              <w:rPr>
                <w:rFonts w:hint="eastAsia" w:cs="Times New Roman"/>
                <w:b/>
                <w:bCs/>
                <w:color w:val="auto"/>
                <w:kern w:val="2"/>
                <w:sz w:val="24"/>
                <w:highlight w:val="none"/>
                <w:lang w:val="en-US" w:eastAsia="zh-CN" w:bidi="ar-SA"/>
              </w:rPr>
              <w:t xml:space="preserve">  </w:t>
            </w:r>
            <w:r>
              <w:rPr>
                <w:rFonts w:hint="eastAsia" w:ascii="Times New Roman" w:hAnsi="Times New Roman" w:eastAsia="宋体" w:cs="Times New Roman"/>
                <w:b/>
                <w:bCs/>
                <w:color w:val="auto"/>
                <w:kern w:val="2"/>
                <w:sz w:val="24"/>
                <w:highlight w:val="none"/>
                <w:lang w:val="en-US" w:eastAsia="zh-CN" w:bidi="ar-SA"/>
              </w:rPr>
              <w:t>噪声</w:t>
            </w:r>
            <w:r>
              <w:rPr>
                <w:rFonts w:hint="default" w:ascii="Times New Roman" w:hAnsi="Times New Roman" w:eastAsia="宋体" w:cs="Times New Roman"/>
                <w:b/>
                <w:bCs/>
                <w:color w:val="auto"/>
                <w:kern w:val="2"/>
                <w:sz w:val="24"/>
                <w:highlight w:val="none"/>
                <w:lang w:val="en-US" w:eastAsia="zh-CN" w:bidi="ar-SA"/>
              </w:rPr>
              <w:t>环境监测计划</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1021"/>
              <w:gridCol w:w="1095"/>
              <w:gridCol w:w="1410"/>
              <w:gridCol w:w="1505"/>
              <w:gridCol w:w="28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PrEx>
              <w:trPr>
                <w:trHeight w:val="567" w:hRule="atLeast"/>
                <w:jc w:val="center"/>
              </w:trPr>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污染物名称</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监测点</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监测项目</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监测频次</w:t>
                  </w:r>
                </w:p>
              </w:tc>
              <w:tc>
                <w:tcPr>
                  <w:tcW w:w="2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91" w:hRule="atLeast"/>
                <w:jc w:val="center"/>
              </w:trPr>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噪声</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厂界四周</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等效A声级</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1次/季度</w:t>
                  </w:r>
                </w:p>
              </w:tc>
              <w:tc>
                <w:tcPr>
                  <w:tcW w:w="2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满足</w:t>
                  </w:r>
                  <w:r>
                    <w:rPr>
                      <w:rFonts w:hint="eastAsia" w:ascii="Times New Roman" w:hAnsi="Times New Roman" w:eastAsia="宋体" w:cs="Times New Roman"/>
                      <w:color w:val="auto"/>
                      <w:kern w:val="2"/>
                      <w:sz w:val="21"/>
                      <w:szCs w:val="21"/>
                      <w:highlight w:val="none"/>
                      <w:lang w:val="en-US" w:eastAsia="zh-CN" w:bidi="ar-SA"/>
                    </w:rPr>
                    <w:t>《工业企业厂界环境噪声排放标准》（GB12348-2008）</w:t>
                  </w:r>
                  <w:r>
                    <w:rPr>
                      <w:rFonts w:hint="eastAsia" w:cs="Times New Roman"/>
                      <w:color w:val="auto"/>
                      <w:kern w:val="2"/>
                      <w:sz w:val="21"/>
                      <w:szCs w:val="21"/>
                      <w:highlight w:val="none"/>
                      <w:lang w:val="en-US" w:eastAsia="zh-CN" w:bidi="ar-SA"/>
                    </w:rPr>
                    <w:t>2</w:t>
                  </w:r>
                  <w:r>
                    <w:rPr>
                      <w:rFonts w:hint="eastAsia" w:ascii="Times New Roman" w:hAnsi="Times New Roman" w:eastAsia="宋体" w:cs="Times New Roman"/>
                      <w:color w:val="auto"/>
                      <w:kern w:val="2"/>
                      <w:sz w:val="21"/>
                      <w:szCs w:val="21"/>
                      <w:highlight w:val="none"/>
                      <w:lang w:val="en-US" w:eastAsia="zh-CN" w:bidi="ar-SA"/>
                    </w:rPr>
                    <w:t>类标准限值</w:t>
                  </w:r>
                  <w:r>
                    <w:rPr>
                      <w:rFonts w:hint="default" w:ascii="Times New Roman" w:hAnsi="Times New Roman" w:eastAsia="宋体" w:cs="Times New Roman"/>
                      <w:color w:val="auto"/>
                      <w:kern w:val="2"/>
                      <w:sz w:val="21"/>
                      <w:szCs w:val="21"/>
                      <w:highlight w:val="none"/>
                      <w:lang w:val="en-US" w:eastAsia="zh-CN" w:bidi="ar-SA"/>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default"/>
                <w:color w:val="auto"/>
                <w:highlight w:val="none"/>
              </w:rPr>
            </w:pPr>
            <w:r>
              <w:rPr>
                <w:rFonts w:hint="eastAsia" w:cs="Times New Roman"/>
                <w:b/>
                <w:bCs/>
                <w:color w:val="auto"/>
                <w:highlight w:val="none"/>
                <w:lang w:val="en-US" w:eastAsia="zh-CN"/>
              </w:rPr>
              <w:t>4、固体废物产生及处置</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default"/>
                <w:color w:val="auto"/>
                <w:highlight w:val="none"/>
                <w:lang w:val="en-US" w:eastAsia="zh-CN"/>
              </w:rPr>
            </w:pPr>
            <w:r>
              <w:rPr>
                <w:rFonts w:hint="eastAsia"/>
                <w:color w:val="auto"/>
                <w:highlight w:val="none"/>
                <w:lang w:eastAsia="zh-CN"/>
              </w:rPr>
              <w:t>改建项目改建后</w:t>
            </w:r>
            <w:r>
              <w:rPr>
                <w:rFonts w:hint="eastAsia"/>
                <w:color w:val="auto"/>
                <w:highlight w:val="none"/>
                <w:lang w:val="en-US" w:eastAsia="zh-CN"/>
              </w:rPr>
              <w:t>运营期</w:t>
            </w:r>
            <w:r>
              <w:rPr>
                <w:rFonts w:hint="eastAsia"/>
                <w:color w:val="auto"/>
                <w:highlight w:val="none"/>
                <w:lang w:eastAsia="zh-CN"/>
              </w:rPr>
              <w:t>产生的固体废物为</w:t>
            </w:r>
            <w:r>
              <w:rPr>
                <w:rFonts w:hint="eastAsia"/>
                <w:color w:val="auto"/>
                <w:highlight w:val="none"/>
                <w:lang w:val="en-US" w:eastAsia="zh-CN"/>
              </w:rPr>
              <w:t>锅炉炉渣、布袋除尘器收集的除尘灰、脱硫渣、废饱和树脂。</w:t>
            </w:r>
          </w:p>
          <w:p>
            <w:pPr>
              <w:bidi w:val="0"/>
              <w:rPr>
                <w:rFonts w:hint="default"/>
                <w:color w:val="auto"/>
                <w:highlight w:val="none"/>
                <w:lang w:val="en-US" w:eastAsia="zh-CN"/>
              </w:rPr>
            </w:pPr>
            <w:r>
              <w:rPr>
                <w:rFonts w:hint="eastAsia"/>
                <w:color w:val="auto"/>
                <w:highlight w:val="none"/>
                <w:lang w:val="en-US" w:eastAsia="zh-CN"/>
              </w:rPr>
              <w:t>（1）炉渣</w:t>
            </w:r>
          </w:p>
          <w:p>
            <w:pPr>
              <w:pStyle w:val="2"/>
              <w:keepNext w:val="0"/>
              <w:keepLines w:val="0"/>
              <w:pageBreakBefore w:val="0"/>
              <w:widowControl w:val="0"/>
              <w:tabs>
                <w:tab w:val="left" w:pos="0"/>
              </w:tabs>
              <w:kinsoku/>
              <w:wordWrap/>
              <w:overflowPunct/>
              <w:topLinePunct w:val="0"/>
              <w:bidi w:val="0"/>
              <w:snapToGrid/>
              <w:spacing w:after="0" w:afterLines="0" w:line="360" w:lineRule="auto"/>
              <w:ind w:left="0" w:leftChars="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本项目</w:t>
            </w:r>
            <w:r>
              <w:rPr>
                <w:rFonts w:hint="default" w:ascii="Times New Roman" w:hAnsi="Times New Roman" w:eastAsia="宋体" w:cs="Times New Roman"/>
                <w:color w:val="auto"/>
                <w:sz w:val="24"/>
                <w:szCs w:val="24"/>
                <w:highlight w:val="none"/>
              </w:rPr>
              <w:t>1台</w:t>
            </w:r>
            <w:r>
              <w:rPr>
                <w:rFonts w:hint="eastAsia" w:cs="Times New Roman"/>
                <w:color w:val="auto"/>
                <w:sz w:val="24"/>
                <w:szCs w:val="24"/>
                <w:highlight w:val="none"/>
                <w:lang w:val="en-US" w:eastAsia="zh-CN"/>
              </w:rPr>
              <w:t>8t/h</w:t>
            </w:r>
            <w:r>
              <w:rPr>
                <w:rFonts w:hint="default" w:ascii="Times New Roman" w:hAnsi="Times New Roman" w:eastAsia="宋体" w:cs="Times New Roman"/>
                <w:color w:val="auto"/>
                <w:sz w:val="24"/>
                <w:szCs w:val="24"/>
                <w:highlight w:val="none"/>
                <w:lang w:eastAsia="zh-CN"/>
              </w:rPr>
              <w:t>生物质热水锅炉</w:t>
            </w:r>
            <w:r>
              <w:rPr>
                <w:rFonts w:hint="default" w:ascii="Times New Roman" w:hAnsi="Times New Roman" w:eastAsia="宋体" w:cs="Times New Roman"/>
                <w:color w:val="auto"/>
                <w:sz w:val="24"/>
                <w:szCs w:val="24"/>
                <w:highlight w:val="none"/>
              </w:rPr>
              <w:t>废气中</w:t>
            </w:r>
            <w:r>
              <w:rPr>
                <w:rFonts w:hint="default" w:ascii="Times New Roman" w:hAnsi="Times New Roman" w:eastAsia="宋体" w:cs="Times New Roman"/>
                <w:bCs/>
                <w:color w:val="auto"/>
                <w:sz w:val="24"/>
                <w:szCs w:val="24"/>
                <w:highlight w:val="none"/>
              </w:rPr>
              <w:t>灰渣卸载过程中产生量</w:t>
            </w:r>
            <w:r>
              <w:rPr>
                <w:rFonts w:hint="default" w:ascii="Times New Roman" w:hAnsi="Times New Roman" w:eastAsia="宋体" w:cs="Times New Roman"/>
                <w:color w:val="auto"/>
                <w:kern w:val="0"/>
                <w:sz w:val="24"/>
                <w:szCs w:val="24"/>
                <w:highlight w:val="none"/>
              </w:rPr>
              <w:t>根据《污染源源强核算技术指南 锅炉》</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HJ991-2018）产污系数法进行计算，公式如下</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drawing>
                <wp:inline distT="0" distB="0" distL="114300" distR="114300">
                  <wp:extent cx="5133975" cy="1908175"/>
                  <wp:effectExtent l="0" t="0" r="1905" b="12065"/>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pic:cNvPicPr>
                        </pic:nvPicPr>
                        <pic:blipFill>
                          <a:blip r:embed="rId37"/>
                          <a:stretch>
                            <a:fillRect/>
                          </a:stretch>
                        </pic:blipFill>
                        <pic:spPr>
                          <a:xfrm>
                            <a:off x="0" y="0"/>
                            <a:ext cx="5133975" cy="1908175"/>
                          </a:xfrm>
                          <a:prstGeom prst="rect">
                            <a:avLst/>
                          </a:prstGeom>
                          <a:noFill/>
                          <a:ln>
                            <a:noFill/>
                          </a:ln>
                        </pic:spPr>
                      </pic:pic>
                    </a:graphicData>
                  </a:graphic>
                </wp:inline>
              </w:drawing>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szCs w:val="24"/>
                <w:highlight w:val="none"/>
                <w:lang w:eastAsia="zh-CN"/>
              </w:rPr>
              <w:t>生物质</w:t>
            </w:r>
            <w:r>
              <w:rPr>
                <w:rFonts w:hint="default" w:ascii="Times New Roman" w:hAnsi="Times New Roman" w:eastAsia="宋体" w:cs="Times New Roman"/>
                <w:color w:val="auto"/>
                <w:sz w:val="24"/>
                <w:szCs w:val="24"/>
                <w:highlight w:val="none"/>
              </w:rPr>
              <w:t>消耗总量为</w:t>
            </w:r>
            <w:r>
              <w:rPr>
                <w:rFonts w:hint="eastAsia" w:cs="Times New Roman"/>
                <w:color w:val="auto"/>
                <w:sz w:val="24"/>
                <w:szCs w:val="24"/>
                <w:highlight w:val="none"/>
                <w:lang w:val="en-US" w:eastAsia="zh-CN"/>
              </w:rPr>
              <w:t>2574</w:t>
            </w:r>
            <w:r>
              <w:rPr>
                <w:rFonts w:hint="default" w:ascii="Times New Roman" w:hAnsi="Times New Roman" w:eastAsia="宋体" w:cs="Times New Roman"/>
                <w:color w:val="auto"/>
                <w:sz w:val="24"/>
                <w:szCs w:val="24"/>
                <w:highlight w:val="none"/>
              </w:rPr>
              <w:t>t/a；</w:t>
            </w:r>
            <w:r>
              <w:rPr>
                <w:rFonts w:hint="default" w:ascii="Times New Roman" w:hAnsi="Times New Roman" w:eastAsia="宋体" w:cs="Times New Roman"/>
                <w:color w:val="auto"/>
                <w:sz w:val="24"/>
                <w:szCs w:val="24"/>
                <w:highlight w:val="none"/>
                <w:lang w:eastAsia="zh-CN"/>
              </w:rPr>
              <w:t>生物质</w:t>
            </w:r>
            <w:r>
              <w:rPr>
                <w:rFonts w:hint="default" w:ascii="Times New Roman" w:hAnsi="Times New Roman" w:eastAsia="宋体" w:cs="Times New Roman"/>
                <w:color w:val="auto"/>
                <w:sz w:val="24"/>
                <w:szCs w:val="24"/>
                <w:highlight w:val="none"/>
              </w:rPr>
              <w:t>收到基灰分为4.37%；根据</w:t>
            </w:r>
            <w:r>
              <w:rPr>
                <w:rFonts w:hint="default" w:ascii="Times New Roman" w:hAnsi="Times New Roman" w:eastAsia="宋体" w:cs="Times New Roman"/>
                <w:color w:val="auto"/>
                <w:kern w:val="0"/>
                <w:sz w:val="24"/>
                <w:szCs w:val="24"/>
                <w:highlight w:val="none"/>
              </w:rPr>
              <w:t>《污染源源强核算技术指南 锅炉》</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HJ991-2018）表B.1锅炉机械不完全燃烧热损失的一般取值5~15%，本次评价取1</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生物质</w:t>
            </w:r>
            <w:r>
              <w:rPr>
                <w:rFonts w:hint="default" w:ascii="Times New Roman" w:hAnsi="Times New Roman" w:eastAsia="宋体" w:cs="Times New Roman"/>
                <w:color w:val="auto"/>
                <w:sz w:val="24"/>
                <w:szCs w:val="24"/>
                <w:highlight w:val="none"/>
              </w:rPr>
              <w:t>收到基低位发热量为</w:t>
            </w:r>
            <w:r>
              <w:rPr>
                <w:rFonts w:hint="default" w:ascii="Times New Roman" w:hAnsi="Times New Roman" w:eastAsia="宋体" w:cs="Times New Roman"/>
                <w:color w:val="auto"/>
                <w:sz w:val="24"/>
                <w:szCs w:val="24"/>
                <w:highlight w:val="none"/>
                <w:lang w:eastAsia="zh-CN"/>
              </w:rPr>
              <w:t>19.921</w:t>
            </w:r>
            <w:r>
              <w:rPr>
                <w:rFonts w:hint="default" w:ascii="Times New Roman" w:hAnsi="Times New Roman" w:eastAsia="宋体" w:cs="Times New Roman"/>
                <w:color w:val="auto"/>
                <w:sz w:val="24"/>
                <w:szCs w:val="24"/>
                <w:highlight w:val="none"/>
              </w:rPr>
              <w:t>MJ/kg。</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则E</w:t>
            </w:r>
            <w:r>
              <w:rPr>
                <w:rFonts w:hint="default" w:ascii="Times New Roman" w:hAnsi="Times New Roman" w:eastAsia="宋体" w:cs="Times New Roman"/>
                <w:color w:val="auto"/>
                <w:sz w:val="24"/>
                <w:szCs w:val="24"/>
                <w:highlight w:val="none"/>
                <w:vertAlign w:val="subscript"/>
              </w:rPr>
              <w:t>hz</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2574</w:t>
            </w:r>
            <w:r>
              <w:rPr>
                <w:rFonts w:hint="default" w:ascii="Times New Roman" w:hAnsi="Times New Roman" w:eastAsia="宋体" w:cs="Times New Roman"/>
                <w:color w:val="auto"/>
                <w:sz w:val="24"/>
                <w:szCs w:val="24"/>
                <w:highlight w:val="none"/>
              </w:rPr>
              <w:t>×[4.37/100+</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19.921</w:t>
            </w:r>
            <w:r>
              <w:rPr>
                <w:rFonts w:hint="default" w:ascii="Times New Roman" w:hAnsi="Times New Roman" w:eastAsia="宋体" w:cs="Times New Roman"/>
                <w:color w:val="auto"/>
                <w:sz w:val="24"/>
                <w:szCs w:val="24"/>
                <w:highlight w:val="none"/>
              </w:rPr>
              <w:t>×10</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100×33870）]=</w:t>
            </w:r>
            <w:r>
              <w:rPr>
                <w:rFonts w:hint="eastAsia" w:cs="Times New Roman"/>
                <w:color w:val="auto"/>
                <w:sz w:val="24"/>
                <w:szCs w:val="24"/>
                <w:highlight w:val="none"/>
                <w:lang w:val="en-US" w:eastAsia="zh-CN"/>
              </w:rPr>
              <w:t>225.58</w:t>
            </w:r>
            <w:r>
              <w:rPr>
                <w:rFonts w:hint="default" w:ascii="Times New Roman" w:hAnsi="Times New Roman" w:eastAsia="宋体" w:cs="Times New Roman"/>
                <w:color w:val="auto"/>
                <w:sz w:val="24"/>
                <w:szCs w:val="24"/>
                <w:highlight w:val="none"/>
              </w:rPr>
              <w:t>t/a</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主要成分为草灰，含有钾、磷、钙、镁、硅、硫和铁、锰、铜、锌、硼、钼等微量营养元素；属于一般工业固废；暂存于全封闭灰渣间内，定期作为肥料施用于周边农田。</w:t>
            </w:r>
          </w:p>
          <w:p>
            <w:pPr>
              <w:bidi w:val="0"/>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除尘灰</w:t>
            </w:r>
          </w:p>
          <w:p>
            <w:pPr>
              <w:bidi w:val="0"/>
              <w:rPr>
                <w:rFonts w:hint="default"/>
                <w:color w:val="auto"/>
                <w:highlight w:val="none"/>
                <w:lang w:val="en-US" w:eastAsia="zh-CN"/>
              </w:rPr>
            </w:pPr>
            <w:r>
              <w:rPr>
                <w:rFonts w:hint="eastAsia"/>
                <w:color w:val="auto"/>
                <w:highlight w:val="none"/>
                <w:lang w:val="en-US" w:eastAsia="zh-CN"/>
              </w:rPr>
              <w:t>锅炉废气处理产生的除尘灰，产生量为1.158t/a，经收集后，暂存于灰渣库内，可作为肥料外售。</w:t>
            </w:r>
          </w:p>
          <w:p>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脱硫渣</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脱硫废渣主要来源于</w:t>
            </w:r>
            <w:r>
              <w:rPr>
                <w:rFonts w:hint="default" w:ascii="Times New Roman" w:hAnsi="Times New Roman" w:eastAsia="宋体" w:cs="Times New Roman"/>
                <w:color w:val="auto"/>
                <w:sz w:val="24"/>
                <w:szCs w:val="24"/>
                <w:highlight w:val="none"/>
                <w:lang w:eastAsia="zh-CN" w:bidi="ar"/>
              </w:rPr>
              <w:t>脱硫塔</w:t>
            </w:r>
            <w:r>
              <w:rPr>
                <w:rFonts w:hint="default" w:ascii="Times New Roman" w:hAnsi="Times New Roman" w:eastAsia="宋体" w:cs="Times New Roman"/>
                <w:color w:val="auto"/>
                <w:sz w:val="24"/>
                <w:szCs w:val="24"/>
                <w:highlight w:val="none"/>
                <w:lang w:bidi="ar"/>
              </w:rPr>
              <w:t>喷淋</w:t>
            </w:r>
            <w:r>
              <w:rPr>
                <w:rFonts w:hint="default" w:ascii="Times New Roman" w:hAnsi="Times New Roman" w:eastAsia="宋体" w:cs="Times New Roman"/>
                <w:color w:val="auto"/>
                <w:sz w:val="24"/>
                <w:szCs w:val="24"/>
                <w:highlight w:val="none"/>
                <w:lang w:eastAsia="zh-CN" w:bidi="ar"/>
              </w:rPr>
              <w:t>废水</w:t>
            </w:r>
            <w:r>
              <w:rPr>
                <w:rFonts w:hint="default" w:ascii="Times New Roman" w:hAnsi="Times New Roman" w:eastAsia="宋体" w:cs="Times New Roman"/>
                <w:color w:val="auto"/>
                <w:sz w:val="24"/>
                <w:szCs w:val="24"/>
                <w:highlight w:val="none"/>
                <w:lang w:bidi="ar"/>
              </w:rPr>
              <w:t>循环池，主要成分为</w:t>
            </w:r>
            <w:r>
              <w:rPr>
                <w:rFonts w:hint="default" w:ascii="Times New Roman" w:hAnsi="Times New Roman" w:eastAsia="宋体" w:cs="Times New Roman"/>
                <w:color w:val="auto"/>
                <w:sz w:val="24"/>
                <w:szCs w:val="24"/>
                <w:highlight w:val="none"/>
              </w:rPr>
              <w:t>Na</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lang w:bidi="ar"/>
              </w:rPr>
              <w:t>SO</w:t>
            </w:r>
            <w:r>
              <w:rPr>
                <w:rFonts w:hint="default" w:ascii="Times New Roman" w:hAnsi="Times New Roman" w:eastAsia="宋体" w:cs="Times New Roman"/>
                <w:color w:val="auto"/>
                <w:sz w:val="24"/>
                <w:szCs w:val="24"/>
                <w:highlight w:val="none"/>
                <w:vertAlign w:val="subscript"/>
                <w:lang w:val="en-US" w:eastAsia="zh-CN" w:bidi="ar"/>
              </w:rPr>
              <w:t>3</w:t>
            </w:r>
            <w:r>
              <w:rPr>
                <w:rFonts w:hint="default" w:ascii="Times New Roman" w:hAnsi="Times New Roman" w:eastAsia="宋体" w:cs="Times New Roman"/>
                <w:color w:val="auto"/>
                <w:sz w:val="24"/>
                <w:szCs w:val="24"/>
                <w:highlight w:val="none"/>
              </w:rPr>
              <w:t>和除尘灰。</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本项目脱硫药剂为片碱</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氢氧化钠），经喷淋吸收烟气中二氧化硫，发生的主要化学反应方程式如下：</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2NaOH+SO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 xml:space="preserve"> →Na</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rPr>
              <w:t>SO</w:t>
            </w:r>
            <w:r>
              <w:rPr>
                <w:rFonts w:hint="default" w:ascii="Times New Roman" w:hAnsi="Times New Roman" w:eastAsia="宋体" w:cs="Times New Roman"/>
                <w:color w:val="auto"/>
                <w:sz w:val="24"/>
                <w:szCs w:val="24"/>
                <w:highlight w:val="none"/>
                <w:vertAlign w:val="subscript"/>
                <w:lang w:val="en-US" w:eastAsia="zh-CN"/>
              </w:rPr>
              <w:t>3</w:t>
            </w: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O</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钠碱法脱硫塔喷淋液吸收废气中的二氧化硫进入</w:t>
            </w:r>
            <w:r>
              <w:rPr>
                <w:rFonts w:hint="default" w:ascii="Times New Roman" w:hAnsi="Times New Roman" w:eastAsia="宋体" w:cs="Times New Roman"/>
                <w:color w:val="auto"/>
                <w:sz w:val="24"/>
                <w:szCs w:val="24"/>
                <w:highlight w:val="none"/>
                <w:lang w:eastAsia="zh-CN" w:bidi="ar"/>
              </w:rPr>
              <w:t>三级沉淀池</w:t>
            </w:r>
            <w:r>
              <w:rPr>
                <w:rFonts w:hint="default" w:ascii="Times New Roman" w:hAnsi="Times New Roman" w:eastAsia="宋体" w:cs="Times New Roman"/>
                <w:color w:val="auto"/>
                <w:sz w:val="24"/>
                <w:szCs w:val="24"/>
                <w:highlight w:val="none"/>
                <w:lang w:bidi="ar"/>
              </w:rPr>
              <w:t>，</w:t>
            </w:r>
            <w:r>
              <w:rPr>
                <w:rFonts w:hint="default" w:ascii="Times New Roman" w:hAnsi="Times New Roman" w:eastAsia="宋体" w:cs="Times New Roman"/>
                <w:color w:val="auto"/>
                <w:sz w:val="24"/>
                <w:szCs w:val="24"/>
                <w:highlight w:val="none"/>
                <w:lang w:eastAsia="zh-CN" w:bidi="ar"/>
              </w:rPr>
              <w:t>经过一级沉淀池沉淀后，上清液流入二级沉淀池，</w:t>
            </w:r>
            <w:r>
              <w:rPr>
                <w:rFonts w:hint="default" w:ascii="Times New Roman" w:hAnsi="Times New Roman" w:eastAsia="宋体" w:cs="Times New Roman"/>
                <w:color w:val="auto"/>
                <w:sz w:val="24"/>
                <w:szCs w:val="24"/>
                <w:highlight w:val="none"/>
                <w:lang w:bidi="ar"/>
              </w:rPr>
              <w:t>上清液</w:t>
            </w:r>
            <w:r>
              <w:rPr>
                <w:rFonts w:hint="default" w:ascii="Times New Roman" w:hAnsi="Times New Roman" w:eastAsia="宋体" w:cs="Times New Roman"/>
                <w:color w:val="auto"/>
                <w:sz w:val="24"/>
                <w:szCs w:val="24"/>
                <w:highlight w:val="none"/>
                <w:lang w:eastAsia="zh-CN" w:bidi="ar"/>
              </w:rPr>
              <w:t>通过</w:t>
            </w:r>
            <w:r>
              <w:rPr>
                <w:rFonts w:hint="default" w:ascii="Times New Roman" w:hAnsi="Times New Roman" w:eastAsia="宋体" w:cs="Times New Roman"/>
                <w:color w:val="auto"/>
                <w:sz w:val="24"/>
                <w:szCs w:val="24"/>
                <w:highlight w:val="none"/>
                <w:lang w:bidi="ar"/>
              </w:rPr>
              <w:t>二级沉淀池澄清后进入清水池，清水池补加新水、加入</w:t>
            </w:r>
            <w:r>
              <w:rPr>
                <w:rFonts w:hint="default" w:ascii="Times New Roman" w:hAnsi="Times New Roman" w:eastAsia="宋体" w:cs="Times New Roman"/>
                <w:color w:val="auto"/>
                <w:sz w:val="24"/>
                <w:szCs w:val="24"/>
                <w:highlight w:val="none"/>
                <w:lang w:eastAsia="zh-CN" w:bidi="ar"/>
              </w:rPr>
              <w:t>片</w:t>
            </w:r>
            <w:r>
              <w:rPr>
                <w:rFonts w:hint="default" w:ascii="Times New Roman" w:hAnsi="Times New Roman" w:eastAsia="宋体" w:cs="Times New Roman"/>
                <w:color w:val="auto"/>
                <w:sz w:val="24"/>
                <w:szCs w:val="24"/>
                <w:highlight w:val="none"/>
                <w:lang w:bidi="ar"/>
              </w:rPr>
              <w:t>碱调节pH值后，再由泵抽送至</w:t>
            </w:r>
            <w:r>
              <w:rPr>
                <w:rFonts w:hint="default" w:ascii="Times New Roman" w:hAnsi="Times New Roman" w:eastAsia="宋体" w:cs="Times New Roman"/>
                <w:color w:val="auto"/>
                <w:sz w:val="24"/>
                <w:szCs w:val="24"/>
                <w:highlight w:val="none"/>
                <w:lang w:eastAsia="zh-CN" w:bidi="ar"/>
              </w:rPr>
              <w:t>钠碱法脱硫塔</w:t>
            </w:r>
            <w:r>
              <w:rPr>
                <w:rFonts w:hint="default" w:ascii="Times New Roman" w:hAnsi="Times New Roman" w:eastAsia="宋体" w:cs="Times New Roman"/>
                <w:color w:val="auto"/>
                <w:sz w:val="24"/>
                <w:szCs w:val="24"/>
                <w:highlight w:val="none"/>
                <w:lang w:bidi="ar"/>
              </w:rPr>
              <w:t>循环使用。</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相对分子量64）和Na</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SO</w:t>
            </w:r>
            <w:r>
              <w:rPr>
                <w:rFonts w:hint="default" w:ascii="Times New Roman" w:hAnsi="Times New Roman" w:eastAsia="宋体" w:cs="Times New Roman"/>
                <w:color w:val="auto"/>
                <w:sz w:val="24"/>
                <w:szCs w:val="24"/>
                <w:highlight w:val="none"/>
                <w:vertAlign w:val="subscript"/>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相对分子量1</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6）的摩尔比例为 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1，本项目SO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去除量为</w:t>
            </w:r>
            <w:r>
              <w:rPr>
                <w:rFonts w:hint="eastAsia" w:ascii="Times New Roman" w:hAnsi="Times New Roman" w:cs="Times New Roman"/>
                <w:color w:val="auto"/>
                <w:sz w:val="24"/>
                <w:szCs w:val="24"/>
                <w:highlight w:val="none"/>
                <w:lang w:val="en-US" w:eastAsia="zh-CN"/>
              </w:rPr>
              <w:t>4.339</w:t>
            </w:r>
            <w:r>
              <w:rPr>
                <w:rFonts w:hint="default" w:ascii="Times New Roman" w:hAnsi="Times New Roman" w:eastAsia="宋体" w:cs="Times New Roman"/>
                <w:color w:val="auto"/>
                <w:sz w:val="24"/>
                <w:szCs w:val="24"/>
                <w:highlight w:val="none"/>
              </w:rPr>
              <w:t>t/a，通过核算产生脱硫渣</w:t>
            </w:r>
            <w:r>
              <w:rPr>
                <w:rFonts w:hint="eastAsia" w:ascii="Times New Roman" w:hAnsi="Times New Roman" w:cs="Times New Roman"/>
                <w:color w:val="auto"/>
                <w:sz w:val="24"/>
                <w:szCs w:val="24"/>
                <w:highlight w:val="none"/>
                <w:lang w:val="en-US" w:eastAsia="zh-CN"/>
              </w:rPr>
              <w:t>8.678</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bidi="ar"/>
              </w:rPr>
              <w:t>干量</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bidi="ar"/>
              </w:rPr>
              <w:t>脱硫废渣经干化后含水率约30%为</w:t>
            </w:r>
            <w:r>
              <w:rPr>
                <w:rFonts w:hint="eastAsia" w:ascii="Times New Roman" w:hAnsi="Times New Roman" w:cs="Times New Roman"/>
                <w:color w:val="auto"/>
                <w:sz w:val="24"/>
                <w:szCs w:val="24"/>
                <w:highlight w:val="none"/>
                <w:lang w:val="en-US" w:eastAsia="zh-CN" w:bidi="ar"/>
              </w:rPr>
              <w:t>12</w:t>
            </w:r>
            <w:r>
              <w:rPr>
                <w:rFonts w:hint="default" w:ascii="Times New Roman" w:hAnsi="Times New Roman" w:eastAsia="宋体" w:cs="Times New Roman"/>
                <w:color w:val="auto"/>
                <w:sz w:val="24"/>
                <w:szCs w:val="24"/>
                <w:highlight w:val="none"/>
                <w:lang w:val="en-US" w:eastAsia="zh-CN" w:bidi="ar"/>
              </w:rPr>
              <w:t>.39</w:t>
            </w:r>
            <w:r>
              <w:rPr>
                <w:rFonts w:hint="default" w:ascii="Times New Roman" w:hAnsi="Times New Roman" w:eastAsia="宋体" w:cs="Times New Roman"/>
                <w:color w:val="auto"/>
                <w:sz w:val="24"/>
                <w:szCs w:val="24"/>
                <w:highlight w:val="none"/>
                <w:lang w:bidi="ar"/>
              </w:rPr>
              <w:t>t/a。</w:t>
            </w:r>
            <w:r>
              <w:rPr>
                <w:rFonts w:hint="default" w:ascii="Times New Roman" w:hAnsi="Times New Roman" w:eastAsia="宋体" w:cs="Times New Roman"/>
                <w:color w:val="auto"/>
                <w:sz w:val="24"/>
                <w:szCs w:val="24"/>
                <w:highlight w:val="none"/>
                <w:lang w:val="en-US" w:eastAsia="zh-CN"/>
              </w:rPr>
              <w:t>钠碱法脱硫塔</w:t>
            </w:r>
            <w:r>
              <w:rPr>
                <w:rFonts w:hint="default" w:ascii="Times New Roman" w:hAnsi="Times New Roman" w:eastAsia="宋体" w:cs="Times New Roman"/>
                <w:color w:val="auto"/>
                <w:sz w:val="24"/>
                <w:szCs w:val="24"/>
                <w:highlight w:val="none"/>
                <w:lang w:eastAsia="zh-CN"/>
              </w:rPr>
              <w:t>底部设置</w:t>
            </w:r>
            <w:r>
              <w:rPr>
                <w:rFonts w:hint="default" w:ascii="Times New Roman" w:hAnsi="Times New Roman" w:eastAsia="宋体" w:cs="Times New Roman"/>
                <w:color w:val="auto"/>
                <w:sz w:val="24"/>
                <w:szCs w:val="24"/>
                <w:highlight w:val="none"/>
                <w:lang w:val="en-US" w:eastAsia="zh-CN"/>
              </w:rPr>
              <w:t>1座三级沉淀池，</w:t>
            </w:r>
            <w:r>
              <w:rPr>
                <w:rFonts w:hint="default" w:ascii="Times New Roman" w:hAnsi="Times New Roman" w:eastAsia="宋体" w:cs="Times New Roman"/>
                <w:color w:val="auto"/>
                <w:sz w:val="24"/>
                <w:szCs w:val="24"/>
                <w:highlight w:val="none"/>
                <w:lang w:bidi="ar"/>
              </w:rPr>
              <w:t>沉淀池底部</w:t>
            </w:r>
            <w:r>
              <w:rPr>
                <w:rFonts w:hint="default" w:ascii="Times New Roman" w:hAnsi="Times New Roman" w:eastAsia="宋体" w:cs="Times New Roman"/>
                <w:color w:val="auto"/>
                <w:sz w:val="24"/>
                <w:szCs w:val="24"/>
                <w:highlight w:val="none"/>
                <w:lang w:eastAsia="zh-CN" w:bidi="ar"/>
              </w:rPr>
              <w:t>脱硫渣</w:t>
            </w:r>
            <w:r>
              <w:rPr>
                <w:rFonts w:hint="default" w:ascii="Times New Roman" w:hAnsi="Times New Roman" w:eastAsia="宋体" w:cs="Times New Roman"/>
                <w:color w:val="auto"/>
                <w:sz w:val="24"/>
                <w:szCs w:val="24"/>
                <w:highlight w:val="none"/>
                <w:lang w:bidi="ar"/>
              </w:rPr>
              <w:t>定期抽入</w:t>
            </w:r>
            <w:r>
              <w:rPr>
                <w:rFonts w:hint="default" w:ascii="Times New Roman" w:hAnsi="Times New Roman" w:eastAsia="宋体" w:cs="Times New Roman"/>
                <w:color w:val="auto"/>
                <w:sz w:val="24"/>
                <w:szCs w:val="24"/>
                <w:highlight w:val="none"/>
                <w:lang w:eastAsia="zh-CN" w:bidi="ar"/>
              </w:rPr>
              <w:t>脱硫渣干化池（</w:t>
            </w:r>
            <w:r>
              <w:rPr>
                <w:rFonts w:hint="default" w:ascii="Times New Roman" w:hAnsi="Times New Roman" w:eastAsia="宋体" w:cs="Times New Roman"/>
                <w:color w:val="auto"/>
                <w:sz w:val="24"/>
                <w:szCs w:val="24"/>
                <w:highlight w:val="none"/>
                <w:lang w:bidi="ar"/>
              </w:rPr>
              <w:t>容积2m</w:t>
            </w:r>
            <w:r>
              <w:rPr>
                <w:rFonts w:hint="default" w:ascii="Times New Roman" w:hAnsi="Times New Roman" w:eastAsia="宋体" w:cs="Times New Roman"/>
                <w:color w:val="auto"/>
                <w:sz w:val="24"/>
                <w:szCs w:val="24"/>
                <w:highlight w:val="none"/>
                <w:vertAlign w:val="superscript"/>
                <w:lang w:bidi="ar"/>
              </w:rPr>
              <w:t>3</w:t>
            </w:r>
            <w:r>
              <w:rPr>
                <w:rFonts w:hint="default" w:ascii="Times New Roman" w:hAnsi="Times New Roman" w:eastAsia="宋体" w:cs="Times New Roman"/>
                <w:color w:val="auto"/>
                <w:sz w:val="24"/>
                <w:szCs w:val="24"/>
                <w:highlight w:val="none"/>
                <w:lang w:bidi="ar"/>
              </w:rPr>
              <w:t>），可满足干化要求，</w:t>
            </w:r>
            <w:r>
              <w:rPr>
                <w:rFonts w:hint="default" w:ascii="Times New Roman" w:hAnsi="Times New Roman" w:eastAsia="宋体" w:cs="Times New Roman"/>
                <w:color w:val="auto"/>
                <w:sz w:val="24"/>
                <w:szCs w:val="24"/>
                <w:highlight w:val="none"/>
                <w:lang w:eastAsia="zh-CN" w:bidi="ar"/>
              </w:rPr>
              <w:t>脱硫渣干化池</w:t>
            </w:r>
            <w:r>
              <w:rPr>
                <w:rFonts w:hint="default" w:ascii="Times New Roman" w:hAnsi="Times New Roman" w:eastAsia="宋体" w:cs="Times New Roman"/>
                <w:color w:val="auto"/>
                <w:sz w:val="24"/>
                <w:szCs w:val="24"/>
                <w:highlight w:val="none"/>
                <w:lang w:bidi="ar"/>
              </w:rPr>
              <w:t>内</w:t>
            </w:r>
            <w:r>
              <w:rPr>
                <w:rFonts w:hint="default" w:ascii="Times New Roman" w:hAnsi="Times New Roman" w:eastAsia="宋体" w:cs="Times New Roman"/>
                <w:color w:val="auto"/>
                <w:sz w:val="24"/>
                <w:szCs w:val="24"/>
                <w:highlight w:val="none"/>
                <w:lang w:eastAsia="zh-CN" w:bidi="ar"/>
              </w:rPr>
              <w:t>脱硫渣</w:t>
            </w:r>
            <w:r>
              <w:rPr>
                <w:rFonts w:hint="default" w:ascii="Times New Roman" w:hAnsi="Times New Roman" w:eastAsia="宋体" w:cs="Times New Roman"/>
                <w:color w:val="auto"/>
                <w:sz w:val="24"/>
                <w:szCs w:val="24"/>
                <w:highlight w:val="none"/>
                <w:lang w:bidi="ar"/>
              </w:rPr>
              <w:t>定期清运至建材公司综合利用</w:t>
            </w:r>
            <w:r>
              <w:rPr>
                <w:rFonts w:hint="default" w:ascii="Times New Roman" w:hAnsi="Times New Roman" w:eastAsia="宋体" w:cs="Times New Roman"/>
                <w:color w:val="auto"/>
                <w:sz w:val="24"/>
                <w:szCs w:val="24"/>
                <w:highlight w:val="none"/>
                <w:lang w:eastAsia="zh-CN" w:bidi="ar"/>
              </w:rPr>
              <w:t>；</w:t>
            </w:r>
          </w:p>
          <w:p>
            <w:pPr>
              <w:bidi w:val="0"/>
              <w:rPr>
                <w:rFonts w:hint="default"/>
                <w:color w:val="auto"/>
                <w:highlight w:val="none"/>
                <w:lang w:val="en-US" w:eastAsia="zh-CN"/>
              </w:rPr>
            </w:pPr>
            <w:r>
              <w:rPr>
                <w:rFonts w:hint="eastAsia"/>
                <w:color w:val="auto"/>
                <w:highlight w:val="none"/>
                <w:lang w:val="en-US" w:eastAsia="zh-CN"/>
              </w:rPr>
              <w:t>（4）废饱和树脂</w:t>
            </w:r>
          </w:p>
          <w:p>
            <w:pPr>
              <w:pStyle w:val="10"/>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本项目设置</w:t>
            </w:r>
            <w:r>
              <w:rPr>
                <w:rFonts w:hint="default" w:ascii="Times New Roman" w:hAnsi="Times New Roman" w:eastAsia="宋体" w:cs="Times New Roman"/>
                <w:color w:val="auto"/>
                <w:sz w:val="24"/>
                <w:szCs w:val="24"/>
                <w:highlight w:val="none"/>
              </w:rPr>
              <w:t>1台10t/h</w:t>
            </w:r>
            <w:r>
              <w:rPr>
                <w:rFonts w:hint="default" w:ascii="Times New Roman" w:hAnsi="Times New Roman" w:eastAsia="宋体" w:cs="Times New Roman"/>
                <w:color w:val="auto"/>
                <w:sz w:val="24"/>
                <w:szCs w:val="24"/>
                <w:highlight w:val="none"/>
                <w:lang w:eastAsia="zh-CN"/>
              </w:rPr>
              <w:t>软水制备装置，交换树脂</w:t>
            </w:r>
            <w:r>
              <w:rPr>
                <w:rFonts w:hint="default" w:ascii="Times New Roman" w:hAnsi="Times New Roman" w:eastAsia="宋体" w:cs="Times New Roman"/>
                <w:color w:val="auto"/>
                <w:sz w:val="24"/>
                <w:szCs w:val="24"/>
                <w:highlight w:val="none"/>
              </w:rPr>
              <w:t>充装量为0.6t，2年</w:t>
            </w:r>
            <w:r>
              <w:rPr>
                <w:rFonts w:hint="default" w:ascii="Times New Roman" w:hAnsi="Times New Roman" w:eastAsia="宋体" w:cs="Times New Roman"/>
                <w:color w:val="auto"/>
                <w:sz w:val="24"/>
                <w:szCs w:val="24"/>
                <w:highlight w:val="none"/>
                <w:lang w:eastAsia="zh-CN"/>
              </w:rPr>
              <w:t>更换一次，则</w:t>
            </w:r>
            <w:r>
              <w:rPr>
                <w:rFonts w:hint="default" w:ascii="Times New Roman" w:hAnsi="Times New Roman" w:eastAsia="宋体" w:cs="Times New Roman"/>
                <w:color w:val="auto"/>
                <w:sz w:val="24"/>
                <w:szCs w:val="24"/>
                <w:highlight w:val="none"/>
              </w:rPr>
              <w:t>废饱和树脂</w:t>
            </w:r>
            <w:r>
              <w:rPr>
                <w:rFonts w:hint="default" w:ascii="Times New Roman" w:hAnsi="Times New Roman" w:eastAsia="宋体" w:cs="Times New Roman"/>
                <w:color w:val="auto"/>
                <w:sz w:val="24"/>
                <w:szCs w:val="24"/>
                <w:highlight w:val="none"/>
                <w:lang w:eastAsia="zh-CN"/>
              </w:rPr>
              <w:t>产生量为</w:t>
            </w:r>
            <w:r>
              <w:rPr>
                <w:rFonts w:hint="default" w:ascii="Times New Roman" w:hAnsi="Times New Roman" w:eastAsia="宋体" w:cs="Times New Roman"/>
                <w:color w:val="auto"/>
                <w:sz w:val="24"/>
                <w:szCs w:val="24"/>
                <w:highlight w:val="none"/>
                <w:lang w:val="en-US" w:eastAsia="zh-CN"/>
              </w:rPr>
              <w:t>0.3t/a，</w:t>
            </w:r>
            <w:r>
              <w:rPr>
                <w:rFonts w:hint="default" w:ascii="Times New Roman" w:hAnsi="Times New Roman" w:eastAsia="宋体" w:cs="Times New Roman"/>
                <w:color w:val="auto"/>
                <w:sz w:val="24"/>
                <w:szCs w:val="24"/>
                <w:highlight w:val="none"/>
              </w:rPr>
              <w:t>属于一般工业固体废物，由销售厂家直接回收，不在厂区内储存</w:t>
            </w:r>
            <w:r>
              <w:rPr>
                <w:rFonts w:hint="default" w:ascii="Times New Roman" w:hAnsi="Times New Roman" w:eastAsia="宋体" w:cs="Times New Roman"/>
                <w:color w:val="auto"/>
                <w:sz w:val="24"/>
                <w:szCs w:val="24"/>
                <w:highlight w:val="none"/>
                <w:lang w:eastAsia="zh-CN"/>
              </w:rPr>
              <w:t>。</w:t>
            </w:r>
          </w:p>
          <w:p>
            <w:pPr>
              <w:bidi w:val="0"/>
              <w:rPr>
                <w:rFonts w:hint="default"/>
                <w:color w:val="auto"/>
                <w:highlight w:val="none"/>
                <w:lang w:val="en-US" w:eastAsia="zh-CN"/>
              </w:rPr>
            </w:pPr>
            <w:r>
              <w:rPr>
                <w:rFonts w:hint="eastAsia"/>
                <w:color w:val="auto"/>
                <w:highlight w:val="none"/>
                <w:lang w:eastAsia="zh-CN"/>
              </w:rPr>
              <w:t>固废产生量及处理措施见表</w:t>
            </w:r>
            <w:r>
              <w:rPr>
                <w:rFonts w:hint="eastAsia"/>
                <w:color w:val="auto"/>
                <w:highlight w:val="none"/>
                <w:lang w:val="en-US" w:eastAsia="zh-CN"/>
              </w:rPr>
              <w:t>9。</w:t>
            </w:r>
          </w:p>
          <w:p>
            <w:pPr>
              <w:bidi w:val="0"/>
              <w:jc w:val="center"/>
              <w:rPr>
                <w:b/>
                <w:bCs/>
                <w:color w:val="auto"/>
                <w:highlight w:val="none"/>
              </w:rPr>
            </w:pPr>
            <w:r>
              <w:rPr>
                <w:rFonts w:hint="default"/>
                <w:b/>
                <w:bCs/>
                <w:color w:val="auto"/>
                <w:highlight w:val="none"/>
              </w:rPr>
              <w:t>表</w:t>
            </w:r>
            <w:r>
              <w:rPr>
                <w:rFonts w:hint="eastAsia"/>
                <w:b/>
                <w:bCs/>
                <w:color w:val="auto"/>
                <w:highlight w:val="none"/>
                <w:lang w:val="en-US" w:eastAsia="zh-CN"/>
              </w:rPr>
              <w:t>9  本项目</w:t>
            </w:r>
            <w:r>
              <w:rPr>
                <w:rFonts w:hint="eastAsia"/>
                <w:b/>
                <w:bCs/>
                <w:color w:val="auto"/>
                <w:highlight w:val="none"/>
                <w:lang w:eastAsia="zh-CN"/>
              </w:rPr>
              <w:t>固废</w:t>
            </w:r>
            <w:r>
              <w:rPr>
                <w:rFonts w:hint="eastAsia"/>
                <w:b/>
                <w:bCs/>
                <w:color w:val="auto"/>
                <w:highlight w:val="none"/>
                <w:lang w:val="en-US" w:eastAsia="zh-CN"/>
              </w:rPr>
              <w:t>产生及处置情况一览</w:t>
            </w:r>
            <w:r>
              <w:rPr>
                <w:rFonts w:hint="default"/>
                <w:b/>
                <w:bCs/>
                <w:color w:val="auto"/>
                <w:highlight w:val="none"/>
              </w:rPr>
              <w:t>表</w:t>
            </w:r>
          </w:p>
          <w:tbl>
            <w:tblPr>
              <w:tblStyle w:val="18"/>
              <w:tblW w:w="7946"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993"/>
              <w:gridCol w:w="993"/>
              <w:gridCol w:w="993"/>
              <w:gridCol w:w="993"/>
              <w:gridCol w:w="993"/>
              <w:gridCol w:w="994"/>
              <w:gridCol w:w="99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名称</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性质</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代码</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产生环节</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产生量</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存放地点</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排放周期</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处置措施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炉渣</w:t>
                  </w:r>
                </w:p>
              </w:tc>
              <w:tc>
                <w:tcPr>
                  <w:tcW w:w="99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一般固废</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出渣机</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225.58t/a</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灰渣库</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300天</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可作为肥料外售。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除尘灰</w:t>
                  </w:r>
                </w:p>
              </w:tc>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val="0"/>
                      <w:bCs w:val="0"/>
                      <w:color w:val="auto"/>
                      <w:sz w:val="21"/>
                      <w:szCs w:val="21"/>
                      <w:highlight w:val="none"/>
                      <w:vertAlign w:val="baseline"/>
                      <w:lang w:val="en-US" w:eastAsia="zh-CN"/>
                    </w:rPr>
                  </w:pP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val="0"/>
                      <w:bCs w:val="0"/>
                      <w:color w:val="auto"/>
                      <w:kern w:val="2"/>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布袋除尘器</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1.158t/a</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灰渣库</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随生产产生</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val="0"/>
                      <w:bCs w:val="0"/>
                      <w:color w:val="auto"/>
                      <w:kern w:val="2"/>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可作为肥料外售。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脱硫渣</w:t>
                  </w:r>
                </w:p>
              </w:tc>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val="0"/>
                      <w:bCs w:val="0"/>
                      <w:color w:val="auto"/>
                      <w:sz w:val="21"/>
                      <w:szCs w:val="21"/>
                      <w:highlight w:val="none"/>
                      <w:vertAlign w:val="baseline"/>
                      <w:lang w:val="en-US" w:eastAsia="zh-CN"/>
                    </w:rPr>
                  </w:pP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val="0"/>
                      <w:bCs w:val="0"/>
                      <w:color w:val="auto"/>
                      <w:kern w:val="2"/>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脱硫塔</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12.39t/a</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干化池</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随生产产生</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外售建材公司综合利用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废饱和树脂</w:t>
                  </w:r>
                </w:p>
              </w:tc>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val="0"/>
                      <w:bCs w:val="0"/>
                      <w:color w:val="auto"/>
                      <w:sz w:val="21"/>
                      <w:szCs w:val="21"/>
                      <w:highlight w:val="none"/>
                      <w:vertAlign w:val="baseline"/>
                      <w:lang w:val="en-US" w:eastAsia="zh-CN"/>
                    </w:rPr>
                  </w:pP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val="0"/>
                      <w:bCs w:val="0"/>
                      <w:color w:val="auto"/>
                      <w:kern w:val="2"/>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软水制备系统</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0.3t/a</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不暂存</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随生产产生</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由厂家回收利用</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宋体" w:cs="Times New Roman"/>
                <w:color w:val="auto"/>
                <w:kern w:val="0"/>
                <w:sz w:val="24"/>
                <w:szCs w:val="24"/>
                <w:highlight w:val="none"/>
                <w:lang w:eastAsia="zh-CN"/>
              </w:rPr>
            </w:pPr>
            <w:r>
              <w:rPr>
                <w:rFonts w:hint="eastAsia"/>
                <w:color w:val="auto"/>
                <w:highlight w:val="none"/>
                <w:lang w:val="en-US" w:eastAsia="zh-CN"/>
              </w:rPr>
              <w:t>改建</w:t>
            </w:r>
            <w:r>
              <w:rPr>
                <w:rFonts w:hint="eastAsia" w:ascii="Times New Roman" w:hAnsi="Times New Roman" w:eastAsia="宋体" w:cs="Times New Roman"/>
                <w:color w:val="auto"/>
                <w:sz w:val="24"/>
                <w:szCs w:val="24"/>
                <w:highlight w:val="none"/>
              </w:rPr>
              <w:t>项目</w:t>
            </w:r>
            <w:r>
              <w:rPr>
                <w:rFonts w:hint="eastAsia" w:ascii="Times New Roman" w:hAnsi="Times New Roman" w:cs="Times New Roman"/>
                <w:color w:val="auto"/>
                <w:sz w:val="24"/>
                <w:szCs w:val="24"/>
                <w:highlight w:val="none"/>
                <w:lang w:val="en-US" w:eastAsia="zh-CN"/>
              </w:rPr>
              <w:t>依托</w:t>
            </w:r>
            <w:r>
              <w:rPr>
                <w:rFonts w:hint="eastAsia" w:cs="Times New Roman"/>
                <w:color w:val="auto"/>
                <w:sz w:val="24"/>
                <w:szCs w:val="24"/>
                <w:highlight w:val="none"/>
                <w:lang w:val="en-US" w:eastAsia="zh-CN"/>
              </w:rPr>
              <w:t>现有</w:t>
            </w:r>
            <w:r>
              <w:rPr>
                <w:rFonts w:hint="eastAsia" w:ascii="Times New Roman" w:hAnsi="Times New Roman" w:cs="Times New Roman"/>
                <w:color w:val="auto"/>
                <w:sz w:val="24"/>
                <w:szCs w:val="24"/>
                <w:highlight w:val="none"/>
                <w:lang w:val="en-US" w:eastAsia="zh-CN"/>
              </w:rPr>
              <w:t>工程的</w:t>
            </w:r>
            <w:r>
              <w:rPr>
                <w:rFonts w:hint="eastAsia" w:cs="Times New Roman"/>
                <w:color w:val="auto"/>
                <w:sz w:val="24"/>
                <w:szCs w:val="24"/>
                <w:highlight w:val="none"/>
                <w:lang w:val="en-US" w:eastAsia="zh-CN"/>
              </w:rPr>
              <w:t>灰渣库</w:t>
            </w:r>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eastAsia="zh-CN"/>
              </w:rPr>
              <w:t>地面已做一般防渗</w:t>
            </w:r>
            <w:r>
              <w:rPr>
                <w:rFonts w:hint="eastAsia" w:ascii="Times New Roman" w:hAnsi="Times New Roman" w:cs="Times New Roman"/>
                <w:color w:val="auto"/>
                <w:kern w:val="0"/>
                <w:sz w:val="24"/>
                <w:szCs w:val="24"/>
                <w:highlight w:val="none"/>
                <w:lang w:val="en-US" w:eastAsia="zh-CN"/>
              </w:rPr>
              <w:t>处理</w:t>
            </w:r>
            <w:r>
              <w:rPr>
                <w:rFonts w:hint="eastAsia" w:ascii="Times New Roman" w:hAnsi="Times New Roman" w:eastAsia="宋体" w:cs="Times New Roman"/>
                <w:color w:val="auto"/>
                <w:sz w:val="24"/>
                <w:szCs w:val="24"/>
                <w:highlight w:val="none"/>
              </w:rPr>
              <w:t>，其防渗采用</w:t>
            </w:r>
            <w:r>
              <w:rPr>
                <w:rFonts w:hint="eastAsia" w:ascii="Times New Roman" w:hAnsi="Times New Roman" w:eastAsia="宋体" w:cs="Times New Roman"/>
                <w:color w:val="auto"/>
                <w:kern w:val="0"/>
                <w:sz w:val="24"/>
                <w:szCs w:val="24"/>
                <w:highlight w:val="none"/>
              </w:rPr>
              <w:t>抗渗混凝土面层（包括钢筋混凝土、钢纤维混凝土）中掺水泥及渗透结晶型防水剂，地面</w:t>
            </w:r>
            <w:r>
              <w:rPr>
                <w:rFonts w:hint="eastAsia" w:ascii="Times New Roman" w:hAnsi="Times New Roman" w:eastAsia="宋体" w:cs="Times New Roman"/>
                <w:color w:val="auto"/>
                <w:sz w:val="24"/>
                <w:szCs w:val="24"/>
                <w:highlight w:val="none"/>
              </w:rPr>
              <w:t>渗透性能</w:t>
            </w:r>
            <w:r>
              <w:rPr>
                <w:rFonts w:hint="eastAsia" w:ascii="Times New Roman" w:hAnsi="Times New Roman" w:cs="Times New Roman"/>
                <w:color w:val="auto"/>
                <w:sz w:val="24"/>
                <w:szCs w:val="24"/>
                <w:highlight w:val="none"/>
                <w:lang w:eastAsia="zh-CN"/>
              </w:rPr>
              <w:t>满足</w:t>
            </w:r>
            <w:r>
              <w:rPr>
                <w:rFonts w:ascii="Times New Roman" w:hAnsi="Times New Roman" w:eastAsia="宋体" w:cs="Times New Roman"/>
                <w:color w:val="auto"/>
                <w:sz w:val="24"/>
                <w:szCs w:val="24"/>
                <w:highlight w:val="none"/>
              </w:rPr>
              <w:t>≤1×10</w:t>
            </w:r>
            <w:r>
              <w:rPr>
                <w:rFonts w:ascii="Times New Roman" w:hAnsi="Times New Roman" w:eastAsia="宋体" w:cs="Times New Roman"/>
                <w:color w:val="auto"/>
                <w:sz w:val="24"/>
                <w:szCs w:val="24"/>
                <w:highlight w:val="none"/>
                <w:vertAlign w:val="superscript"/>
              </w:rPr>
              <w:t>-7</w:t>
            </w:r>
            <w:r>
              <w:rPr>
                <w:rFonts w:ascii="Times New Roman" w:hAnsi="Times New Roman" w:eastAsia="宋体" w:cs="Times New Roman"/>
                <w:color w:val="auto"/>
                <w:sz w:val="24"/>
                <w:szCs w:val="24"/>
                <w:highlight w:val="none"/>
              </w:rPr>
              <w:t>cm/s</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kern w:val="0"/>
                <w:sz w:val="24"/>
                <w:szCs w:val="24"/>
                <w:highlight w:val="none"/>
              </w:rPr>
              <w:t>抗渗等级不小于</w:t>
            </w:r>
            <w:r>
              <w:rPr>
                <w:rFonts w:ascii="Times New Roman" w:hAnsi="Times New Roman" w:eastAsia="宋体" w:cs="Times New Roman"/>
                <w:color w:val="auto"/>
                <w:kern w:val="0"/>
                <w:sz w:val="24"/>
                <w:szCs w:val="24"/>
                <w:highlight w:val="none"/>
              </w:rPr>
              <w:t>P8</w:t>
            </w:r>
            <w:r>
              <w:rPr>
                <w:rFonts w:hint="eastAsia" w:ascii="Times New Roman" w:hAnsi="Times New Roman" w:eastAsia="宋体" w:cs="Times New Roman"/>
                <w:color w:val="auto"/>
                <w:kern w:val="0"/>
                <w:sz w:val="24"/>
                <w:szCs w:val="24"/>
                <w:highlight w:val="none"/>
              </w:rPr>
              <w:t>。</w:t>
            </w:r>
            <w:r>
              <w:rPr>
                <w:rFonts w:hint="eastAsia" w:ascii="Times New Roman" w:hAnsi="Times New Roman" w:cs="Times New Roman"/>
                <w:color w:val="auto"/>
                <w:kern w:val="0"/>
                <w:sz w:val="24"/>
                <w:szCs w:val="24"/>
                <w:highlight w:val="none"/>
                <w:lang w:eastAsia="zh-CN"/>
              </w:rPr>
              <w:t>一般固废暂存</w:t>
            </w:r>
            <w:r>
              <w:rPr>
                <w:rFonts w:hint="eastAsia" w:cs="Times New Roman"/>
                <w:color w:val="auto"/>
                <w:kern w:val="0"/>
                <w:sz w:val="24"/>
                <w:szCs w:val="24"/>
                <w:highlight w:val="none"/>
                <w:lang w:eastAsia="zh-CN"/>
              </w:rPr>
              <w:t>区</w:t>
            </w:r>
            <w:r>
              <w:rPr>
                <w:rFonts w:hint="eastAsia" w:ascii="Times New Roman" w:hAnsi="Times New Roman" w:cs="Times New Roman"/>
                <w:color w:val="auto"/>
                <w:kern w:val="0"/>
                <w:sz w:val="24"/>
                <w:szCs w:val="24"/>
                <w:highlight w:val="none"/>
                <w:lang w:eastAsia="zh-CN"/>
              </w:rPr>
              <w:t>的贮存满足</w:t>
            </w:r>
            <w:r>
              <w:rPr>
                <w:rFonts w:hint="eastAsia"/>
                <w:color w:val="auto"/>
                <w:highlight w:val="none"/>
              </w:rPr>
              <w:t>《一般工业固体废物贮存</w:t>
            </w:r>
            <w:r>
              <w:rPr>
                <w:rFonts w:hint="eastAsia"/>
                <w:color w:val="auto"/>
                <w:highlight w:val="none"/>
                <w:lang w:val="en-US" w:eastAsia="zh-CN"/>
              </w:rPr>
              <w:t>和填埋污染控制标准</w:t>
            </w:r>
            <w:r>
              <w:rPr>
                <w:rFonts w:hint="eastAsia"/>
                <w:color w:val="auto"/>
                <w:highlight w:val="none"/>
              </w:rPr>
              <w:t>》（GB18599-2</w:t>
            </w:r>
            <w:r>
              <w:rPr>
                <w:rFonts w:hint="eastAsia"/>
                <w:color w:val="auto"/>
                <w:highlight w:val="none"/>
                <w:lang w:val="en-US" w:eastAsia="zh-CN"/>
              </w:rPr>
              <w:t>020</w:t>
            </w:r>
            <w:r>
              <w:rPr>
                <w:rFonts w:hint="eastAsia"/>
                <w:color w:val="auto"/>
                <w:highlight w:val="none"/>
              </w:rPr>
              <w:t>）中的有关规定</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eastAsia="zh-CN"/>
              </w:rPr>
              <w:t>改建</w:t>
            </w:r>
            <w:r>
              <w:rPr>
                <w:rFonts w:ascii="Times New Roman" w:hAnsi="Times New Roman" w:eastAsia="宋体" w:cs="Times New Roman"/>
                <w:color w:val="auto"/>
                <w:sz w:val="24"/>
                <w:szCs w:val="24"/>
                <w:highlight w:val="none"/>
              </w:rPr>
              <w:t>项目产生的固体废物均能妥善处理，对环境产生的影响较小</w:t>
            </w:r>
            <w:r>
              <w:rPr>
                <w:rFonts w:hint="eastAsia" w:ascii="Times New Roman" w:hAnsi="Times New Roman" w:eastAsia="宋体" w:cs="Times New Roman"/>
                <w:color w:val="auto"/>
                <w:sz w:val="24"/>
                <w:szCs w:val="24"/>
                <w:highlight w:val="none"/>
                <w:lang w:eastAsia="zh-CN"/>
              </w:rPr>
              <w:t>。</w:t>
            </w:r>
          </w:p>
          <w:p>
            <w:pPr>
              <w:ind w:firstLine="482"/>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5、</w:t>
            </w:r>
            <w:r>
              <w:rPr>
                <w:rFonts w:hint="eastAsia" w:cs="Times New Roman"/>
                <w:b/>
                <w:bCs/>
                <w:color w:val="auto"/>
                <w:highlight w:val="none"/>
                <w:lang w:val="en-US" w:eastAsia="zh-CN"/>
              </w:rPr>
              <w:t>改建前后污染物排放变化情况（“三本账”）</w:t>
            </w:r>
          </w:p>
          <w:p>
            <w:pPr>
              <w:keepNext w:val="0"/>
              <w:keepLines w:val="0"/>
              <w:pageBreakBefore w:val="0"/>
              <w:kinsoku/>
              <w:overflowPunct/>
              <w:topLinePunct w:val="0"/>
              <w:autoSpaceDE/>
              <w:autoSpaceDN/>
              <w:bidi w:val="0"/>
              <w:snapToGrid/>
              <w:spacing w:line="360" w:lineRule="auto"/>
              <w:ind w:firstLine="480" w:firstLineChars="200"/>
              <w:rPr>
                <w:color w:val="auto"/>
                <w:sz w:val="24"/>
                <w:szCs w:val="24"/>
                <w:highlight w:val="none"/>
              </w:rPr>
            </w:pPr>
            <w:r>
              <w:rPr>
                <w:rFonts w:hint="eastAsia" w:cs="Times New Roman"/>
                <w:color w:val="auto"/>
                <w:sz w:val="24"/>
                <w:szCs w:val="24"/>
                <w:highlight w:val="none"/>
                <w:lang w:eastAsia="zh-CN"/>
              </w:rPr>
              <w:t>改建</w:t>
            </w:r>
            <w:r>
              <w:rPr>
                <w:rFonts w:hint="default" w:ascii="Times New Roman" w:hAnsi="Times New Roman" w:cs="Times New Roman"/>
                <w:color w:val="auto"/>
                <w:sz w:val="24"/>
                <w:szCs w:val="24"/>
                <w:highlight w:val="none"/>
              </w:rPr>
              <w:t>前后污染物排放量变化情况见表</w:t>
            </w:r>
            <w:r>
              <w:rPr>
                <w:rFonts w:hint="eastAsia" w:cs="Times New Roman"/>
                <w:color w:val="auto"/>
                <w:sz w:val="24"/>
                <w:szCs w:val="24"/>
                <w:highlight w:val="none"/>
                <w:lang w:val="en-US" w:eastAsia="zh-CN"/>
              </w:rPr>
              <w:t>10</w:t>
            </w:r>
            <w:r>
              <w:rPr>
                <w:color w:val="auto"/>
                <w:sz w:val="24"/>
                <w:szCs w:val="24"/>
                <w:highlight w:val="none"/>
              </w:rPr>
              <w:t>。</w:t>
            </w:r>
          </w:p>
          <w:p>
            <w:pPr>
              <w:ind w:firstLine="482"/>
              <w:jc w:val="center"/>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表10  改建前后污染物排放量变化情况</w:t>
            </w:r>
          </w:p>
          <w:tbl>
            <w:tblPr>
              <w:tblStyle w:val="18"/>
              <w:tblW w:w="7946"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1336"/>
              <w:gridCol w:w="650"/>
              <w:gridCol w:w="993"/>
              <w:gridCol w:w="993"/>
              <w:gridCol w:w="993"/>
              <w:gridCol w:w="994"/>
              <w:gridCol w:w="99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类别</w:t>
                  </w:r>
                </w:p>
              </w:tc>
              <w:tc>
                <w:tcPr>
                  <w:tcW w:w="13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污染物名称</w:t>
                  </w:r>
                </w:p>
              </w:tc>
              <w:tc>
                <w:tcPr>
                  <w:tcW w:w="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单位</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现有工程排放量</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改建工程排放量</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“以新带老”消减量</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改建后全厂总排放量</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增减量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8" w:hRule="atLeast"/>
              </w:trPr>
              <w:tc>
                <w:tcPr>
                  <w:tcW w:w="99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废气</w:t>
                  </w:r>
                </w:p>
              </w:tc>
              <w:tc>
                <w:tcPr>
                  <w:tcW w:w="13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颗粒物</w:t>
                  </w:r>
                </w:p>
              </w:tc>
              <w:tc>
                <w:tcPr>
                  <w:tcW w:w="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t/a</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3.283</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0.129</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3.154</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0.129</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-3.154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13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二氧化硫</w:t>
                  </w:r>
                </w:p>
              </w:tc>
              <w:tc>
                <w:tcPr>
                  <w:tcW w:w="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t/a</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12.096</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1.313</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10.783</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1.313</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-10.783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13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氮氧化物</w:t>
                  </w:r>
                </w:p>
              </w:tc>
              <w:tc>
                <w:tcPr>
                  <w:tcW w:w="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t/a</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12.960</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2.625</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10.335</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2.625</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-10.335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13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汞及其化合物</w:t>
                  </w:r>
                </w:p>
              </w:tc>
              <w:tc>
                <w:tcPr>
                  <w:tcW w:w="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t/a</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0.00025</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0.000009</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0.000241</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0.000009</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-0.000241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废水</w:t>
                  </w:r>
                </w:p>
              </w:tc>
              <w:tc>
                <w:tcPr>
                  <w:tcW w:w="13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锅炉排水</w:t>
                  </w:r>
                </w:p>
              </w:tc>
              <w:tc>
                <w:tcPr>
                  <w:tcW w:w="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t/a</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13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软化水系统排水</w:t>
                  </w:r>
                </w:p>
              </w:tc>
              <w:tc>
                <w:tcPr>
                  <w:tcW w:w="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t/a</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0</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0</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0</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0</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固体废物</w:t>
                  </w:r>
                </w:p>
              </w:tc>
              <w:tc>
                <w:tcPr>
                  <w:tcW w:w="13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灰渣</w:t>
                  </w:r>
                </w:p>
              </w:tc>
              <w:tc>
                <w:tcPr>
                  <w:tcW w:w="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t/a</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42.24</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225.58</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183.33</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225.58</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+183.33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13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除尘灰</w:t>
                  </w:r>
                </w:p>
              </w:tc>
              <w:tc>
                <w:tcPr>
                  <w:tcW w:w="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t/a</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93.63</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1.158</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92.472</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1.158</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-92.472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13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脱硫渣</w:t>
                  </w:r>
                </w:p>
              </w:tc>
              <w:tc>
                <w:tcPr>
                  <w:tcW w:w="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t/a</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9.08</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12.39</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3.31</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12.39</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+3.31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13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废饱和树脂</w:t>
                  </w:r>
                </w:p>
              </w:tc>
              <w:tc>
                <w:tcPr>
                  <w:tcW w:w="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t/a</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0.3</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0.3</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0</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0.3</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w:t>
                  </w:r>
                </w:p>
              </w:tc>
            </w:tr>
          </w:tbl>
          <w:p>
            <w:pPr>
              <w:pStyle w:val="10"/>
              <w:adjustRightInd w:val="0"/>
              <w:spacing w:line="360" w:lineRule="auto"/>
              <w:ind w:firstLine="482" w:firstLineChars="200"/>
              <w:jc w:val="both"/>
              <w:rPr>
                <w:rFonts w:hint="default" w:ascii="Times New Roman" w:hAnsi="Times New Roman" w:eastAsia="宋体" w:cs="Times New Roman"/>
                <w:b/>
                <w:color w:val="auto"/>
                <w:highlight w:val="none"/>
              </w:rPr>
            </w:pPr>
            <w:r>
              <w:rPr>
                <w:rFonts w:hint="eastAsia"/>
                <w:b/>
                <w:bCs/>
                <w:color w:val="auto"/>
                <w:highlight w:val="none"/>
                <w:lang w:val="en-US" w:eastAsia="zh-CN"/>
              </w:rPr>
              <w:t>6、</w:t>
            </w:r>
            <w:r>
              <w:rPr>
                <w:rFonts w:hint="default"/>
                <w:b/>
                <w:bCs/>
                <w:color w:val="auto"/>
                <w:highlight w:val="none"/>
              </w:rPr>
              <w:t>地</w:t>
            </w:r>
            <w:r>
              <w:rPr>
                <w:rFonts w:hint="default" w:ascii="Times New Roman" w:hAnsi="Times New Roman" w:eastAsia="宋体" w:cs="Times New Roman"/>
                <w:b/>
                <w:color w:val="auto"/>
                <w:highlight w:val="none"/>
              </w:rPr>
              <w:t>下水环境、土壤环境影响分析</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w:t>
            </w:r>
            <w:r>
              <w:rPr>
                <w:rFonts w:hint="default" w:ascii="Times New Roman" w:hAnsi="Times New Roman" w:eastAsia="宋体" w:cs="Times New Roman"/>
                <w:color w:val="auto"/>
                <w:sz w:val="24"/>
                <w:szCs w:val="32"/>
                <w:highlight w:val="none"/>
              </w:rPr>
              <w:t>灰渣间</w:t>
            </w:r>
            <w:r>
              <w:rPr>
                <w:rFonts w:hint="default" w:ascii="Times New Roman" w:hAnsi="Times New Roman" w:eastAsia="宋体" w:cs="Times New Roman"/>
                <w:color w:val="auto"/>
                <w:sz w:val="24"/>
                <w:highlight w:val="none"/>
              </w:rPr>
              <w:t>的防渗系数小于1×10</w:t>
            </w:r>
            <w:r>
              <w:rPr>
                <w:rFonts w:hint="default" w:ascii="Times New Roman" w:hAnsi="Times New Roman" w:eastAsia="宋体" w:cs="Times New Roman"/>
                <w:color w:val="auto"/>
                <w:sz w:val="24"/>
                <w:highlight w:val="none"/>
                <w:vertAlign w:val="superscript"/>
              </w:rPr>
              <w:t>-7</w:t>
            </w:r>
            <w:r>
              <w:rPr>
                <w:rFonts w:hint="default" w:ascii="Times New Roman" w:hAnsi="Times New Roman" w:eastAsia="宋体" w:cs="Times New Roman"/>
                <w:color w:val="auto"/>
                <w:sz w:val="24"/>
                <w:highlight w:val="none"/>
              </w:rPr>
              <w:t>cm/s，采用混凝土铺设，达到防渗的目的；</w:t>
            </w:r>
            <w:r>
              <w:rPr>
                <w:rFonts w:hint="default" w:ascii="Times New Roman" w:hAnsi="Times New Roman" w:eastAsia="宋体" w:cs="Times New Roman"/>
                <w:color w:val="auto"/>
                <w:sz w:val="24"/>
                <w:szCs w:val="32"/>
                <w:highlight w:val="none"/>
                <w:lang w:eastAsia="zh-CN"/>
              </w:rPr>
              <w:t>燃料库</w:t>
            </w:r>
            <w:r>
              <w:rPr>
                <w:rFonts w:hint="default" w:ascii="Times New Roman" w:hAnsi="Times New Roman" w:eastAsia="宋体" w:cs="Times New Roman"/>
                <w:color w:val="auto"/>
                <w:sz w:val="24"/>
                <w:szCs w:val="32"/>
                <w:highlight w:val="none"/>
              </w:rPr>
              <w:t>、</w:t>
            </w:r>
            <w:r>
              <w:rPr>
                <w:rFonts w:hint="default" w:ascii="Times New Roman" w:hAnsi="Times New Roman" w:eastAsia="宋体" w:cs="Times New Roman"/>
                <w:color w:val="auto"/>
                <w:sz w:val="24"/>
                <w:szCs w:val="32"/>
                <w:highlight w:val="none"/>
                <w:lang w:eastAsia="zh-CN"/>
              </w:rPr>
              <w:t>锅炉房</w:t>
            </w:r>
            <w:r>
              <w:rPr>
                <w:rFonts w:hint="default" w:ascii="Times New Roman" w:hAnsi="Times New Roman" w:eastAsia="宋体" w:cs="Times New Roman"/>
                <w:color w:val="auto"/>
                <w:sz w:val="24"/>
                <w:highlight w:val="none"/>
              </w:rPr>
              <w:t>为简单防渗区。</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通过采取严格有效的防渗措施，可以有效降低非正常工况发生的污染物泄露事故；在发生泄露情况下，采取有效的应急措施，可以污染物进入地下水、土壤环境的风险降到最低。</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6、环境风险评价</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6.1危险物质种类</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本项目涉及的有毒有害和易燃易爆等危险物质为</w:t>
            </w:r>
            <w:r>
              <w:rPr>
                <w:rFonts w:hint="default" w:ascii="Times New Roman" w:hAnsi="Times New Roman" w:eastAsia="宋体" w:cs="Times New Roman"/>
                <w:color w:val="auto"/>
                <w:sz w:val="24"/>
                <w:highlight w:val="none"/>
                <w:lang w:eastAsia="zh-CN"/>
              </w:rPr>
              <w:t>生物质</w:t>
            </w:r>
            <w:r>
              <w:rPr>
                <w:rFonts w:hint="default" w:ascii="Times New Roman" w:hAnsi="Times New Roman" w:eastAsia="宋体" w:cs="Times New Roman"/>
                <w:color w:val="auto"/>
                <w:sz w:val="24"/>
                <w:highlight w:val="none"/>
                <w:lang w:val="en-US" w:eastAsia="zh-CN"/>
              </w:rPr>
              <w:t>燃料</w:t>
            </w:r>
            <w:r>
              <w:rPr>
                <w:rFonts w:hint="default" w:ascii="Times New Roman" w:hAnsi="Times New Roman" w:eastAsia="宋体" w:cs="Times New Roman"/>
                <w:color w:val="auto"/>
                <w:sz w:val="24"/>
                <w:highlight w:val="none"/>
              </w:rPr>
              <w:t>，为易燃物质。</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6.2风险源分布情况</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生物质</w:t>
            </w:r>
            <w:r>
              <w:rPr>
                <w:rFonts w:hint="default" w:ascii="Times New Roman" w:hAnsi="Times New Roman" w:eastAsia="宋体" w:cs="Times New Roman"/>
                <w:color w:val="auto"/>
                <w:sz w:val="24"/>
                <w:highlight w:val="none"/>
              </w:rPr>
              <w:t>主要分布于</w:t>
            </w:r>
            <w:r>
              <w:rPr>
                <w:rFonts w:hint="default" w:ascii="Times New Roman" w:hAnsi="Times New Roman" w:eastAsia="宋体" w:cs="Times New Roman"/>
                <w:color w:val="auto"/>
                <w:sz w:val="24"/>
                <w:szCs w:val="32"/>
                <w:highlight w:val="none"/>
                <w:lang w:eastAsia="zh-CN"/>
              </w:rPr>
              <w:t>燃料库</w:t>
            </w:r>
            <w:r>
              <w:rPr>
                <w:rFonts w:hint="default" w:ascii="Times New Roman" w:hAnsi="Times New Roman" w:eastAsia="宋体" w:cs="Times New Roman"/>
                <w:color w:val="auto"/>
                <w:sz w:val="24"/>
                <w:highlight w:val="none"/>
              </w:rPr>
              <w:t>内。</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6.3可能影响途径</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生物质</w:t>
            </w:r>
            <w:r>
              <w:rPr>
                <w:rFonts w:hint="default" w:ascii="Times New Roman" w:hAnsi="Times New Roman" w:eastAsia="宋体" w:cs="Times New Roman"/>
                <w:color w:val="auto"/>
                <w:sz w:val="24"/>
                <w:highlight w:val="none"/>
              </w:rPr>
              <w:t>属于易燃物品，遇明火后发生火灾，产生的废气会影响周围大气环境。</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6.4环境风险防范措施</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1）储存、使用过程的风险控制措施</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32"/>
                <w:highlight w:val="none"/>
                <w:lang w:eastAsia="zh-CN"/>
              </w:rPr>
              <w:t>燃料库</w:t>
            </w:r>
            <w:r>
              <w:rPr>
                <w:rFonts w:hint="default" w:ascii="Times New Roman" w:hAnsi="Times New Roman" w:eastAsia="宋体" w:cs="Times New Roman"/>
                <w:color w:val="auto"/>
                <w:sz w:val="24"/>
                <w:szCs w:val="32"/>
                <w:highlight w:val="none"/>
              </w:rPr>
              <w:t>、</w:t>
            </w:r>
            <w:r>
              <w:rPr>
                <w:rFonts w:hint="default" w:ascii="Times New Roman" w:hAnsi="Times New Roman" w:eastAsia="宋体" w:cs="Times New Roman"/>
                <w:color w:val="auto"/>
                <w:sz w:val="24"/>
                <w:szCs w:val="32"/>
                <w:highlight w:val="none"/>
                <w:lang w:eastAsia="zh-CN"/>
              </w:rPr>
              <w:t>锅炉房</w:t>
            </w:r>
            <w:r>
              <w:rPr>
                <w:rFonts w:hint="default" w:ascii="Times New Roman" w:hAnsi="Times New Roman" w:eastAsia="宋体" w:cs="Times New Roman"/>
                <w:color w:val="auto"/>
                <w:sz w:val="24"/>
                <w:szCs w:val="32"/>
                <w:highlight w:val="none"/>
              </w:rPr>
              <w:t>、灰渣间</w:t>
            </w:r>
            <w:r>
              <w:rPr>
                <w:rFonts w:hint="default" w:ascii="Times New Roman" w:hAnsi="Times New Roman" w:eastAsia="宋体" w:cs="Times New Roman"/>
                <w:color w:val="auto"/>
                <w:sz w:val="24"/>
                <w:highlight w:val="none"/>
              </w:rPr>
              <w:t>严禁吸烟和使用明火，防止火源进入；设置明显标志；安全设施、消防器材齐备；</w:t>
            </w:r>
            <w:r>
              <w:rPr>
                <w:rFonts w:hint="default" w:ascii="Times New Roman" w:hAnsi="Times New Roman" w:eastAsia="宋体" w:cs="Times New Roman"/>
                <w:color w:val="auto"/>
                <w:sz w:val="24"/>
                <w:szCs w:val="32"/>
                <w:highlight w:val="none"/>
                <w:lang w:eastAsia="zh-CN"/>
              </w:rPr>
              <w:t>燃料库</w:t>
            </w:r>
            <w:r>
              <w:rPr>
                <w:rFonts w:hint="default" w:ascii="Times New Roman" w:hAnsi="Times New Roman" w:eastAsia="宋体" w:cs="Times New Roman"/>
                <w:color w:val="auto"/>
                <w:sz w:val="24"/>
                <w:highlight w:val="none"/>
              </w:rPr>
              <w:t>设置温度报警器；制定各种操作规范，加强监督管理，严格安全、环保检查制度，避免环境事件的发生。</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2）风险防范措施</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32"/>
                <w:highlight w:val="none"/>
                <w:lang w:eastAsia="zh-CN"/>
              </w:rPr>
              <w:t>燃料库</w:t>
            </w:r>
            <w:r>
              <w:rPr>
                <w:rFonts w:hint="default" w:ascii="Times New Roman" w:hAnsi="Times New Roman" w:eastAsia="宋体" w:cs="Times New Roman"/>
                <w:color w:val="auto"/>
                <w:sz w:val="24"/>
                <w:szCs w:val="32"/>
                <w:highlight w:val="none"/>
              </w:rPr>
              <w:t>、</w:t>
            </w:r>
            <w:r>
              <w:rPr>
                <w:rFonts w:hint="default" w:ascii="Times New Roman" w:hAnsi="Times New Roman" w:eastAsia="宋体" w:cs="Times New Roman"/>
                <w:color w:val="auto"/>
                <w:sz w:val="24"/>
                <w:szCs w:val="32"/>
                <w:highlight w:val="none"/>
                <w:lang w:eastAsia="zh-CN"/>
              </w:rPr>
              <w:t>锅炉房</w:t>
            </w:r>
            <w:r>
              <w:rPr>
                <w:rFonts w:hint="default" w:ascii="Times New Roman" w:hAnsi="Times New Roman" w:eastAsia="宋体" w:cs="Times New Roman"/>
                <w:color w:val="auto"/>
                <w:sz w:val="24"/>
                <w:szCs w:val="32"/>
                <w:highlight w:val="none"/>
              </w:rPr>
              <w:t>、灰渣间</w:t>
            </w:r>
            <w:r>
              <w:rPr>
                <w:rFonts w:hint="default" w:ascii="Times New Roman" w:hAnsi="Times New Roman" w:eastAsia="宋体" w:cs="Times New Roman"/>
                <w:color w:val="auto"/>
                <w:sz w:val="24"/>
                <w:highlight w:val="none"/>
              </w:rPr>
              <w:t>处设置灭火器等灭火设施；在强化安全、环保教育，提高安全、环保意识的同时，企业保证预警、监控设施到位。配备救护设备；危险作业增设监护人员并为其配备通讯、救援等设备；按照国家、地方和相关部门要求，编制突发环境事件应急预案；企业根据实际情况，不断充实和完善应急预案的各项措施，并定期组织演练。</w:t>
            </w:r>
          </w:p>
          <w:p>
            <w:pPr>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color w:val="auto"/>
                <w:highlight w:val="none"/>
                <w:lang w:val="en-US" w:eastAsia="zh-CN"/>
              </w:rPr>
              <w:t>拟建项目</w:t>
            </w:r>
            <w:r>
              <w:rPr>
                <w:rFonts w:hint="eastAsia" w:ascii="Times New Roman" w:hAnsi="Times New Roman" w:eastAsia="宋体" w:cs="Times New Roman"/>
                <w:color w:val="auto"/>
                <w:highlight w:val="none"/>
              </w:rPr>
              <w:t>突发环境污染事故应急预案制定框架</w:t>
            </w:r>
            <w:r>
              <w:rPr>
                <w:rFonts w:ascii="Times New Roman" w:hAnsi="Times New Roman" w:eastAsia="宋体" w:cs="Times New Roman"/>
                <w:color w:val="auto"/>
                <w:highlight w:val="none"/>
              </w:rPr>
              <w:t>见表</w:t>
            </w:r>
            <w:r>
              <w:rPr>
                <w:rFonts w:hint="eastAsia" w:cs="Times New Roman"/>
                <w:color w:val="auto"/>
                <w:highlight w:val="none"/>
                <w:lang w:val="en-US" w:eastAsia="zh-CN"/>
              </w:rPr>
              <w:t>11</w:t>
            </w:r>
            <w:r>
              <w:rPr>
                <w:rFonts w:hint="eastAsia" w:ascii="Times New Roman" w:hAnsi="Times New Roman" w:eastAsia="宋体" w:cs="Times New Roman"/>
                <w:color w:val="auto"/>
                <w:highlight w:val="none"/>
                <w:lang w:eastAsia="zh-CN"/>
              </w:rPr>
              <w:t>。</w:t>
            </w:r>
          </w:p>
          <w:p>
            <w:pPr>
              <w:spacing w:line="360" w:lineRule="auto"/>
              <w:ind w:firstLine="482" w:firstLineChars="200"/>
              <w:jc w:val="center"/>
              <w:rPr>
                <w:rFonts w:hint="eastAsia" w:ascii="Times New Roman" w:hAnsi="Times New Roman" w:eastAsia="宋体" w:cs="Times New Roman"/>
                <w:b/>
                <w:bCs/>
                <w:color w:val="auto"/>
                <w:sz w:val="24"/>
                <w:szCs w:val="22"/>
                <w:highlight w:val="none"/>
                <w:lang w:eastAsia="zh-CN"/>
              </w:rPr>
            </w:pPr>
            <w:r>
              <w:rPr>
                <w:rFonts w:ascii="Times New Roman" w:hAnsi="Times New Roman" w:eastAsia="宋体" w:cs="Times New Roman"/>
                <w:b/>
                <w:bCs/>
                <w:color w:val="auto"/>
                <w:sz w:val="24"/>
                <w:szCs w:val="22"/>
                <w:highlight w:val="none"/>
              </w:rPr>
              <w:t>表</w:t>
            </w:r>
            <w:r>
              <w:rPr>
                <w:rFonts w:hint="eastAsia" w:cs="Times New Roman"/>
                <w:b/>
                <w:bCs/>
                <w:color w:val="auto"/>
                <w:sz w:val="24"/>
                <w:szCs w:val="22"/>
                <w:highlight w:val="none"/>
                <w:lang w:val="en-US" w:eastAsia="zh-CN"/>
              </w:rPr>
              <w:t xml:space="preserve">11 </w:t>
            </w:r>
            <w:r>
              <w:rPr>
                <w:rFonts w:hint="eastAsia" w:ascii="Times New Roman" w:hAnsi="Times New Roman" w:eastAsia="宋体" w:cs="Times New Roman"/>
                <w:b/>
                <w:bCs/>
                <w:color w:val="auto"/>
                <w:sz w:val="24"/>
                <w:szCs w:val="22"/>
                <w:highlight w:val="none"/>
                <w:lang w:val="en-US" w:eastAsia="zh-CN"/>
              </w:rPr>
              <w:t xml:space="preserve"> </w:t>
            </w:r>
            <w:r>
              <w:rPr>
                <w:rFonts w:hint="eastAsia" w:ascii="Times New Roman" w:hAnsi="Times New Roman" w:eastAsia="宋体" w:cs="Times New Roman"/>
                <w:b/>
                <w:bCs/>
                <w:color w:val="auto"/>
                <w:sz w:val="24"/>
                <w:szCs w:val="22"/>
                <w:highlight w:val="none"/>
              </w:rPr>
              <w:t>拟建</w:t>
            </w:r>
            <w:r>
              <w:rPr>
                <w:rFonts w:ascii="Times New Roman" w:hAnsi="Times New Roman" w:eastAsia="宋体" w:cs="Times New Roman"/>
                <w:b/>
                <w:bCs/>
                <w:color w:val="auto"/>
                <w:sz w:val="24"/>
                <w:szCs w:val="22"/>
                <w:highlight w:val="none"/>
              </w:rPr>
              <w:t>项目突发环境污染事故应</w:t>
            </w:r>
            <w:r>
              <w:rPr>
                <w:rFonts w:hint="eastAsia" w:ascii="Times New Roman" w:hAnsi="Times New Roman" w:eastAsia="宋体" w:cs="Times New Roman"/>
                <w:b/>
                <w:bCs/>
                <w:color w:val="auto"/>
                <w:sz w:val="24"/>
                <w:szCs w:val="22"/>
                <w:highlight w:val="none"/>
              </w:rPr>
              <w:t>急预案</w:t>
            </w:r>
            <w:r>
              <w:rPr>
                <w:rFonts w:hint="eastAsia" w:ascii="Times New Roman" w:hAnsi="Times New Roman" w:eastAsia="宋体" w:cs="Times New Roman"/>
                <w:b/>
                <w:bCs/>
                <w:color w:val="auto"/>
                <w:sz w:val="24"/>
                <w:szCs w:val="22"/>
                <w:highlight w:val="none"/>
                <w:lang w:eastAsia="zh-CN"/>
              </w:rPr>
              <w:t>基本内容</w:t>
            </w:r>
          </w:p>
          <w:tbl>
            <w:tblPr>
              <w:tblStyle w:val="17"/>
              <w:tblW w:w="0" w:type="auto"/>
              <w:tblInd w:w="6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723"/>
              <w:gridCol w:w="55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序号</w:t>
                  </w:r>
                </w:p>
              </w:tc>
              <w:tc>
                <w:tcPr>
                  <w:tcW w:w="1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项目</w:t>
                  </w:r>
                </w:p>
              </w:tc>
              <w:tc>
                <w:tcPr>
                  <w:tcW w:w="55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w:t>
                  </w:r>
                </w:p>
              </w:tc>
              <w:tc>
                <w:tcPr>
                  <w:tcW w:w="1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总则</w:t>
                  </w:r>
                </w:p>
              </w:tc>
              <w:tc>
                <w:tcPr>
                  <w:tcW w:w="555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简述生产过程中涉及物料性质及可能产生的突发环境污染事故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2</w:t>
                  </w:r>
                </w:p>
              </w:tc>
              <w:tc>
                <w:tcPr>
                  <w:tcW w:w="1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危险源概况</w:t>
                  </w:r>
                </w:p>
              </w:tc>
              <w:tc>
                <w:tcPr>
                  <w:tcW w:w="555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评述危险源类型、数量及其分布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3</w:t>
                  </w:r>
                </w:p>
              </w:tc>
              <w:tc>
                <w:tcPr>
                  <w:tcW w:w="1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应急计划区</w:t>
                  </w:r>
                </w:p>
              </w:tc>
              <w:tc>
                <w:tcPr>
                  <w:tcW w:w="555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储料间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4</w:t>
                  </w:r>
                </w:p>
              </w:tc>
              <w:tc>
                <w:tcPr>
                  <w:tcW w:w="1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应急组织</w:t>
                  </w:r>
                </w:p>
              </w:tc>
              <w:tc>
                <w:tcPr>
                  <w:tcW w:w="555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工场：场指挥部——负责全场全面指挥</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专业救援队伍——负责事故控制、救援善后处理</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地区：地区指挥部——负责工场附近地区、全面指挥、救援疏散，专业救援队伍——负责对场专业救援队伍支持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5</w:t>
                  </w:r>
                </w:p>
              </w:tc>
              <w:tc>
                <w:tcPr>
                  <w:tcW w:w="1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应急状态分类及应急响应程度</w:t>
                  </w:r>
                </w:p>
              </w:tc>
              <w:tc>
                <w:tcPr>
                  <w:tcW w:w="55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规定事故的级别及相应的应急分类响应程度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6</w:t>
                  </w:r>
                </w:p>
              </w:tc>
              <w:tc>
                <w:tcPr>
                  <w:tcW w:w="1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应急设施、设备与材料</w:t>
                  </w:r>
                </w:p>
              </w:tc>
              <w:tc>
                <w:tcPr>
                  <w:tcW w:w="555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储料间</w:t>
                  </w:r>
                  <w:r>
                    <w:rPr>
                      <w:rFonts w:hint="eastAsia" w:ascii="Times New Roman" w:hAnsi="Times New Roman" w:eastAsia="宋体"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①防火灾、爆炸事故应急设施、设备与材料；主要是消防器材和防护服装</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②防止</w:t>
                  </w:r>
                  <w:r>
                    <w:rPr>
                      <w:rFonts w:hint="eastAsia" w:cs="Times New Roman"/>
                      <w:color w:val="auto"/>
                      <w:sz w:val="21"/>
                      <w:szCs w:val="21"/>
                      <w:highlight w:val="none"/>
                      <w:lang w:eastAsia="zh-CN"/>
                    </w:rPr>
                    <w:t>废气处置设施出现故障，废气超标排放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7</w:t>
                  </w:r>
                </w:p>
              </w:tc>
              <w:tc>
                <w:tcPr>
                  <w:tcW w:w="1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应急通讯、通知和交通</w:t>
                  </w:r>
                </w:p>
              </w:tc>
              <w:tc>
                <w:tcPr>
                  <w:tcW w:w="55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规定应急状态下的通讯方式、通知方式和交通保障、管制措施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8</w:t>
                  </w:r>
                </w:p>
              </w:tc>
              <w:tc>
                <w:tcPr>
                  <w:tcW w:w="1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both"/>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应急环境监测及事故后评估</w:t>
                  </w:r>
                </w:p>
              </w:tc>
              <w:tc>
                <w:tcPr>
                  <w:tcW w:w="555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由专业队伍对事故现场进行监测，对事故性质、参数与后果进行评估，为指挥部门提供决策依据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9</w:t>
                  </w:r>
                </w:p>
              </w:tc>
              <w:tc>
                <w:tcPr>
                  <w:tcW w:w="1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应急防护措施、消除泄漏措施方法和器材</w:t>
                  </w:r>
                </w:p>
              </w:tc>
              <w:tc>
                <w:tcPr>
                  <w:tcW w:w="555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事故现场：控制事故、防止扩大、</w:t>
                  </w:r>
                  <w:r>
                    <w:rPr>
                      <w:rFonts w:hint="eastAsia" w:ascii="Times New Roman" w:hAnsi="Times New Roman" w:eastAsia="宋体" w:cs="Times New Roman"/>
                      <w:color w:val="auto"/>
                      <w:sz w:val="21"/>
                      <w:szCs w:val="21"/>
                      <w:highlight w:val="none"/>
                      <w:lang w:val="en-US" w:eastAsia="zh-CN"/>
                    </w:rPr>
                    <w:t>蔓延</w:t>
                  </w:r>
                  <w:r>
                    <w:rPr>
                      <w:rFonts w:hint="eastAsia" w:ascii="Times New Roman" w:hAnsi="Times New Roman" w:eastAsia="宋体" w:cs="Times New Roman"/>
                      <w:color w:val="auto"/>
                      <w:sz w:val="21"/>
                      <w:szCs w:val="21"/>
                      <w:highlight w:val="none"/>
                    </w:rPr>
                    <w:t>及连锁反应、消除现场泄漏物、降低危害；相应的设施器材配备</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邻近区域：控制火灾、有毒区域，控制和消除污染措施及相应设备配备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10</w:t>
                  </w:r>
                </w:p>
              </w:tc>
              <w:tc>
                <w:tcPr>
                  <w:tcW w:w="1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应急剂量控制、撤离组织计划、医疗救护与公众健康</w:t>
                  </w:r>
                </w:p>
              </w:tc>
              <w:tc>
                <w:tcPr>
                  <w:tcW w:w="555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事故现场：事故处理人员对毒物的应急剂量控制规定，现场及邻近装置人员撤离组织计划及救护</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工</w:t>
                  </w:r>
                  <w:r>
                    <w:rPr>
                      <w:rFonts w:hint="eastAsia" w:ascii="Times New Roman" w:hAnsi="Times New Roman" w:eastAsia="宋体" w:cs="Times New Roman"/>
                      <w:color w:val="auto"/>
                      <w:sz w:val="21"/>
                      <w:szCs w:val="21"/>
                      <w:highlight w:val="none"/>
                      <w:lang w:val="en-US" w:eastAsia="zh-CN"/>
                    </w:rPr>
                    <w:t>厂</w:t>
                  </w:r>
                  <w:r>
                    <w:rPr>
                      <w:rFonts w:hint="eastAsia" w:ascii="Times New Roman" w:hAnsi="Times New Roman" w:eastAsia="宋体" w:cs="Times New Roman"/>
                      <w:color w:val="auto"/>
                      <w:sz w:val="21"/>
                      <w:szCs w:val="21"/>
                      <w:highlight w:val="none"/>
                    </w:rPr>
                    <w:t>邻近区：受事故影响的邻近区域人员及公众对毒物应急剂量控制规定，撤离组织及救护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11</w:t>
                  </w:r>
                </w:p>
              </w:tc>
              <w:tc>
                <w:tcPr>
                  <w:tcW w:w="1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应急状态终止与恢复措施</w:t>
                  </w:r>
                </w:p>
              </w:tc>
              <w:tc>
                <w:tcPr>
                  <w:tcW w:w="555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规定应急状态终止程度：事故善后处理，恢复措施，邻近区域解除事故警戒及善后恢复措施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12</w:t>
                  </w:r>
                </w:p>
              </w:tc>
              <w:tc>
                <w:tcPr>
                  <w:tcW w:w="1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人员培训与演练</w:t>
                  </w:r>
                </w:p>
              </w:tc>
              <w:tc>
                <w:tcPr>
                  <w:tcW w:w="555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应急计划制定后，平时安排人员培训及演练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13</w:t>
                  </w:r>
                </w:p>
              </w:tc>
              <w:tc>
                <w:tcPr>
                  <w:tcW w:w="1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公众教育和信息</w:t>
                  </w:r>
                </w:p>
              </w:tc>
              <w:tc>
                <w:tcPr>
                  <w:tcW w:w="555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对工</w:t>
                  </w:r>
                  <w:r>
                    <w:rPr>
                      <w:rFonts w:hint="eastAsia" w:ascii="Times New Roman" w:hAnsi="Times New Roman" w:eastAsia="宋体" w:cs="Times New Roman"/>
                      <w:color w:val="auto"/>
                      <w:sz w:val="21"/>
                      <w:szCs w:val="21"/>
                      <w:highlight w:val="none"/>
                      <w:lang w:val="en-US" w:eastAsia="zh-CN"/>
                    </w:rPr>
                    <w:t>厂</w:t>
                  </w:r>
                  <w:r>
                    <w:rPr>
                      <w:rFonts w:hint="eastAsia" w:ascii="Times New Roman" w:hAnsi="Times New Roman" w:eastAsia="宋体" w:cs="Times New Roman"/>
                      <w:color w:val="auto"/>
                      <w:sz w:val="21"/>
                      <w:szCs w:val="21"/>
                      <w:highlight w:val="none"/>
                    </w:rPr>
                    <w:t>邻近地区开展公众教育、培训与发布相关信息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14</w:t>
                  </w:r>
                </w:p>
              </w:tc>
              <w:tc>
                <w:tcPr>
                  <w:tcW w:w="1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记录和报告</w:t>
                  </w:r>
                </w:p>
              </w:tc>
              <w:tc>
                <w:tcPr>
                  <w:tcW w:w="555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设置应急事故专门记录，建立档案和专门报告制度，设专门部门和负责管理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15</w:t>
                  </w:r>
                </w:p>
              </w:tc>
              <w:tc>
                <w:tcPr>
                  <w:tcW w:w="1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附件</w:t>
                  </w:r>
                </w:p>
              </w:tc>
              <w:tc>
                <w:tcPr>
                  <w:tcW w:w="555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与应急事故有关的多种附件材料的准备和形成</w:t>
                  </w:r>
                </w:p>
              </w:tc>
            </w:tr>
          </w:tbl>
          <w:p>
            <w:pPr>
              <w:bidi w:val="0"/>
              <w:rPr>
                <w:rFonts w:hint="default"/>
                <w:b/>
                <w:bCs/>
                <w:color w:val="auto"/>
                <w:highlight w:val="none"/>
                <w:lang w:eastAsia="zh-CN"/>
              </w:rPr>
            </w:pPr>
            <w:r>
              <w:rPr>
                <w:rFonts w:hint="eastAsia"/>
                <w:b/>
                <w:bCs/>
                <w:color w:val="auto"/>
                <w:highlight w:val="none"/>
                <w:lang w:val="en-US" w:eastAsia="zh-CN"/>
              </w:rPr>
              <w:t>7、</w:t>
            </w:r>
            <w:r>
              <w:rPr>
                <w:rFonts w:hint="default"/>
                <w:b/>
                <w:bCs/>
                <w:color w:val="auto"/>
                <w:highlight w:val="none"/>
                <w:lang w:eastAsia="zh-CN"/>
              </w:rPr>
              <w:t>环保投资和“三同时”验收</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Cs/>
                <w:color w:val="auto"/>
                <w:sz w:val="24"/>
                <w:highlight w:val="none"/>
              </w:rPr>
              <w:t>本项目</w:t>
            </w:r>
            <w:r>
              <w:rPr>
                <w:rFonts w:hint="default" w:ascii="Times New Roman" w:hAnsi="Times New Roman" w:eastAsia="宋体" w:cs="Times New Roman"/>
                <w:bCs/>
                <w:color w:val="auto"/>
                <w:sz w:val="24"/>
                <w:highlight w:val="none"/>
                <w:lang w:eastAsia="zh-CN"/>
              </w:rPr>
              <w:t>总投资</w:t>
            </w:r>
            <w:r>
              <w:rPr>
                <w:rFonts w:hint="default" w:ascii="Times New Roman" w:hAnsi="Times New Roman" w:eastAsia="宋体" w:cs="Times New Roman"/>
                <w:bCs/>
                <w:color w:val="auto"/>
                <w:sz w:val="24"/>
                <w:highlight w:val="none"/>
                <w:lang w:val="en-US" w:eastAsia="zh-CN"/>
              </w:rPr>
              <w:t>1</w:t>
            </w:r>
            <w:r>
              <w:rPr>
                <w:rFonts w:hint="eastAsia" w:ascii="Times New Roman" w:hAnsi="Times New Roman" w:eastAsia="宋体" w:cs="Times New Roman"/>
                <w:bCs/>
                <w:color w:val="auto"/>
                <w:sz w:val="24"/>
                <w:highlight w:val="none"/>
                <w:lang w:val="en-US" w:eastAsia="zh-CN"/>
              </w:rPr>
              <w:t>00</w:t>
            </w:r>
            <w:r>
              <w:rPr>
                <w:rFonts w:hint="default" w:ascii="Times New Roman" w:hAnsi="Times New Roman" w:eastAsia="宋体" w:cs="Times New Roman"/>
                <w:bCs/>
                <w:color w:val="auto"/>
                <w:sz w:val="24"/>
                <w:highlight w:val="none"/>
                <w:lang w:eastAsia="zh-CN"/>
              </w:rPr>
              <w:t>万元，</w:t>
            </w:r>
            <w:r>
              <w:rPr>
                <w:rFonts w:hint="default" w:ascii="Times New Roman" w:hAnsi="Times New Roman" w:eastAsia="宋体" w:cs="Times New Roman"/>
                <w:bCs/>
                <w:color w:val="auto"/>
                <w:sz w:val="24"/>
                <w:highlight w:val="none"/>
              </w:rPr>
              <w:t>环保</w:t>
            </w:r>
            <w:r>
              <w:rPr>
                <w:rFonts w:hint="default" w:ascii="Times New Roman" w:hAnsi="Times New Roman" w:eastAsia="宋体" w:cs="Times New Roman"/>
                <w:bCs/>
                <w:color w:val="auto"/>
                <w:sz w:val="24"/>
                <w:highlight w:val="none"/>
                <w:lang w:eastAsia="zh-CN"/>
              </w:rPr>
              <w:t>投资</w:t>
            </w:r>
            <w:r>
              <w:rPr>
                <w:rFonts w:hint="default" w:ascii="Times New Roman" w:hAnsi="Times New Roman" w:eastAsia="宋体" w:cs="Times New Roman"/>
                <w:bCs/>
                <w:color w:val="auto"/>
                <w:sz w:val="24"/>
                <w:highlight w:val="none"/>
              </w:rPr>
              <w:t>约</w:t>
            </w:r>
            <w:r>
              <w:rPr>
                <w:rFonts w:hint="default" w:ascii="Times New Roman" w:hAnsi="Times New Roman" w:eastAsia="宋体" w:cs="Times New Roman"/>
                <w:bCs/>
                <w:color w:val="auto"/>
                <w:sz w:val="24"/>
                <w:highlight w:val="none"/>
                <w:lang w:val="en-US" w:eastAsia="zh-CN"/>
              </w:rPr>
              <w:t>30.6</w:t>
            </w:r>
            <w:r>
              <w:rPr>
                <w:rFonts w:hint="default" w:ascii="Times New Roman" w:hAnsi="Times New Roman" w:eastAsia="宋体" w:cs="Times New Roman"/>
                <w:bCs/>
                <w:color w:val="auto"/>
                <w:sz w:val="24"/>
                <w:highlight w:val="none"/>
              </w:rPr>
              <w:t>万元，约占总投资额的</w:t>
            </w:r>
            <w:r>
              <w:rPr>
                <w:rFonts w:hint="eastAsia" w:ascii="Times New Roman" w:hAnsi="Times New Roman" w:eastAsia="宋体" w:cs="Times New Roman"/>
                <w:bCs/>
                <w:color w:val="auto"/>
                <w:sz w:val="24"/>
                <w:highlight w:val="none"/>
                <w:lang w:val="en-US" w:eastAsia="zh-CN"/>
              </w:rPr>
              <w:t>30.6</w:t>
            </w:r>
            <w:r>
              <w:rPr>
                <w:rFonts w:hint="default" w:ascii="Times New Roman" w:hAnsi="Times New Roman" w:eastAsia="宋体" w:cs="Times New Roman"/>
                <w:bCs/>
                <w:color w:val="auto"/>
                <w:sz w:val="24"/>
                <w:highlight w:val="none"/>
              </w:rPr>
              <w:t>%，具体环保</w:t>
            </w:r>
            <w:r>
              <w:rPr>
                <w:rFonts w:hint="default" w:ascii="Times New Roman" w:hAnsi="Times New Roman" w:eastAsia="宋体" w:cs="Times New Roman"/>
                <w:bCs/>
                <w:color w:val="auto"/>
                <w:sz w:val="24"/>
                <w:highlight w:val="none"/>
                <w:lang w:eastAsia="zh-CN"/>
              </w:rPr>
              <w:t>投资</w:t>
            </w:r>
            <w:r>
              <w:rPr>
                <w:rFonts w:hint="default" w:ascii="Times New Roman" w:hAnsi="Times New Roman" w:eastAsia="宋体" w:cs="Times New Roman"/>
                <w:bCs/>
                <w:color w:val="auto"/>
                <w:sz w:val="24"/>
                <w:highlight w:val="none"/>
              </w:rPr>
              <w:t>估算见表</w:t>
            </w:r>
            <w:r>
              <w:rPr>
                <w:rFonts w:hint="eastAsia" w:cs="Times New Roman"/>
                <w:bCs/>
                <w:color w:val="auto"/>
                <w:sz w:val="24"/>
                <w:highlight w:val="none"/>
                <w:lang w:val="en-US" w:eastAsia="zh-CN"/>
              </w:rPr>
              <w:t>12</w:t>
            </w:r>
            <w:r>
              <w:rPr>
                <w:rFonts w:hint="default" w:ascii="Times New Roman" w:hAnsi="Times New Roman" w:eastAsia="宋体" w:cs="Times New Roman"/>
                <w:bCs/>
                <w:color w:val="auto"/>
                <w:sz w:val="24"/>
                <w:highlight w:val="none"/>
                <w:lang w:val="en-US" w:eastAsia="zh-CN"/>
              </w:rPr>
              <w:t>，“三同时”验收一览表见表</w:t>
            </w:r>
            <w:r>
              <w:rPr>
                <w:rFonts w:hint="eastAsia" w:cs="Times New Roman"/>
                <w:bCs/>
                <w:color w:val="auto"/>
                <w:sz w:val="24"/>
                <w:highlight w:val="none"/>
                <w:lang w:val="en-US" w:eastAsia="zh-CN"/>
              </w:rPr>
              <w:t>13</w:t>
            </w:r>
            <w:r>
              <w:rPr>
                <w:rFonts w:hint="default" w:ascii="Times New Roman" w:hAnsi="Times New Roman" w:eastAsia="宋体" w:cs="Times New Roman"/>
                <w:bCs/>
                <w:color w:val="auto"/>
                <w:sz w:val="24"/>
                <w:highlight w:val="none"/>
              </w:rPr>
              <w:t>。</w:t>
            </w:r>
          </w:p>
          <w:p>
            <w:pPr>
              <w:keepNext w:val="0"/>
              <w:keepLines w:val="0"/>
              <w:suppressLineNumbers w:val="0"/>
              <w:snapToGrid w:val="0"/>
              <w:spacing w:before="0" w:beforeAutospacing="0" w:after="0" w:afterAutospacing="0" w:line="360" w:lineRule="auto"/>
              <w:ind w:left="0" w:right="0" w:firstLine="482" w:firstLineChars="200"/>
              <w:jc w:val="center"/>
              <w:rPr>
                <w:rFonts w:hint="default" w:ascii="Times New Roman" w:hAnsi="Times New Roman" w:eastAsia="宋体" w:cs="Times New Roman"/>
                <w:b/>
                <w:color w:val="auto"/>
                <w:spacing w:val="6"/>
                <w:sz w:val="24"/>
                <w:highlight w:val="none"/>
              </w:rPr>
            </w:pPr>
            <w:r>
              <w:rPr>
                <w:rFonts w:hint="default" w:ascii="Times New Roman" w:hAnsi="Times New Roman" w:eastAsia="宋体" w:cs="Times New Roman"/>
                <w:b/>
                <w:color w:val="auto"/>
                <w:sz w:val="24"/>
                <w:highlight w:val="none"/>
              </w:rPr>
              <w:t>表</w:t>
            </w:r>
            <w:r>
              <w:rPr>
                <w:rFonts w:hint="eastAsia" w:cs="Times New Roman"/>
                <w:b/>
                <w:color w:val="auto"/>
                <w:sz w:val="24"/>
                <w:highlight w:val="none"/>
                <w:lang w:val="en-US" w:eastAsia="zh-CN"/>
              </w:rPr>
              <w:t>12</w:t>
            </w:r>
            <w:r>
              <w:rPr>
                <w:rFonts w:hint="default" w:ascii="Times New Roman" w:hAnsi="Times New Roman" w:eastAsia="宋体" w:cs="Times New Roman"/>
                <w:b/>
                <w:color w:val="auto"/>
                <w:sz w:val="24"/>
                <w:highlight w:val="none"/>
              </w:rPr>
              <w:t xml:space="preserve">   </w:t>
            </w:r>
            <w:r>
              <w:rPr>
                <w:rFonts w:hint="default" w:ascii="Times New Roman" w:hAnsi="Times New Roman" w:eastAsia="宋体" w:cs="Times New Roman"/>
                <w:b/>
                <w:color w:val="auto"/>
                <w:spacing w:val="6"/>
                <w:sz w:val="24"/>
                <w:highlight w:val="none"/>
              </w:rPr>
              <w:t>建设项目环境保护投资一览表</w:t>
            </w:r>
          </w:p>
          <w:tbl>
            <w:tblPr>
              <w:tblStyle w:val="17"/>
              <w:tblW w:w="803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0"/>
              <w:gridCol w:w="1739"/>
              <w:gridCol w:w="3539"/>
              <w:gridCol w:w="201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5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17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项目名称及内容</w:t>
                  </w:r>
                </w:p>
              </w:tc>
              <w:tc>
                <w:tcPr>
                  <w:tcW w:w="35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处理方法</w:t>
                  </w:r>
                </w:p>
              </w:tc>
              <w:tc>
                <w:tcPr>
                  <w:tcW w:w="201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投资估算</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750"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p>
              </w:tc>
              <w:tc>
                <w:tcPr>
                  <w:tcW w:w="173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废气治理</w:t>
                  </w:r>
                </w:p>
              </w:tc>
              <w:tc>
                <w:tcPr>
                  <w:tcW w:w="35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脱硫塔</w:t>
                  </w:r>
                </w:p>
              </w:tc>
              <w:tc>
                <w:tcPr>
                  <w:tcW w:w="201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75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3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35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布袋除尘器</w:t>
                  </w:r>
                </w:p>
              </w:tc>
              <w:tc>
                <w:tcPr>
                  <w:tcW w:w="201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75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3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35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40m高的</w:t>
                  </w:r>
                  <w:r>
                    <w:rPr>
                      <w:rFonts w:hint="default" w:ascii="Times New Roman" w:hAnsi="Times New Roman" w:eastAsia="宋体" w:cs="Times New Roman"/>
                      <w:color w:val="auto"/>
                      <w:kern w:val="2"/>
                      <w:sz w:val="21"/>
                      <w:szCs w:val="21"/>
                      <w:highlight w:val="none"/>
                      <w:lang w:val="en-US" w:eastAsia="zh-CN" w:bidi="ar-SA"/>
                    </w:rPr>
                    <w:t>排气筒</w:t>
                  </w:r>
                </w:p>
              </w:tc>
              <w:tc>
                <w:tcPr>
                  <w:tcW w:w="201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9" w:hRule="atLeast"/>
                <w:jc w:val="center"/>
              </w:trPr>
              <w:tc>
                <w:tcPr>
                  <w:tcW w:w="75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3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35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燃料库</w:t>
                  </w:r>
                  <w:r>
                    <w:rPr>
                      <w:rFonts w:hint="eastAsia" w:ascii="Times New Roman" w:hAnsi="Times New Roman" w:eastAsia="宋体" w:cs="Times New Roman"/>
                      <w:color w:val="auto"/>
                      <w:kern w:val="2"/>
                      <w:sz w:val="21"/>
                      <w:szCs w:val="21"/>
                      <w:highlight w:val="none"/>
                      <w:lang w:val="en-US" w:eastAsia="zh-CN" w:bidi="ar-SA"/>
                    </w:rPr>
                    <w:t>全封闭</w:t>
                  </w:r>
                </w:p>
              </w:tc>
              <w:tc>
                <w:tcPr>
                  <w:tcW w:w="201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75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p>
              </w:tc>
              <w:tc>
                <w:tcPr>
                  <w:tcW w:w="17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噪声治理</w:t>
                  </w:r>
                </w:p>
              </w:tc>
              <w:tc>
                <w:tcPr>
                  <w:tcW w:w="35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采取减振垫、隔声措施</w:t>
                  </w:r>
                </w:p>
              </w:tc>
              <w:tc>
                <w:tcPr>
                  <w:tcW w:w="201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1.6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75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17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防渗处理</w:t>
                  </w:r>
                </w:p>
              </w:tc>
              <w:tc>
                <w:tcPr>
                  <w:tcW w:w="35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灰渣间</w:t>
                  </w:r>
                  <w:r>
                    <w:rPr>
                      <w:rFonts w:hint="eastAsia" w:ascii="Times New Roman" w:hAnsi="Times New Roman" w:eastAsia="宋体" w:cs="Times New Roman"/>
                      <w:color w:val="auto"/>
                      <w:sz w:val="21"/>
                      <w:szCs w:val="21"/>
                      <w:highlight w:val="none"/>
                      <w:lang w:val="en-US" w:eastAsia="zh-CN"/>
                    </w:rPr>
                    <w:t>全封闭、防渗</w:t>
                  </w:r>
                </w:p>
              </w:tc>
              <w:tc>
                <w:tcPr>
                  <w:tcW w:w="201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9" w:hRule="atLeast"/>
                <w:jc w:val="center"/>
              </w:trPr>
              <w:tc>
                <w:tcPr>
                  <w:tcW w:w="6028" w:type="dxa"/>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合计</w:t>
                  </w:r>
                </w:p>
              </w:tc>
              <w:tc>
                <w:tcPr>
                  <w:tcW w:w="201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30.6</w:t>
                  </w:r>
                </w:p>
              </w:tc>
            </w:tr>
          </w:tbl>
          <w:p>
            <w:pPr>
              <w:adjustRightInd w:val="0"/>
              <w:snapToGrid w:val="0"/>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w:t>
            </w:r>
            <w:r>
              <w:rPr>
                <w:rFonts w:hint="eastAsia" w:cs="Times New Roman"/>
                <w:b/>
                <w:bCs/>
                <w:color w:val="auto"/>
                <w:sz w:val="24"/>
                <w:highlight w:val="none"/>
                <w:lang w:val="en-US" w:eastAsia="zh-CN"/>
              </w:rPr>
              <w:t>13</w:t>
            </w:r>
            <w:r>
              <w:rPr>
                <w:rFonts w:hint="default" w:ascii="Times New Roman" w:hAnsi="Times New Roman" w:eastAsia="宋体" w:cs="Times New Roman"/>
                <w:b/>
                <w:bCs/>
                <w:color w:val="auto"/>
                <w:sz w:val="24"/>
                <w:highlight w:val="none"/>
              </w:rPr>
              <w:t xml:space="preserve">   环境保护“三同时”验收一览表</w:t>
            </w:r>
          </w:p>
          <w:tbl>
            <w:tblPr>
              <w:tblStyle w:val="17"/>
              <w:tblW w:w="79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52"/>
              <w:gridCol w:w="963"/>
              <w:gridCol w:w="862"/>
              <w:gridCol w:w="849"/>
              <w:gridCol w:w="989"/>
              <w:gridCol w:w="990"/>
              <w:gridCol w:w="1041"/>
              <w:gridCol w:w="163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 w:hRule="atLeast"/>
                <w:jc w:val="center"/>
              </w:trPr>
              <w:tc>
                <w:tcPr>
                  <w:tcW w:w="652"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治理项目</w:t>
                  </w: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污染源</w:t>
                  </w:r>
                </w:p>
              </w:tc>
              <w:tc>
                <w:tcPr>
                  <w:tcW w:w="1711"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环保设施名称</w:t>
                  </w: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监测点位</w:t>
                  </w:r>
                </w:p>
              </w:tc>
              <w:tc>
                <w:tcPr>
                  <w:tcW w:w="990"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监测频次</w:t>
                  </w:r>
                </w:p>
              </w:tc>
              <w:tc>
                <w:tcPr>
                  <w:tcW w:w="1041"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验收监测因子</w:t>
                  </w:r>
                </w:p>
              </w:tc>
              <w:tc>
                <w:tcPr>
                  <w:tcW w:w="1636"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验收标准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96" w:hRule="atLeast"/>
                <w:jc w:val="center"/>
              </w:trPr>
              <w:tc>
                <w:tcPr>
                  <w:tcW w:w="652"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w:t>
                  </w: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8t/h</w:t>
                  </w:r>
                  <w:r>
                    <w:rPr>
                      <w:rFonts w:hint="default" w:ascii="Times New Roman" w:hAnsi="Times New Roman" w:eastAsia="宋体" w:cs="Times New Roman"/>
                      <w:color w:val="auto"/>
                      <w:sz w:val="21"/>
                      <w:szCs w:val="21"/>
                      <w:highlight w:val="none"/>
                      <w:lang w:eastAsia="zh-CN"/>
                    </w:rPr>
                    <w:t>生物质热水锅炉</w:t>
                  </w:r>
                </w:p>
              </w:tc>
              <w:tc>
                <w:tcPr>
                  <w:tcW w:w="1711"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布袋除尘器+双碱法脱硫除尘系统+</w:t>
                  </w:r>
                  <w:r>
                    <w:rPr>
                      <w:rFonts w:hint="default" w:ascii="Times New Roman" w:hAnsi="Times New Roman" w:eastAsia="宋体" w:cs="Times New Roman"/>
                      <w:color w:val="auto"/>
                      <w:sz w:val="21"/>
                      <w:szCs w:val="21"/>
                      <w:highlight w:val="none"/>
                    </w:rPr>
                    <w:t>1根</w:t>
                  </w:r>
                  <w:r>
                    <w:rPr>
                      <w:rFonts w:hint="default" w:ascii="Times New Roman" w:hAnsi="Times New Roman" w:eastAsia="宋体" w:cs="Times New Roman"/>
                      <w:color w:val="auto"/>
                      <w:sz w:val="21"/>
                      <w:szCs w:val="21"/>
                      <w:highlight w:val="none"/>
                      <w:lang w:val="en-US" w:eastAsia="zh-CN"/>
                    </w:rPr>
                    <w:t>40m</w:t>
                  </w:r>
                  <w:r>
                    <w:rPr>
                      <w:rFonts w:hint="default" w:ascii="Times New Roman" w:hAnsi="Times New Roman" w:eastAsia="宋体" w:cs="Times New Roman"/>
                      <w:color w:val="auto"/>
                      <w:sz w:val="21"/>
                      <w:szCs w:val="21"/>
                      <w:highlight w:val="none"/>
                    </w:rPr>
                    <w:t>高排气筒</w:t>
                  </w: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1根</w:t>
                  </w:r>
                  <w:r>
                    <w:rPr>
                      <w:rFonts w:hint="default" w:ascii="Times New Roman" w:hAnsi="Times New Roman" w:eastAsia="宋体" w:cs="Times New Roman"/>
                      <w:color w:val="auto"/>
                      <w:sz w:val="21"/>
                      <w:szCs w:val="21"/>
                      <w:highlight w:val="none"/>
                      <w:lang w:val="en-US" w:eastAsia="zh-CN"/>
                    </w:rPr>
                    <w:t>40m</w:t>
                  </w:r>
                  <w:r>
                    <w:rPr>
                      <w:rFonts w:hint="default" w:ascii="Times New Roman" w:hAnsi="Times New Roman" w:eastAsia="宋体" w:cs="Times New Roman"/>
                      <w:color w:val="auto"/>
                      <w:sz w:val="21"/>
                      <w:szCs w:val="21"/>
                      <w:highlight w:val="none"/>
                    </w:rPr>
                    <w:t>高的排气筒进口、出口</w:t>
                  </w:r>
                </w:p>
              </w:tc>
              <w:tc>
                <w:tcPr>
                  <w:tcW w:w="990"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3次/d，共监测2天</w:t>
                  </w:r>
                </w:p>
              </w:tc>
              <w:tc>
                <w:tcPr>
                  <w:tcW w:w="1041"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X</w:t>
                  </w:r>
                  <w:r>
                    <w:rPr>
                      <w:rFonts w:hint="default" w:ascii="Times New Roman" w:hAnsi="Times New Roman" w:eastAsia="宋体" w:cs="Times New Roman"/>
                      <w:color w:val="auto"/>
                      <w:sz w:val="21"/>
                      <w:szCs w:val="21"/>
                      <w:highlight w:val="none"/>
                    </w:rPr>
                    <w:t>、颗粒物、汞及其化合物、林格曼黑度</w:t>
                  </w:r>
                </w:p>
              </w:tc>
              <w:tc>
                <w:tcPr>
                  <w:tcW w:w="1636"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《锅炉大气污染物排放标准》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GB13271-2014）表2新建锅炉大气污染物排放浓度限值中</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燃煤锅炉</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的排放浓度限值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11" w:hRule="atLeast"/>
                <w:jc w:val="center"/>
              </w:trPr>
              <w:tc>
                <w:tcPr>
                  <w:tcW w:w="65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无组织</w:t>
                  </w:r>
                </w:p>
              </w:tc>
              <w:tc>
                <w:tcPr>
                  <w:tcW w:w="1711"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洒水降尘、全封闭</w:t>
                  </w:r>
                  <w:r>
                    <w:rPr>
                      <w:rFonts w:hint="default" w:ascii="Times New Roman" w:hAnsi="Times New Roman" w:eastAsia="宋体" w:cs="Times New Roman"/>
                      <w:color w:val="auto"/>
                      <w:sz w:val="21"/>
                      <w:szCs w:val="21"/>
                      <w:highlight w:val="none"/>
                      <w:lang w:val="en-US" w:eastAsia="zh-CN"/>
                    </w:rPr>
                    <w:t>灰渣间</w:t>
                  </w:r>
                  <w:r>
                    <w:rPr>
                      <w:rFonts w:hint="eastAsia" w:cs="Times New Roman"/>
                      <w:color w:val="auto"/>
                      <w:sz w:val="21"/>
                      <w:szCs w:val="21"/>
                      <w:highlight w:val="none"/>
                      <w:lang w:val="en-US" w:eastAsia="zh-CN"/>
                    </w:rPr>
                    <w:t>、全封闭储料间</w:t>
                  </w: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厂界上风向1个点位、下风向3个点位</w:t>
                  </w:r>
                </w:p>
              </w:tc>
              <w:tc>
                <w:tcPr>
                  <w:tcW w:w="990"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4次/d，共监测2天</w:t>
                  </w:r>
                </w:p>
              </w:tc>
              <w:tc>
                <w:tcPr>
                  <w:tcW w:w="1041"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163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《大气污染物综合排放标准》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 GB16297-1996）表2新污染源大气污染物排放限值中“无组织排放监控浓度限值”1.0mg/m</w:t>
                  </w:r>
                  <w:r>
                    <w:rPr>
                      <w:rFonts w:hint="default" w:ascii="Times New Roman" w:hAnsi="Times New Roman" w:eastAsia="宋体" w:cs="Times New Roman"/>
                      <w:color w:val="auto"/>
                      <w:sz w:val="21"/>
                      <w:szCs w:val="21"/>
                      <w:highlight w:val="none"/>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43" w:hRule="atLeast"/>
                <w:jc w:val="center"/>
              </w:trPr>
              <w:tc>
                <w:tcPr>
                  <w:tcW w:w="652"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软水制备废水</w:t>
                  </w:r>
                </w:p>
              </w:tc>
              <w:tc>
                <w:tcPr>
                  <w:tcW w:w="1711" w:type="dxa"/>
                  <w:gridSpan w:val="2"/>
                  <w:vMerge w:val="restart"/>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用于灰渣库抑尘</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用于除尘系统补水</w:t>
                  </w:r>
                </w:p>
              </w:tc>
              <w:tc>
                <w:tcPr>
                  <w:tcW w:w="989"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99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041"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636"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不外排</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24" w:hRule="atLeast"/>
                <w:jc w:val="center"/>
              </w:trPr>
              <w:tc>
                <w:tcPr>
                  <w:tcW w:w="65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锅炉排污水</w:t>
                  </w:r>
                </w:p>
              </w:tc>
              <w:tc>
                <w:tcPr>
                  <w:tcW w:w="1711" w:type="dxa"/>
                  <w:gridSpan w:val="2"/>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98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99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04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636"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37" w:hRule="atLeast"/>
                <w:jc w:val="center"/>
              </w:trPr>
              <w:tc>
                <w:tcPr>
                  <w:tcW w:w="65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脱硫塔废水</w:t>
                  </w:r>
                </w:p>
              </w:tc>
              <w:tc>
                <w:tcPr>
                  <w:tcW w:w="1711"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循环使用</w:t>
                  </w: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990"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1041"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1636"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37" w:hRule="atLeast"/>
                <w:jc w:val="center"/>
              </w:trPr>
              <w:tc>
                <w:tcPr>
                  <w:tcW w:w="65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出渣机废水</w:t>
                  </w:r>
                </w:p>
              </w:tc>
              <w:tc>
                <w:tcPr>
                  <w:tcW w:w="1711"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循环使用</w:t>
                  </w: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990"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1041"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1636"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2" w:hRule="atLeast"/>
                <w:jc w:val="center"/>
              </w:trPr>
              <w:tc>
                <w:tcPr>
                  <w:tcW w:w="65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灰渣间抑尘废水</w:t>
                  </w:r>
                </w:p>
              </w:tc>
              <w:tc>
                <w:tcPr>
                  <w:tcW w:w="1711"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自然蒸发损耗</w:t>
                  </w: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990"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1041"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1636"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334" w:hRule="atLeast"/>
                <w:jc w:val="center"/>
              </w:trPr>
              <w:tc>
                <w:tcPr>
                  <w:tcW w:w="652"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设备噪声</w:t>
                  </w:r>
                </w:p>
              </w:tc>
              <w:tc>
                <w:tcPr>
                  <w:tcW w:w="1711"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隔声、减震</w:t>
                  </w: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厂界四周</w:t>
                  </w:r>
                </w:p>
              </w:tc>
              <w:tc>
                <w:tcPr>
                  <w:tcW w:w="990"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昼夜各2次，共监测2天</w:t>
                  </w:r>
                </w:p>
              </w:tc>
              <w:tc>
                <w:tcPr>
                  <w:tcW w:w="1041"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等效连续A声级</w:t>
                  </w:r>
                </w:p>
              </w:tc>
              <w:tc>
                <w:tcPr>
                  <w:tcW w:w="1636"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《工业企业厂界环境噪声排放标准》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GB12348-2008）中2类标准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1406" w:hRule="atLeast"/>
                <w:jc w:val="center"/>
              </w:trPr>
              <w:tc>
                <w:tcPr>
                  <w:tcW w:w="652"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w:t>
                  </w: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出渣机</w:t>
                  </w:r>
                </w:p>
              </w:tc>
              <w:tc>
                <w:tcPr>
                  <w:tcW w:w="862"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炉渣</w:t>
                  </w:r>
                </w:p>
              </w:tc>
              <w:tc>
                <w:tcPr>
                  <w:tcW w:w="849"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全封闭灰渣间</w:t>
                  </w: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990"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041"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636"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《一般工业固体废物贮存和填埋污染控制标准》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GB 18599-2020）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37" w:hRule="atLeast"/>
                <w:jc w:val="center"/>
              </w:trPr>
              <w:tc>
                <w:tcPr>
                  <w:tcW w:w="65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布袋除尘器</w:t>
                  </w:r>
                </w:p>
              </w:tc>
              <w:tc>
                <w:tcPr>
                  <w:tcW w:w="862"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除尘灰</w:t>
                  </w:r>
                </w:p>
              </w:tc>
              <w:tc>
                <w:tcPr>
                  <w:tcW w:w="84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990"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041"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636"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65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脱硫塔</w:t>
                  </w:r>
                </w:p>
              </w:tc>
              <w:tc>
                <w:tcPr>
                  <w:tcW w:w="862"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脱硫渣</w:t>
                  </w:r>
                </w:p>
              </w:tc>
              <w:tc>
                <w:tcPr>
                  <w:tcW w:w="84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不暂存</w:t>
                  </w: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990"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1041"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1636"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67" w:hRule="atLeast"/>
                <w:jc w:val="center"/>
              </w:trPr>
              <w:tc>
                <w:tcPr>
                  <w:tcW w:w="65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软水制备系统</w:t>
                  </w:r>
                </w:p>
              </w:tc>
              <w:tc>
                <w:tcPr>
                  <w:tcW w:w="862"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废饱和树脂</w:t>
                  </w:r>
                </w:p>
              </w:tc>
              <w:tc>
                <w:tcPr>
                  <w:tcW w:w="84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不暂存</w:t>
                  </w: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990"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1041"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1636"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color w:val="auto"/>
                      <w:sz w:val="21"/>
                      <w:szCs w:val="21"/>
                      <w:highlight w:val="none"/>
                    </w:rPr>
                  </w:pPr>
                </w:p>
              </w:tc>
            </w:tr>
          </w:tbl>
          <w:p>
            <w:pPr>
              <w:pStyle w:val="33"/>
              <w:adjustRightInd w:val="0"/>
              <w:snapToGrid w:val="0"/>
              <w:spacing w:line="360" w:lineRule="auto"/>
              <w:ind w:left="0" w:leftChars="0" w:firstLine="0" w:firstLineChars="0"/>
              <w:jc w:val="both"/>
              <w:rPr>
                <w:rFonts w:hint="default" w:ascii="Times New Roman" w:hAnsi="Times New Roman" w:eastAsia="宋体" w:cs="Times New Roman"/>
                <w:color w:val="auto"/>
                <w:highlight w:val="none"/>
                <w:lang w:val="en-US" w:eastAsia="zh-CN"/>
              </w:rPr>
            </w:pPr>
          </w:p>
        </w:tc>
      </w:tr>
    </w:tbl>
    <w:p>
      <w:pPr>
        <w:pStyle w:val="2"/>
        <w:rPr>
          <w:rFonts w:hint="default" w:ascii="Times New Roman" w:hAnsi="Times New Roman" w:eastAsia="宋体"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rPr>
          <w:rFonts w:ascii="Times New Roman" w:hAnsi="Times New Roman" w:cs="Times New Roman"/>
          <w:color w:val="auto"/>
          <w:highlight w:val="none"/>
        </w:rPr>
      </w:pPr>
      <w:bookmarkStart w:id="2" w:name="_Hlk54167917"/>
      <w:r>
        <w:rPr>
          <w:rFonts w:ascii="Times New Roman" w:hAnsi="Times New Roman" w:cs="Times New Roman"/>
          <w:color w:val="auto"/>
          <w:highlight w:val="none"/>
        </w:rPr>
        <w:t>五、环境保护措施监督检查清单</w:t>
      </w:r>
      <w:bookmarkEnd w:id="2"/>
    </w:p>
    <w:tbl>
      <w:tblPr>
        <w:tblStyle w:val="17"/>
        <w:tblW w:w="883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626"/>
        <w:gridCol w:w="1182"/>
        <w:gridCol w:w="2549"/>
        <w:gridCol w:w="23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1" w:type="dxa"/>
            <w:tcBorders>
              <w:tl2br w:val="single" w:color="auto" w:sz="4" w:space="0"/>
            </w:tcBorders>
            <w:vAlign w:val="center"/>
          </w:tcPr>
          <w:p>
            <w:pPr>
              <w:ind w:firstLine="0" w:firstLineChars="0"/>
              <w:jc w:val="right"/>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内容</w:t>
            </w:r>
          </w:p>
          <w:p>
            <w:pPr>
              <w:ind w:firstLine="0" w:firstLineChars="0"/>
              <w:jc w:val="left"/>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要素</w:t>
            </w:r>
          </w:p>
        </w:tc>
        <w:tc>
          <w:tcPr>
            <w:tcW w:w="1626" w:type="dxa"/>
            <w:vAlign w:val="center"/>
          </w:tcPr>
          <w:p>
            <w:pPr>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排放口(编号、</w:t>
            </w:r>
          </w:p>
          <w:p>
            <w:pPr>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名称)/污染源</w:t>
            </w:r>
          </w:p>
        </w:tc>
        <w:tc>
          <w:tcPr>
            <w:tcW w:w="1182" w:type="dxa"/>
            <w:vAlign w:val="center"/>
          </w:tcPr>
          <w:p>
            <w:pPr>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污染物项目</w:t>
            </w:r>
          </w:p>
        </w:tc>
        <w:tc>
          <w:tcPr>
            <w:tcW w:w="2549" w:type="dxa"/>
            <w:vAlign w:val="center"/>
          </w:tcPr>
          <w:p>
            <w:pPr>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环境保护措施</w:t>
            </w:r>
          </w:p>
        </w:tc>
        <w:tc>
          <w:tcPr>
            <w:tcW w:w="2333" w:type="dxa"/>
            <w:vAlign w:val="center"/>
          </w:tcPr>
          <w:p>
            <w:pPr>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41" w:type="dxa"/>
            <w:vMerge w:val="restart"/>
            <w:vAlign w:val="center"/>
          </w:tcPr>
          <w:p>
            <w:pPr>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大气</w:t>
            </w:r>
          </w:p>
          <w:p>
            <w:pPr>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环境</w:t>
            </w:r>
          </w:p>
        </w:tc>
        <w:tc>
          <w:tcPr>
            <w:tcW w:w="1626" w:type="dxa"/>
            <w:vAlign w:val="center"/>
          </w:tcPr>
          <w:p>
            <w:pPr>
              <w:ind w:left="0" w:leftChars="0" w:firstLine="0" w:firstLineChars="0"/>
              <w:rPr>
                <w:rFonts w:hint="default" w:eastAsia="宋体"/>
                <w:color w:val="auto"/>
                <w:sz w:val="24"/>
                <w:szCs w:val="24"/>
                <w:highlight w:val="none"/>
                <w:lang w:val="en-US" w:eastAsia="zh-CN"/>
              </w:rPr>
            </w:pPr>
            <w:r>
              <w:rPr>
                <w:rFonts w:hint="eastAsia"/>
                <w:color w:val="auto"/>
                <w:sz w:val="24"/>
                <w:szCs w:val="24"/>
                <w:highlight w:val="none"/>
                <w:lang w:val="en-US" w:eastAsia="zh-CN"/>
              </w:rPr>
              <w:t>锅炉废气排气筒</w:t>
            </w:r>
          </w:p>
        </w:tc>
        <w:tc>
          <w:tcPr>
            <w:tcW w:w="1182" w:type="dxa"/>
            <w:vAlign w:val="center"/>
          </w:tcPr>
          <w:p>
            <w:pPr>
              <w:pStyle w:val="25"/>
              <w:ind w:firstLine="0" w:firstLineChars="0"/>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sz w:val="24"/>
                <w:szCs w:val="24"/>
                <w:highlight w:val="none"/>
              </w:rPr>
              <w:t>颗粒物</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二氧化硫、氮氧化物、汞及其化合物</w:t>
            </w:r>
          </w:p>
        </w:tc>
        <w:tc>
          <w:tcPr>
            <w:tcW w:w="2549" w:type="dxa"/>
            <w:vAlign w:val="center"/>
          </w:tcPr>
          <w:p>
            <w:pPr>
              <w:pStyle w:val="25"/>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布袋除尘器+双碱法+1根40m高的排气筒进行排放。</w:t>
            </w:r>
          </w:p>
        </w:tc>
        <w:tc>
          <w:tcPr>
            <w:tcW w:w="2333" w:type="dxa"/>
            <w:vAlign w:val="center"/>
          </w:tcPr>
          <w:p>
            <w:pPr>
              <w:pStyle w:val="25"/>
              <w:ind w:firstLine="0" w:firstLineChars="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锅炉大气</w:t>
            </w:r>
            <w:r>
              <w:rPr>
                <w:rFonts w:hint="eastAsia" w:ascii="Times New Roman" w:hAnsi="Times New Roman" w:cs="Times New Roman"/>
                <w:color w:val="auto"/>
                <w:sz w:val="24"/>
                <w:szCs w:val="24"/>
                <w:highlight w:val="none"/>
              </w:rPr>
              <w:t>污染物排放标准》（GB</w:t>
            </w:r>
            <w:r>
              <w:rPr>
                <w:rFonts w:hint="eastAsia" w:cs="Times New Roman"/>
                <w:color w:val="auto"/>
                <w:sz w:val="24"/>
                <w:szCs w:val="24"/>
                <w:highlight w:val="none"/>
                <w:lang w:val="en-US" w:eastAsia="zh-CN"/>
              </w:rPr>
              <w:t>13271-2014</w:t>
            </w:r>
            <w:r>
              <w:rPr>
                <w:rFonts w:hint="eastAsia" w:ascii="Times New Roman" w:hAnsi="Times New Roman" w:cs="Times New Roman"/>
                <w:color w:val="auto"/>
                <w:sz w:val="24"/>
                <w:szCs w:val="24"/>
                <w:highlight w:val="none"/>
              </w:rPr>
              <w:t xml:space="preserve">）中表 </w:t>
            </w:r>
            <w:r>
              <w:rPr>
                <w:rFonts w:hint="eastAsia" w:cs="Times New Roman"/>
                <w:color w:val="auto"/>
                <w:sz w:val="24"/>
                <w:szCs w:val="24"/>
                <w:highlight w:val="none"/>
                <w:lang w:val="en-US" w:eastAsia="zh-CN"/>
              </w:rPr>
              <w:t>2</w:t>
            </w:r>
            <w:r>
              <w:rPr>
                <w:rFonts w:hint="eastAsia" w:ascii="Times New Roman" w:hAnsi="Times New Roman" w:cs="Times New Roman"/>
                <w:color w:val="auto"/>
                <w:sz w:val="24"/>
                <w:szCs w:val="24"/>
                <w:highlight w:val="none"/>
              </w:rPr>
              <w:t xml:space="preserve"> </w:t>
            </w:r>
            <w:r>
              <w:rPr>
                <w:rFonts w:hint="eastAsia" w:cs="Times New Roman"/>
                <w:color w:val="auto"/>
                <w:sz w:val="24"/>
                <w:szCs w:val="24"/>
                <w:highlight w:val="none"/>
                <w:lang w:val="en-US" w:eastAsia="zh-CN"/>
              </w:rPr>
              <w:t>燃煤锅炉排放标准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41" w:type="dxa"/>
            <w:vMerge w:val="continue"/>
            <w:vAlign w:val="center"/>
          </w:tcPr>
          <w:p>
            <w:pPr>
              <w:ind w:firstLine="0" w:firstLineChars="0"/>
              <w:jc w:val="center"/>
              <w:rPr>
                <w:rFonts w:ascii="Times New Roman" w:hAnsi="Times New Roman" w:cs="Times New Roman"/>
                <w:b/>
                <w:bCs/>
                <w:color w:val="auto"/>
                <w:sz w:val="24"/>
                <w:szCs w:val="24"/>
                <w:highlight w:val="none"/>
              </w:rPr>
            </w:pPr>
          </w:p>
        </w:tc>
        <w:tc>
          <w:tcPr>
            <w:tcW w:w="1626" w:type="dxa"/>
            <w:vAlign w:val="center"/>
          </w:tcPr>
          <w:p>
            <w:pPr>
              <w:ind w:left="0" w:leftChars="0" w:firstLine="0" w:firstLineChars="0"/>
              <w:rPr>
                <w:rFonts w:hint="default"/>
                <w:color w:val="auto"/>
                <w:sz w:val="24"/>
                <w:szCs w:val="24"/>
                <w:highlight w:val="none"/>
                <w:lang w:val="en-US" w:eastAsia="zh-CN"/>
              </w:rPr>
            </w:pPr>
            <w:r>
              <w:rPr>
                <w:rFonts w:hint="eastAsia"/>
                <w:color w:val="auto"/>
                <w:sz w:val="24"/>
                <w:szCs w:val="24"/>
                <w:highlight w:val="none"/>
                <w:lang w:val="en-US" w:eastAsia="zh-CN"/>
              </w:rPr>
              <w:t>灰渣库粉尘</w:t>
            </w:r>
          </w:p>
        </w:tc>
        <w:tc>
          <w:tcPr>
            <w:tcW w:w="1182" w:type="dxa"/>
            <w:vAlign w:val="center"/>
          </w:tcPr>
          <w:p>
            <w:pPr>
              <w:pStyle w:val="25"/>
              <w:ind w:firstLine="0" w:firstLineChars="0"/>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颗粒物</w:t>
            </w:r>
          </w:p>
        </w:tc>
        <w:tc>
          <w:tcPr>
            <w:tcW w:w="2549" w:type="dxa"/>
            <w:vAlign w:val="center"/>
          </w:tcPr>
          <w:p>
            <w:pPr>
              <w:pStyle w:val="25"/>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全封闭灰渣库+洒水降尘</w:t>
            </w:r>
          </w:p>
        </w:tc>
        <w:tc>
          <w:tcPr>
            <w:tcW w:w="2333" w:type="dxa"/>
            <w:vMerge w:val="restart"/>
            <w:vAlign w:val="center"/>
          </w:tcPr>
          <w:p>
            <w:pPr>
              <w:pStyle w:val="25"/>
              <w:ind w:firstLine="0" w:firstLineChars="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大气污染物综合排放标准</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GB16297-1996</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中表2新污染源无组织排放监控浓度限值要求1.0mg/m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41" w:type="dxa"/>
            <w:vMerge w:val="continue"/>
            <w:vAlign w:val="center"/>
          </w:tcPr>
          <w:p>
            <w:pPr>
              <w:ind w:firstLine="0" w:firstLineChars="0"/>
              <w:jc w:val="center"/>
              <w:rPr>
                <w:rFonts w:ascii="Times New Roman" w:hAnsi="Times New Roman" w:cs="Times New Roman"/>
                <w:b/>
                <w:bCs/>
                <w:color w:val="auto"/>
                <w:sz w:val="24"/>
                <w:szCs w:val="24"/>
                <w:highlight w:val="none"/>
              </w:rPr>
            </w:pPr>
          </w:p>
        </w:tc>
        <w:tc>
          <w:tcPr>
            <w:tcW w:w="1626" w:type="dxa"/>
            <w:vAlign w:val="center"/>
          </w:tcPr>
          <w:p>
            <w:pPr>
              <w:ind w:left="0" w:leftChars="0" w:firstLine="0" w:firstLineChars="0"/>
              <w:jc w:val="center"/>
              <w:rPr>
                <w:rFonts w:hint="default"/>
                <w:color w:val="auto"/>
                <w:sz w:val="24"/>
                <w:szCs w:val="24"/>
                <w:highlight w:val="none"/>
                <w:lang w:val="en-US" w:eastAsia="zh-CN"/>
              </w:rPr>
            </w:pPr>
            <w:r>
              <w:rPr>
                <w:rFonts w:hint="eastAsia"/>
                <w:color w:val="auto"/>
                <w:sz w:val="24"/>
                <w:szCs w:val="24"/>
                <w:highlight w:val="none"/>
                <w:lang w:val="en-US" w:eastAsia="zh-CN"/>
              </w:rPr>
              <w:t>生物质燃料装卸粉尘</w:t>
            </w:r>
          </w:p>
        </w:tc>
        <w:tc>
          <w:tcPr>
            <w:tcW w:w="1182" w:type="dxa"/>
            <w:vAlign w:val="center"/>
          </w:tcPr>
          <w:p>
            <w:pPr>
              <w:pStyle w:val="25"/>
              <w:ind w:firstLine="0" w:firstLineChars="0"/>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颗粒物</w:t>
            </w:r>
          </w:p>
        </w:tc>
        <w:tc>
          <w:tcPr>
            <w:tcW w:w="2549" w:type="dxa"/>
            <w:vAlign w:val="center"/>
          </w:tcPr>
          <w:p>
            <w:pPr>
              <w:pStyle w:val="25"/>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全封闭储料间</w:t>
            </w:r>
          </w:p>
        </w:tc>
        <w:tc>
          <w:tcPr>
            <w:tcW w:w="2333" w:type="dxa"/>
            <w:vMerge w:val="continue"/>
            <w:vAlign w:val="center"/>
          </w:tcPr>
          <w:p>
            <w:pPr>
              <w:pStyle w:val="25"/>
              <w:ind w:firstLine="0" w:firstLineChars="0"/>
              <w:jc w:val="center"/>
              <w:rPr>
                <w:rFonts w:hint="eastAsia" w:cs="Times New Roman"/>
                <w:color w:val="auto"/>
                <w:sz w:val="24"/>
                <w:szCs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41" w:type="dxa"/>
            <w:vMerge w:val="restart"/>
            <w:vAlign w:val="center"/>
          </w:tcPr>
          <w:p>
            <w:pPr>
              <w:ind w:firstLine="0" w:firstLineChars="0"/>
              <w:jc w:val="center"/>
              <w:rPr>
                <w:rFonts w:hint="eastAsia"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水环境</w:t>
            </w:r>
          </w:p>
        </w:tc>
        <w:tc>
          <w:tcPr>
            <w:tcW w:w="1626" w:type="dxa"/>
            <w:vAlign w:val="center"/>
          </w:tcPr>
          <w:p>
            <w:pPr>
              <w:ind w:left="0" w:leftChars="0" w:firstLine="0" w:firstLineChars="0"/>
              <w:rPr>
                <w:rFonts w:hint="default"/>
                <w:color w:val="auto"/>
                <w:sz w:val="24"/>
                <w:szCs w:val="24"/>
                <w:highlight w:val="none"/>
                <w:lang w:val="en-US" w:eastAsia="zh-CN"/>
              </w:rPr>
            </w:pPr>
            <w:r>
              <w:rPr>
                <w:rFonts w:hint="default"/>
                <w:color w:val="auto"/>
                <w:sz w:val="24"/>
                <w:szCs w:val="24"/>
                <w:highlight w:val="none"/>
                <w:lang w:val="en-US" w:eastAsia="zh-CN"/>
              </w:rPr>
              <w:t>软水制备设施</w:t>
            </w:r>
          </w:p>
        </w:tc>
        <w:tc>
          <w:tcPr>
            <w:tcW w:w="1182" w:type="dxa"/>
            <w:vAlign w:val="center"/>
          </w:tcPr>
          <w:p>
            <w:pPr>
              <w:ind w:left="0" w:leftChars="0" w:firstLine="0" w:firstLineChars="0"/>
              <w:rPr>
                <w:rFonts w:hint="default"/>
                <w:color w:val="auto"/>
                <w:sz w:val="24"/>
                <w:szCs w:val="24"/>
                <w:highlight w:val="none"/>
                <w:lang w:val="en-US" w:eastAsia="zh-CN"/>
              </w:rPr>
            </w:pPr>
            <w:r>
              <w:rPr>
                <w:rFonts w:hint="default"/>
                <w:color w:val="auto"/>
                <w:sz w:val="24"/>
                <w:szCs w:val="24"/>
                <w:highlight w:val="none"/>
                <w:lang w:val="en-US" w:eastAsia="zh-CN"/>
              </w:rPr>
              <w:t>软水制备废水</w:t>
            </w:r>
          </w:p>
        </w:tc>
        <w:tc>
          <w:tcPr>
            <w:tcW w:w="2549" w:type="dxa"/>
            <w:vAlign w:val="center"/>
          </w:tcPr>
          <w:p>
            <w:pPr>
              <w:pStyle w:val="25"/>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回用于除尘系统补水，不外排。</w:t>
            </w:r>
          </w:p>
        </w:tc>
        <w:tc>
          <w:tcPr>
            <w:tcW w:w="2333" w:type="dxa"/>
            <w:vMerge w:val="restart"/>
            <w:vAlign w:val="center"/>
          </w:tcPr>
          <w:p>
            <w:pPr>
              <w:pStyle w:val="25"/>
              <w:ind w:firstLine="0" w:firstLineChars="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41" w:type="dxa"/>
            <w:vMerge w:val="continue"/>
            <w:vAlign w:val="center"/>
          </w:tcPr>
          <w:p>
            <w:pPr>
              <w:ind w:firstLine="0" w:firstLineChars="0"/>
              <w:jc w:val="center"/>
              <w:rPr>
                <w:rFonts w:hint="eastAsia" w:cs="Times New Roman"/>
                <w:b/>
                <w:bCs/>
                <w:color w:val="auto"/>
                <w:sz w:val="24"/>
                <w:szCs w:val="24"/>
                <w:highlight w:val="none"/>
                <w:lang w:val="en-US" w:eastAsia="zh-CN"/>
              </w:rPr>
            </w:pPr>
          </w:p>
        </w:tc>
        <w:tc>
          <w:tcPr>
            <w:tcW w:w="1626" w:type="dxa"/>
            <w:vAlign w:val="center"/>
          </w:tcPr>
          <w:p>
            <w:pPr>
              <w:ind w:left="0" w:leftChars="0" w:firstLine="0" w:firstLineChars="0"/>
              <w:rPr>
                <w:rFonts w:hint="default"/>
                <w:color w:val="auto"/>
                <w:sz w:val="24"/>
                <w:szCs w:val="24"/>
                <w:highlight w:val="none"/>
                <w:lang w:val="en-US" w:eastAsia="zh-CN"/>
              </w:rPr>
            </w:pPr>
            <w:r>
              <w:rPr>
                <w:rFonts w:hint="default"/>
                <w:color w:val="auto"/>
                <w:sz w:val="24"/>
                <w:szCs w:val="24"/>
                <w:highlight w:val="none"/>
                <w:lang w:val="en-US" w:eastAsia="zh-CN"/>
              </w:rPr>
              <w:t>生物质热水锅炉</w:t>
            </w:r>
          </w:p>
        </w:tc>
        <w:tc>
          <w:tcPr>
            <w:tcW w:w="1182" w:type="dxa"/>
            <w:vAlign w:val="center"/>
          </w:tcPr>
          <w:p>
            <w:pPr>
              <w:ind w:left="0" w:leftChars="0" w:firstLine="0" w:firstLineChars="0"/>
              <w:rPr>
                <w:rFonts w:hint="eastAsia"/>
                <w:color w:val="auto"/>
                <w:sz w:val="24"/>
                <w:szCs w:val="24"/>
                <w:highlight w:val="none"/>
                <w:lang w:val="en-US" w:eastAsia="zh-CN"/>
              </w:rPr>
            </w:pPr>
            <w:r>
              <w:rPr>
                <w:rFonts w:hint="default"/>
                <w:color w:val="auto"/>
                <w:sz w:val="24"/>
                <w:szCs w:val="24"/>
                <w:highlight w:val="none"/>
                <w:lang w:val="en-US" w:eastAsia="zh-CN"/>
              </w:rPr>
              <w:t>锅炉排污水</w:t>
            </w:r>
          </w:p>
        </w:tc>
        <w:tc>
          <w:tcPr>
            <w:tcW w:w="2549" w:type="dxa"/>
            <w:vAlign w:val="center"/>
          </w:tcPr>
          <w:p>
            <w:pPr>
              <w:pStyle w:val="2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用于灰渣库降尘，不外排。</w:t>
            </w:r>
          </w:p>
        </w:tc>
        <w:tc>
          <w:tcPr>
            <w:tcW w:w="2333" w:type="dxa"/>
            <w:vMerge w:val="continue"/>
            <w:vAlign w:val="center"/>
          </w:tcPr>
          <w:p>
            <w:pPr>
              <w:pStyle w:val="25"/>
              <w:ind w:firstLine="0" w:firstLineChars="0"/>
              <w:rPr>
                <w:rFonts w:hint="eastAsia" w:cs="Times New Roman"/>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41" w:type="dxa"/>
            <w:vMerge w:val="continue"/>
            <w:vAlign w:val="center"/>
          </w:tcPr>
          <w:p>
            <w:pPr>
              <w:ind w:firstLine="0" w:firstLineChars="0"/>
              <w:jc w:val="center"/>
              <w:rPr>
                <w:rFonts w:hint="eastAsia" w:cs="Times New Roman"/>
                <w:b/>
                <w:bCs/>
                <w:color w:val="auto"/>
                <w:sz w:val="24"/>
                <w:szCs w:val="24"/>
                <w:highlight w:val="none"/>
                <w:lang w:val="en-US" w:eastAsia="zh-CN"/>
              </w:rPr>
            </w:pPr>
          </w:p>
        </w:tc>
        <w:tc>
          <w:tcPr>
            <w:tcW w:w="1626" w:type="dxa"/>
            <w:vAlign w:val="center"/>
          </w:tcPr>
          <w:p>
            <w:pPr>
              <w:ind w:left="0" w:leftChars="0" w:firstLine="0" w:firstLineChars="0"/>
              <w:rPr>
                <w:rFonts w:hint="default"/>
                <w:color w:val="auto"/>
                <w:sz w:val="24"/>
                <w:szCs w:val="24"/>
                <w:highlight w:val="none"/>
                <w:lang w:val="en-US" w:eastAsia="zh-CN"/>
              </w:rPr>
            </w:pPr>
            <w:r>
              <w:rPr>
                <w:rFonts w:hint="eastAsia"/>
                <w:color w:val="auto"/>
                <w:sz w:val="24"/>
                <w:szCs w:val="24"/>
                <w:highlight w:val="none"/>
                <w:lang w:val="en-US" w:eastAsia="zh-CN"/>
              </w:rPr>
              <w:t>脱硫塔</w:t>
            </w:r>
          </w:p>
        </w:tc>
        <w:tc>
          <w:tcPr>
            <w:tcW w:w="1182" w:type="dxa"/>
            <w:vAlign w:val="center"/>
          </w:tcPr>
          <w:p>
            <w:pPr>
              <w:ind w:left="0" w:leftChars="0" w:firstLine="0" w:firstLineChars="0"/>
              <w:rPr>
                <w:rFonts w:hint="default"/>
                <w:color w:val="auto"/>
                <w:sz w:val="24"/>
                <w:szCs w:val="24"/>
                <w:highlight w:val="none"/>
                <w:lang w:val="en-US" w:eastAsia="zh-CN"/>
              </w:rPr>
            </w:pPr>
            <w:r>
              <w:rPr>
                <w:rFonts w:hint="eastAsia"/>
                <w:color w:val="auto"/>
                <w:sz w:val="24"/>
                <w:szCs w:val="24"/>
                <w:highlight w:val="none"/>
                <w:lang w:val="en-US" w:eastAsia="zh-CN"/>
              </w:rPr>
              <w:t>脱硫废水</w:t>
            </w:r>
          </w:p>
        </w:tc>
        <w:tc>
          <w:tcPr>
            <w:tcW w:w="2549" w:type="dxa"/>
            <w:vAlign w:val="center"/>
          </w:tcPr>
          <w:p>
            <w:pPr>
              <w:pStyle w:val="2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循环使用，不外排</w:t>
            </w:r>
          </w:p>
        </w:tc>
        <w:tc>
          <w:tcPr>
            <w:tcW w:w="2333" w:type="dxa"/>
            <w:vMerge w:val="continue"/>
            <w:vAlign w:val="center"/>
          </w:tcPr>
          <w:p>
            <w:pPr>
              <w:pStyle w:val="25"/>
              <w:ind w:firstLine="0" w:firstLineChars="0"/>
              <w:rPr>
                <w:rFonts w:hint="eastAsia" w:cs="Times New Roman"/>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41" w:type="dxa"/>
            <w:vMerge w:val="continue"/>
            <w:vAlign w:val="center"/>
          </w:tcPr>
          <w:p>
            <w:pPr>
              <w:ind w:firstLine="0" w:firstLineChars="0"/>
              <w:jc w:val="center"/>
              <w:rPr>
                <w:rFonts w:hint="eastAsia" w:cs="Times New Roman"/>
                <w:b/>
                <w:bCs/>
                <w:color w:val="auto"/>
                <w:sz w:val="24"/>
                <w:szCs w:val="24"/>
                <w:highlight w:val="none"/>
                <w:lang w:val="en-US" w:eastAsia="zh-CN"/>
              </w:rPr>
            </w:pPr>
          </w:p>
        </w:tc>
        <w:tc>
          <w:tcPr>
            <w:tcW w:w="1626" w:type="dxa"/>
            <w:vAlign w:val="center"/>
          </w:tcPr>
          <w:p>
            <w:pPr>
              <w:ind w:left="0" w:leftChars="0" w:firstLine="0" w:firstLineChars="0"/>
              <w:rPr>
                <w:rFonts w:hint="default"/>
                <w:color w:val="auto"/>
                <w:sz w:val="24"/>
                <w:szCs w:val="24"/>
                <w:highlight w:val="none"/>
                <w:lang w:val="en-US" w:eastAsia="zh-CN"/>
              </w:rPr>
            </w:pPr>
            <w:r>
              <w:rPr>
                <w:rFonts w:hint="eastAsia"/>
                <w:color w:val="auto"/>
                <w:sz w:val="24"/>
                <w:szCs w:val="24"/>
                <w:highlight w:val="none"/>
                <w:lang w:val="en-US" w:eastAsia="zh-CN"/>
              </w:rPr>
              <w:t>出渣机</w:t>
            </w:r>
          </w:p>
        </w:tc>
        <w:tc>
          <w:tcPr>
            <w:tcW w:w="1182" w:type="dxa"/>
            <w:vAlign w:val="center"/>
          </w:tcPr>
          <w:p>
            <w:pPr>
              <w:ind w:left="0" w:leftChars="0" w:firstLine="0" w:firstLineChars="0"/>
              <w:rPr>
                <w:rFonts w:hint="default"/>
                <w:color w:val="auto"/>
                <w:sz w:val="24"/>
                <w:szCs w:val="24"/>
                <w:highlight w:val="none"/>
                <w:lang w:val="en-US" w:eastAsia="zh-CN"/>
              </w:rPr>
            </w:pPr>
            <w:r>
              <w:rPr>
                <w:rFonts w:hint="eastAsia"/>
                <w:color w:val="auto"/>
                <w:sz w:val="24"/>
                <w:szCs w:val="24"/>
                <w:highlight w:val="none"/>
                <w:lang w:val="en-US" w:eastAsia="zh-CN"/>
              </w:rPr>
              <w:t>出渣机废水</w:t>
            </w:r>
          </w:p>
        </w:tc>
        <w:tc>
          <w:tcPr>
            <w:tcW w:w="2549" w:type="dxa"/>
            <w:vAlign w:val="center"/>
          </w:tcPr>
          <w:p>
            <w:pPr>
              <w:pStyle w:val="2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循环使用，不外排</w:t>
            </w:r>
          </w:p>
        </w:tc>
        <w:tc>
          <w:tcPr>
            <w:tcW w:w="2333" w:type="dxa"/>
            <w:vMerge w:val="continue"/>
            <w:vAlign w:val="center"/>
          </w:tcPr>
          <w:p>
            <w:pPr>
              <w:pStyle w:val="25"/>
              <w:ind w:firstLine="0" w:firstLineChars="0"/>
              <w:rPr>
                <w:rFonts w:hint="eastAsia" w:cs="Times New Roman"/>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41" w:type="dxa"/>
            <w:vMerge w:val="continue"/>
            <w:vAlign w:val="center"/>
          </w:tcPr>
          <w:p>
            <w:pPr>
              <w:ind w:firstLine="0" w:firstLineChars="0"/>
              <w:jc w:val="center"/>
              <w:rPr>
                <w:rFonts w:hint="eastAsia" w:cs="Times New Roman"/>
                <w:b/>
                <w:bCs/>
                <w:color w:val="auto"/>
                <w:sz w:val="24"/>
                <w:szCs w:val="24"/>
                <w:highlight w:val="none"/>
                <w:lang w:val="en-US" w:eastAsia="zh-CN"/>
              </w:rPr>
            </w:pPr>
          </w:p>
        </w:tc>
        <w:tc>
          <w:tcPr>
            <w:tcW w:w="1626" w:type="dxa"/>
            <w:vAlign w:val="center"/>
          </w:tcPr>
          <w:p>
            <w:pPr>
              <w:ind w:left="0" w:leftChars="0" w:firstLine="0" w:firstLineChars="0"/>
              <w:rPr>
                <w:rFonts w:hint="default"/>
                <w:color w:val="auto"/>
                <w:sz w:val="24"/>
                <w:szCs w:val="24"/>
                <w:highlight w:val="none"/>
                <w:lang w:val="en-US" w:eastAsia="zh-CN"/>
              </w:rPr>
            </w:pPr>
            <w:r>
              <w:rPr>
                <w:rFonts w:hint="eastAsia"/>
                <w:color w:val="auto"/>
                <w:sz w:val="24"/>
                <w:szCs w:val="24"/>
                <w:highlight w:val="none"/>
                <w:lang w:val="en-US" w:eastAsia="zh-CN"/>
              </w:rPr>
              <w:t>灰渣间</w:t>
            </w:r>
          </w:p>
        </w:tc>
        <w:tc>
          <w:tcPr>
            <w:tcW w:w="1182" w:type="dxa"/>
            <w:vAlign w:val="center"/>
          </w:tcPr>
          <w:p>
            <w:pPr>
              <w:ind w:left="0" w:leftChars="0" w:firstLine="0" w:firstLineChars="0"/>
              <w:rPr>
                <w:rFonts w:hint="default"/>
                <w:color w:val="auto"/>
                <w:sz w:val="24"/>
                <w:szCs w:val="24"/>
                <w:highlight w:val="none"/>
                <w:lang w:val="en-US" w:eastAsia="zh-CN"/>
              </w:rPr>
            </w:pPr>
            <w:r>
              <w:rPr>
                <w:rFonts w:hint="eastAsia"/>
                <w:color w:val="auto"/>
                <w:sz w:val="24"/>
                <w:szCs w:val="24"/>
                <w:highlight w:val="none"/>
                <w:lang w:val="en-US" w:eastAsia="zh-CN"/>
              </w:rPr>
              <w:t>灰渣间抑尘废水</w:t>
            </w:r>
          </w:p>
        </w:tc>
        <w:tc>
          <w:tcPr>
            <w:tcW w:w="2549" w:type="dxa"/>
            <w:vAlign w:val="center"/>
          </w:tcPr>
          <w:p>
            <w:pPr>
              <w:pStyle w:val="25"/>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自然蒸发损耗</w:t>
            </w:r>
          </w:p>
        </w:tc>
        <w:tc>
          <w:tcPr>
            <w:tcW w:w="2333" w:type="dxa"/>
            <w:vMerge w:val="continue"/>
            <w:vAlign w:val="center"/>
          </w:tcPr>
          <w:p>
            <w:pPr>
              <w:pStyle w:val="25"/>
              <w:ind w:firstLine="0" w:firstLineChars="0"/>
              <w:rPr>
                <w:rFonts w:hint="eastAsia" w:cs="Times New Roman"/>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41" w:type="dxa"/>
            <w:vAlign w:val="center"/>
          </w:tcPr>
          <w:p>
            <w:pPr>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声环境</w:t>
            </w:r>
          </w:p>
        </w:tc>
        <w:tc>
          <w:tcPr>
            <w:tcW w:w="1626" w:type="dxa"/>
            <w:vAlign w:val="center"/>
          </w:tcPr>
          <w:p>
            <w:pPr>
              <w:pStyle w:val="25"/>
              <w:adjustRightInd/>
              <w:snapToGrid/>
              <w:spacing w:line="360" w:lineRule="auto"/>
              <w:rPr>
                <w:rFonts w:hint="default" w:ascii="Times New Roman" w:hAnsi="Times New Roman" w:eastAsia="宋体" w:cs="Times New Roman"/>
                <w:color w:val="auto"/>
                <w:kern w:val="2"/>
                <w:sz w:val="24"/>
                <w:szCs w:val="24"/>
                <w:highlight w:val="none"/>
                <w:lang w:val="en-US" w:eastAsia="zh-CN"/>
              </w:rPr>
            </w:pPr>
            <w:r>
              <w:rPr>
                <w:rFonts w:hint="eastAsia" w:cs="Times New Roman"/>
                <w:color w:val="auto"/>
                <w:kern w:val="2"/>
                <w:sz w:val="24"/>
                <w:szCs w:val="24"/>
                <w:highlight w:val="none"/>
                <w:lang w:val="en-US" w:eastAsia="zh-CN"/>
              </w:rPr>
              <w:t>锅炉和风机等</w:t>
            </w:r>
          </w:p>
        </w:tc>
        <w:tc>
          <w:tcPr>
            <w:tcW w:w="1182" w:type="dxa"/>
            <w:vAlign w:val="center"/>
          </w:tcPr>
          <w:p>
            <w:pPr>
              <w:pStyle w:val="25"/>
              <w:adjustRightInd/>
              <w:snapToGrid/>
              <w:spacing w:line="360" w:lineRule="auto"/>
              <w:rPr>
                <w:rFonts w:ascii="Times New Roman" w:hAnsi="Times New Roman" w:cs="Times New Roman"/>
                <w:color w:val="auto"/>
                <w:kern w:val="2"/>
                <w:sz w:val="24"/>
                <w:szCs w:val="24"/>
                <w:highlight w:val="none"/>
              </w:rPr>
            </w:pPr>
            <w:r>
              <w:rPr>
                <w:rFonts w:ascii="Times New Roman" w:hAnsi="Times New Roman" w:cs="Times New Roman"/>
                <w:color w:val="auto"/>
                <w:kern w:val="2"/>
                <w:sz w:val="24"/>
                <w:szCs w:val="24"/>
                <w:highlight w:val="none"/>
              </w:rPr>
              <w:t>Leq（A）</w:t>
            </w:r>
          </w:p>
        </w:tc>
        <w:tc>
          <w:tcPr>
            <w:tcW w:w="2549" w:type="dxa"/>
            <w:vAlign w:val="center"/>
          </w:tcPr>
          <w:p>
            <w:pPr>
              <w:pStyle w:val="25"/>
              <w:adjustRightInd/>
              <w:snapToGrid/>
              <w:spacing w:line="360" w:lineRule="auto"/>
              <w:rPr>
                <w:rFonts w:ascii="Times New Roman" w:hAnsi="Times New Roman" w:cs="Times New Roman"/>
                <w:color w:val="auto"/>
                <w:kern w:val="2"/>
                <w:sz w:val="24"/>
                <w:szCs w:val="24"/>
                <w:highlight w:val="none"/>
              </w:rPr>
            </w:pPr>
            <w:r>
              <w:rPr>
                <w:rFonts w:hint="eastAsia" w:ascii="Times New Roman" w:hAnsi="Times New Roman" w:cs="Times New Roman"/>
                <w:color w:val="auto"/>
                <w:kern w:val="2"/>
                <w:sz w:val="24"/>
                <w:szCs w:val="24"/>
                <w:highlight w:val="none"/>
              </w:rPr>
              <w:t>选用低噪声设备，厂房（车间）隔声、设置基础减震</w:t>
            </w:r>
          </w:p>
        </w:tc>
        <w:tc>
          <w:tcPr>
            <w:tcW w:w="2333" w:type="dxa"/>
            <w:vAlign w:val="center"/>
          </w:tcPr>
          <w:p>
            <w:pPr>
              <w:ind w:firstLine="0" w:firstLineChars="0"/>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《工业企业厂界环境噪声排放标准》（GB12348-2008）</w:t>
            </w:r>
            <w:r>
              <w:rPr>
                <w:rFonts w:hint="eastAsia" w:cs="Times New Roman"/>
                <w:color w:val="auto"/>
                <w:kern w:val="0"/>
                <w:sz w:val="24"/>
                <w:szCs w:val="24"/>
                <w:highlight w:val="none"/>
                <w:lang w:val="en-US" w:eastAsia="zh-CN"/>
              </w:rPr>
              <w:t>2</w:t>
            </w:r>
            <w:r>
              <w:rPr>
                <w:rFonts w:ascii="Times New Roman" w:hAnsi="Times New Roman" w:cs="Times New Roman"/>
                <w:color w:val="auto"/>
                <w:kern w:val="0"/>
                <w:sz w:val="24"/>
                <w:szCs w:val="24"/>
                <w:highlight w:val="none"/>
              </w:rPr>
              <w:t>类标准限值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41" w:type="dxa"/>
            <w:vMerge w:val="restart"/>
            <w:vAlign w:val="center"/>
          </w:tcPr>
          <w:p>
            <w:pPr>
              <w:ind w:firstLine="0" w:firstLineChars="0"/>
              <w:jc w:val="center"/>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固体废物</w:t>
            </w:r>
          </w:p>
        </w:tc>
        <w:tc>
          <w:tcPr>
            <w:tcW w:w="1626" w:type="dxa"/>
            <w:vAlign w:val="center"/>
          </w:tcPr>
          <w:p>
            <w:pPr>
              <w:pStyle w:val="25"/>
              <w:adjustRightInd/>
              <w:snapToGrid/>
              <w:spacing w:line="360" w:lineRule="auto"/>
              <w:rPr>
                <w:rFonts w:hint="default" w:ascii="Times New Roman" w:hAnsi="Times New Roman" w:eastAsia="宋体" w:cs="Times New Roman"/>
                <w:color w:val="auto"/>
                <w:kern w:val="2"/>
                <w:sz w:val="24"/>
                <w:szCs w:val="24"/>
                <w:highlight w:val="none"/>
                <w:lang w:val="en-US" w:eastAsia="zh-CN"/>
              </w:rPr>
            </w:pPr>
            <w:r>
              <w:rPr>
                <w:rFonts w:hint="eastAsia" w:cs="Times New Roman"/>
                <w:color w:val="auto"/>
                <w:kern w:val="2"/>
                <w:sz w:val="24"/>
                <w:szCs w:val="24"/>
                <w:highlight w:val="none"/>
                <w:lang w:val="en-US" w:eastAsia="zh-CN"/>
              </w:rPr>
              <w:t>出渣机</w:t>
            </w:r>
          </w:p>
        </w:tc>
        <w:tc>
          <w:tcPr>
            <w:tcW w:w="1182" w:type="dxa"/>
            <w:vAlign w:val="center"/>
          </w:tcPr>
          <w:p>
            <w:pPr>
              <w:pStyle w:val="25"/>
              <w:adjustRightInd/>
              <w:snapToGrid/>
              <w:spacing w:line="360" w:lineRule="auto"/>
              <w:rPr>
                <w:rFonts w:hint="default" w:ascii="Times New Roman" w:hAnsi="Times New Roman" w:eastAsia="宋体" w:cs="Times New Roman"/>
                <w:color w:val="auto"/>
                <w:kern w:val="2"/>
                <w:sz w:val="24"/>
                <w:szCs w:val="24"/>
                <w:highlight w:val="none"/>
                <w:lang w:val="en-US" w:eastAsia="zh-CN"/>
              </w:rPr>
            </w:pPr>
            <w:r>
              <w:rPr>
                <w:rFonts w:hint="eastAsia" w:cs="Times New Roman"/>
                <w:color w:val="auto"/>
                <w:kern w:val="2"/>
                <w:sz w:val="24"/>
                <w:szCs w:val="24"/>
                <w:highlight w:val="none"/>
                <w:lang w:val="en-US" w:eastAsia="zh-CN"/>
              </w:rPr>
              <w:t>炉渣</w:t>
            </w:r>
          </w:p>
        </w:tc>
        <w:tc>
          <w:tcPr>
            <w:tcW w:w="2549" w:type="dxa"/>
            <w:vMerge w:val="restart"/>
            <w:vAlign w:val="center"/>
          </w:tcPr>
          <w:p>
            <w:pPr>
              <w:pStyle w:val="25"/>
              <w:adjustRightInd/>
              <w:snapToGrid/>
              <w:spacing w:line="360" w:lineRule="auto"/>
              <w:rPr>
                <w:rFonts w:hint="default" w:ascii="Times New Roman" w:hAnsi="Times New Roman" w:eastAsia="宋体" w:cs="Times New Roman"/>
                <w:color w:val="auto"/>
                <w:kern w:val="2"/>
                <w:sz w:val="24"/>
                <w:szCs w:val="24"/>
                <w:highlight w:val="none"/>
                <w:lang w:val="en-US" w:eastAsia="zh-CN"/>
              </w:rPr>
            </w:pPr>
            <w:r>
              <w:rPr>
                <w:rFonts w:hint="eastAsia" w:cs="Times New Roman"/>
                <w:color w:val="auto"/>
                <w:kern w:val="2"/>
                <w:sz w:val="24"/>
                <w:szCs w:val="24"/>
                <w:highlight w:val="none"/>
                <w:lang w:val="en-US" w:eastAsia="zh-CN"/>
              </w:rPr>
              <w:t>集中收集至灰渣库内，可作为肥料外售。</w:t>
            </w:r>
          </w:p>
        </w:tc>
        <w:tc>
          <w:tcPr>
            <w:tcW w:w="2333" w:type="dxa"/>
            <w:vMerge w:val="restart"/>
            <w:vAlign w:val="center"/>
          </w:tcPr>
          <w:p>
            <w:pPr>
              <w:ind w:firstLine="0" w:firstLineChars="0"/>
              <w:jc w:val="center"/>
              <w:rPr>
                <w:rFonts w:ascii="Times New Roman" w:hAnsi="Times New Roman" w:cs="Times New Roman"/>
                <w:color w:val="auto"/>
                <w:kern w:val="0"/>
                <w:sz w:val="24"/>
                <w:szCs w:val="24"/>
                <w:highlight w:val="none"/>
              </w:rPr>
            </w:pPr>
            <w:r>
              <w:rPr>
                <w:rFonts w:hint="default" w:ascii="Times New Roman" w:hAnsi="Times New Roman" w:eastAsia="宋体" w:cs="Times New Roman"/>
                <w:color w:val="auto"/>
                <w:sz w:val="24"/>
                <w:szCs w:val="24"/>
                <w:highlight w:val="none"/>
                <w:lang w:val="en-US" w:eastAsia="zh-CN"/>
              </w:rPr>
              <w:t>《一般工业固体废物贮存</w:t>
            </w:r>
            <w:r>
              <w:rPr>
                <w:rFonts w:hint="eastAsia" w:ascii="Times New Roman" w:hAnsi="Times New Roman" w:eastAsia="宋体" w:cs="Times New Roman"/>
                <w:color w:val="auto"/>
                <w:sz w:val="24"/>
                <w:szCs w:val="24"/>
                <w:highlight w:val="none"/>
                <w:lang w:val="en-US" w:eastAsia="zh-CN"/>
              </w:rPr>
              <w:t>和填埋</w:t>
            </w:r>
            <w:r>
              <w:rPr>
                <w:rFonts w:hint="default" w:ascii="Times New Roman" w:hAnsi="Times New Roman" w:eastAsia="宋体" w:cs="Times New Roman"/>
                <w:color w:val="auto"/>
                <w:sz w:val="24"/>
                <w:szCs w:val="24"/>
                <w:highlight w:val="none"/>
                <w:lang w:val="en-US" w:eastAsia="zh-CN"/>
              </w:rPr>
              <w:t>污染控制标准》(GB18599-20</w:t>
            </w:r>
            <w:r>
              <w:rPr>
                <w:rFonts w:hint="eastAsia"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41" w:type="dxa"/>
            <w:vMerge w:val="continue"/>
            <w:vAlign w:val="center"/>
          </w:tcPr>
          <w:p>
            <w:pPr>
              <w:ind w:firstLine="0" w:firstLineChars="0"/>
              <w:jc w:val="center"/>
              <w:rPr>
                <w:rFonts w:ascii="Times New Roman" w:hAnsi="Times New Roman" w:cs="Times New Roman"/>
                <w:b/>
                <w:bCs/>
                <w:color w:val="auto"/>
                <w:sz w:val="24"/>
                <w:szCs w:val="24"/>
                <w:highlight w:val="none"/>
              </w:rPr>
            </w:pPr>
          </w:p>
        </w:tc>
        <w:tc>
          <w:tcPr>
            <w:tcW w:w="1626" w:type="dxa"/>
            <w:vAlign w:val="center"/>
          </w:tcPr>
          <w:p>
            <w:pPr>
              <w:pStyle w:val="25"/>
              <w:adjustRightInd/>
              <w:snapToGrid/>
              <w:spacing w:line="360" w:lineRule="auto"/>
              <w:rPr>
                <w:rFonts w:hint="default" w:ascii="Times New Roman" w:hAnsi="Times New Roman" w:eastAsia="宋体" w:cs="Times New Roman"/>
                <w:color w:val="auto"/>
                <w:kern w:val="2"/>
                <w:sz w:val="24"/>
                <w:szCs w:val="24"/>
                <w:highlight w:val="none"/>
                <w:lang w:val="en-US" w:eastAsia="zh-CN"/>
              </w:rPr>
            </w:pPr>
            <w:r>
              <w:rPr>
                <w:rFonts w:hint="eastAsia" w:cs="Times New Roman"/>
                <w:color w:val="auto"/>
                <w:kern w:val="2"/>
                <w:sz w:val="24"/>
                <w:szCs w:val="24"/>
                <w:highlight w:val="none"/>
                <w:lang w:val="en-US" w:eastAsia="zh-CN"/>
              </w:rPr>
              <w:t>布袋除尘器</w:t>
            </w:r>
          </w:p>
        </w:tc>
        <w:tc>
          <w:tcPr>
            <w:tcW w:w="1182" w:type="dxa"/>
            <w:vAlign w:val="center"/>
          </w:tcPr>
          <w:p>
            <w:pPr>
              <w:pStyle w:val="25"/>
              <w:adjustRightInd/>
              <w:snapToGrid/>
              <w:spacing w:line="360" w:lineRule="auto"/>
              <w:rPr>
                <w:rFonts w:hint="default" w:cs="Times New Roman"/>
                <w:color w:val="auto"/>
                <w:kern w:val="2"/>
                <w:sz w:val="24"/>
                <w:szCs w:val="24"/>
                <w:highlight w:val="none"/>
                <w:lang w:val="en-US" w:eastAsia="zh-CN"/>
              </w:rPr>
            </w:pPr>
            <w:r>
              <w:rPr>
                <w:rFonts w:hint="eastAsia" w:cs="Times New Roman"/>
                <w:color w:val="auto"/>
                <w:kern w:val="2"/>
                <w:sz w:val="24"/>
                <w:szCs w:val="24"/>
                <w:highlight w:val="none"/>
                <w:lang w:val="en-US" w:eastAsia="zh-CN"/>
              </w:rPr>
              <w:t>除尘灰</w:t>
            </w:r>
          </w:p>
        </w:tc>
        <w:tc>
          <w:tcPr>
            <w:tcW w:w="2549" w:type="dxa"/>
            <w:vMerge w:val="continue"/>
            <w:vAlign w:val="center"/>
          </w:tcPr>
          <w:p>
            <w:pPr>
              <w:pStyle w:val="25"/>
              <w:adjustRightInd/>
              <w:snapToGrid/>
              <w:spacing w:line="360" w:lineRule="auto"/>
              <w:rPr>
                <w:rFonts w:hint="default" w:ascii="Times New Roman" w:hAnsi="Times New Roman" w:eastAsia="宋体" w:cs="Times New Roman"/>
                <w:color w:val="auto"/>
                <w:kern w:val="2"/>
                <w:sz w:val="24"/>
                <w:szCs w:val="24"/>
                <w:highlight w:val="none"/>
                <w:lang w:val="en-US" w:eastAsia="zh-CN"/>
              </w:rPr>
            </w:pPr>
          </w:p>
        </w:tc>
        <w:tc>
          <w:tcPr>
            <w:tcW w:w="2333" w:type="dxa"/>
            <w:vMerge w:val="continue"/>
            <w:vAlign w:val="center"/>
          </w:tcPr>
          <w:p>
            <w:pPr>
              <w:ind w:firstLine="0" w:firstLineChars="0"/>
              <w:jc w:val="center"/>
              <w:rPr>
                <w:rFonts w:ascii="Times New Roman" w:hAnsi="Times New Roman" w:cs="Times New Roman"/>
                <w:color w:val="auto"/>
                <w:kern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41" w:type="dxa"/>
            <w:vMerge w:val="continue"/>
            <w:vAlign w:val="center"/>
          </w:tcPr>
          <w:p>
            <w:pPr>
              <w:ind w:firstLine="0" w:firstLineChars="0"/>
              <w:jc w:val="center"/>
              <w:rPr>
                <w:rFonts w:ascii="Times New Roman" w:hAnsi="Times New Roman" w:cs="Times New Roman"/>
                <w:b/>
                <w:bCs/>
                <w:color w:val="auto"/>
                <w:sz w:val="24"/>
                <w:szCs w:val="24"/>
                <w:highlight w:val="none"/>
              </w:rPr>
            </w:pPr>
          </w:p>
        </w:tc>
        <w:tc>
          <w:tcPr>
            <w:tcW w:w="1626" w:type="dxa"/>
            <w:vAlign w:val="center"/>
          </w:tcPr>
          <w:p>
            <w:pPr>
              <w:pStyle w:val="25"/>
              <w:adjustRightInd/>
              <w:snapToGrid/>
              <w:spacing w:line="360" w:lineRule="auto"/>
              <w:rPr>
                <w:rFonts w:hint="eastAsia" w:ascii="Times New Roman" w:hAnsi="Times New Roman" w:eastAsia="宋体" w:cs="Times New Roman"/>
                <w:color w:val="auto"/>
                <w:kern w:val="2"/>
                <w:sz w:val="24"/>
                <w:szCs w:val="24"/>
                <w:highlight w:val="none"/>
                <w:lang w:val="en-US" w:eastAsia="zh-CN"/>
              </w:rPr>
            </w:pPr>
            <w:r>
              <w:rPr>
                <w:rFonts w:hint="eastAsia" w:cs="Times New Roman"/>
                <w:color w:val="auto"/>
                <w:kern w:val="2"/>
                <w:sz w:val="24"/>
                <w:szCs w:val="24"/>
                <w:highlight w:val="none"/>
                <w:lang w:val="en-US" w:eastAsia="zh-CN"/>
              </w:rPr>
              <w:t>脱硫塔</w:t>
            </w:r>
          </w:p>
        </w:tc>
        <w:tc>
          <w:tcPr>
            <w:tcW w:w="1182" w:type="dxa"/>
            <w:vAlign w:val="center"/>
          </w:tcPr>
          <w:p>
            <w:pPr>
              <w:pStyle w:val="25"/>
              <w:adjustRightInd/>
              <w:snapToGrid/>
              <w:spacing w:line="360" w:lineRule="auto"/>
              <w:rPr>
                <w:rFonts w:hint="default" w:cs="Times New Roman"/>
                <w:color w:val="auto"/>
                <w:kern w:val="2"/>
                <w:sz w:val="24"/>
                <w:szCs w:val="24"/>
                <w:highlight w:val="none"/>
                <w:lang w:val="en-US" w:eastAsia="zh-CN"/>
              </w:rPr>
            </w:pPr>
            <w:r>
              <w:rPr>
                <w:rFonts w:hint="eastAsia" w:cs="Times New Roman"/>
                <w:color w:val="auto"/>
                <w:kern w:val="2"/>
                <w:sz w:val="24"/>
                <w:szCs w:val="24"/>
                <w:highlight w:val="none"/>
                <w:lang w:val="en-US" w:eastAsia="zh-CN"/>
              </w:rPr>
              <w:t>脱硫渣</w:t>
            </w:r>
          </w:p>
        </w:tc>
        <w:tc>
          <w:tcPr>
            <w:tcW w:w="2549" w:type="dxa"/>
            <w:vAlign w:val="center"/>
          </w:tcPr>
          <w:p>
            <w:pPr>
              <w:pStyle w:val="25"/>
              <w:adjustRightInd/>
              <w:snapToGrid/>
              <w:spacing w:line="360" w:lineRule="auto"/>
              <w:rPr>
                <w:rFonts w:hint="default" w:ascii="Times New Roman" w:hAnsi="Times New Roman" w:eastAsia="宋体" w:cs="Times New Roman"/>
                <w:color w:val="auto"/>
                <w:kern w:val="2"/>
                <w:sz w:val="24"/>
                <w:szCs w:val="24"/>
                <w:highlight w:val="none"/>
                <w:lang w:val="en-US" w:eastAsia="zh-CN"/>
              </w:rPr>
            </w:pPr>
            <w:r>
              <w:rPr>
                <w:rFonts w:hint="eastAsia" w:cs="Times New Roman"/>
                <w:color w:val="auto"/>
                <w:kern w:val="2"/>
                <w:sz w:val="24"/>
                <w:szCs w:val="24"/>
                <w:highlight w:val="none"/>
                <w:lang w:val="en-US" w:eastAsia="zh-CN"/>
              </w:rPr>
              <w:t>外售建材公司</w:t>
            </w:r>
          </w:p>
        </w:tc>
        <w:tc>
          <w:tcPr>
            <w:tcW w:w="2333" w:type="dxa"/>
            <w:vMerge w:val="continue"/>
            <w:vAlign w:val="center"/>
          </w:tcPr>
          <w:p>
            <w:pPr>
              <w:ind w:firstLine="0" w:firstLineChars="0"/>
              <w:jc w:val="center"/>
              <w:rPr>
                <w:rFonts w:ascii="Times New Roman" w:hAnsi="Times New Roman" w:cs="Times New Roman"/>
                <w:color w:val="auto"/>
                <w:kern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41" w:type="dxa"/>
            <w:vMerge w:val="continue"/>
            <w:vAlign w:val="center"/>
          </w:tcPr>
          <w:p>
            <w:pPr>
              <w:ind w:firstLine="0" w:firstLineChars="0"/>
              <w:jc w:val="center"/>
              <w:rPr>
                <w:rFonts w:ascii="Times New Roman" w:hAnsi="Times New Roman" w:cs="Times New Roman"/>
                <w:b/>
                <w:bCs/>
                <w:color w:val="auto"/>
                <w:sz w:val="24"/>
                <w:szCs w:val="24"/>
                <w:highlight w:val="none"/>
              </w:rPr>
            </w:pPr>
          </w:p>
        </w:tc>
        <w:tc>
          <w:tcPr>
            <w:tcW w:w="1626" w:type="dxa"/>
            <w:vAlign w:val="center"/>
          </w:tcPr>
          <w:p>
            <w:pPr>
              <w:pStyle w:val="25"/>
              <w:adjustRightInd/>
              <w:snapToGrid/>
              <w:spacing w:line="360" w:lineRule="auto"/>
              <w:rPr>
                <w:rFonts w:hint="default" w:ascii="Times New Roman" w:hAnsi="Times New Roman" w:eastAsia="宋体" w:cs="Times New Roman"/>
                <w:color w:val="auto"/>
                <w:kern w:val="2"/>
                <w:sz w:val="24"/>
                <w:szCs w:val="24"/>
                <w:highlight w:val="none"/>
                <w:lang w:val="en-US" w:eastAsia="zh-CN"/>
              </w:rPr>
            </w:pPr>
            <w:r>
              <w:rPr>
                <w:rFonts w:hint="eastAsia" w:cs="Times New Roman"/>
                <w:color w:val="auto"/>
                <w:kern w:val="2"/>
                <w:sz w:val="24"/>
                <w:szCs w:val="24"/>
                <w:highlight w:val="none"/>
                <w:lang w:val="en-US" w:eastAsia="zh-CN"/>
              </w:rPr>
              <w:t>软水制备系统</w:t>
            </w:r>
          </w:p>
        </w:tc>
        <w:tc>
          <w:tcPr>
            <w:tcW w:w="1182" w:type="dxa"/>
            <w:vAlign w:val="center"/>
          </w:tcPr>
          <w:p>
            <w:pPr>
              <w:pStyle w:val="25"/>
              <w:adjustRightInd/>
              <w:snapToGrid/>
              <w:spacing w:line="360" w:lineRule="auto"/>
              <w:rPr>
                <w:rFonts w:hint="default" w:cs="Times New Roman"/>
                <w:color w:val="auto"/>
                <w:kern w:val="2"/>
                <w:sz w:val="24"/>
                <w:szCs w:val="24"/>
                <w:highlight w:val="none"/>
                <w:lang w:val="en-US" w:eastAsia="zh-CN"/>
              </w:rPr>
            </w:pPr>
            <w:r>
              <w:rPr>
                <w:rFonts w:hint="eastAsia" w:cs="Times New Roman"/>
                <w:color w:val="auto"/>
                <w:kern w:val="2"/>
                <w:sz w:val="24"/>
                <w:szCs w:val="24"/>
                <w:highlight w:val="none"/>
                <w:lang w:val="en-US" w:eastAsia="zh-CN"/>
              </w:rPr>
              <w:t>废饱和树脂</w:t>
            </w:r>
          </w:p>
        </w:tc>
        <w:tc>
          <w:tcPr>
            <w:tcW w:w="2549" w:type="dxa"/>
            <w:vAlign w:val="center"/>
          </w:tcPr>
          <w:p>
            <w:pPr>
              <w:pStyle w:val="25"/>
              <w:adjustRightInd/>
              <w:snapToGrid/>
              <w:spacing w:line="360" w:lineRule="auto"/>
              <w:rPr>
                <w:rFonts w:hint="default" w:ascii="Times New Roman" w:hAnsi="Times New Roman" w:eastAsia="宋体" w:cs="Times New Roman"/>
                <w:color w:val="auto"/>
                <w:kern w:val="2"/>
                <w:sz w:val="24"/>
                <w:szCs w:val="24"/>
                <w:highlight w:val="none"/>
                <w:lang w:val="en-US" w:eastAsia="zh-CN"/>
              </w:rPr>
            </w:pPr>
            <w:r>
              <w:rPr>
                <w:rFonts w:hint="eastAsia" w:cs="Times New Roman"/>
                <w:color w:val="auto"/>
                <w:kern w:val="2"/>
                <w:sz w:val="24"/>
                <w:szCs w:val="24"/>
                <w:highlight w:val="none"/>
                <w:lang w:val="en-US" w:eastAsia="zh-CN"/>
              </w:rPr>
              <w:t>厂家回收利用</w:t>
            </w:r>
          </w:p>
        </w:tc>
        <w:tc>
          <w:tcPr>
            <w:tcW w:w="2333" w:type="dxa"/>
            <w:vMerge w:val="continue"/>
            <w:vAlign w:val="center"/>
          </w:tcPr>
          <w:p>
            <w:pPr>
              <w:ind w:firstLine="0" w:firstLineChars="0"/>
              <w:jc w:val="center"/>
              <w:rPr>
                <w:rFonts w:ascii="Times New Roman" w:hAnsi="Times New Roman" w:cs="Times New Roman"/>
                <w:color w:val="auto"/>
                <w:kern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41" w:type="dxa"/>
            <w:vAlign w:val="center"/>
          </w:tcPr>
          <w:p>
            <w:pPr>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土壤及地下水污染防治措施</w:t>
            </w:r>
          </w:p>
        </w:tc>
        <w:tc>
          <w:tcPr>
            <w:tcW w:w="769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本项目灰渣间的防渗系数小于1×10</w:t>
            </w:r>
            <w:r>
              <w:rPr>
                <w:rFonts w:hint="default" w:ascii="Times New Roman" w:hAnsi="Times New Roman" w:eastAsia="宋体" w:cs="Times New Roman"/>
                <w:color w:val="auto"/>
                <w:sz w:val="24"/>
                <w:szCs w:val="24"/>
                <w:highlight w:val="none"/>
                <w:vertAlign w:val="superscript"/>
              </w:rPr>
              <w:t>-7</w:t>
            </w:r>
            <w:r>
              <w:rPr>
                <w:rFonts w:hint="default" w:ascii="Times New Roman" w:hAnsi="Times New Roman" w:eastAsia="宋体" w:cs="Times New Roman"/>
                <w:color w:val="auto"/>
                <w:sz w:val="24"/>
                <w:szCs w:val="24"/>
                <w:highlight w:val="none"/>
              </w:rPr>
              <w:t>cm/s，采用混凝土</w:t>
            </w:r>
            <w:r>
              <w:rPr>
                <w:rFonts w:hint="default" w:ascii="Times New Roman" w:hAnsi="Times New Roman" w:eastAsia="宋体" w:cs="Times New Roman"/>
                <w:color w:val="auto"/>
                <w:sz w:val="24"/>
                <w:szCs w:val="24"/>
                <w:highlight w:val="none"/>
                <w:lang w:val="en-US" w:eastAsia="zh-CN"/>
              </w:rPr>
              <w:t>+防水材料</w:t>
            </w:r>
            <w:r>
              <w:rPr>
                <w:rFonts w:hint="default" w:ascii="Times New Roman" w:hAnsi="Times New Roman" w:eastAsia="宋体" w:cs="Times New Roman"/>
                <w:color w:val="auto"/>
                <w:sz w:val="24"/>
                <w:szCs w:val="24"/>
                <w:highlight w:val="none"/>
              </w:rPr>
              <w:t>铺设，达到防渗的目的；</w:t>
            </w:r>
            <w:r>
              <w:rPr>
                <w:rFonts w:hint="default" w:ascii="Times New Roman" w:hAnsi="Times New Roman" w:eastAsia="宋体" w:cs="Times New Roman"/>
                <w:color w:val="auto"/>
                <w:sz w:val="24"/>
                <w:szCs w:val="24"/>
                <w:highlight w:val="none"/>
                <w:lang w:eastAsia="zh-CN"/>
              </w:rPr>
              <w:t>燃料库</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锅炉房</w:t>
            </w:r>
            <w:r>
              <w:rPr>
                <w:rFonts w:hint="default" w:ascii="Times New Roman" w:hAnsi="Times New Roman" w:eastAsia="宋体" w:cs="Times New Roman"/>
                <w:color w:val="auto"/>
                <w:sz w:val="24"/>
                <w:szCs w:val="24"/>
                <w:highlight w:val="none"/>
              </w:rPr>
              <w:t>为简单防渗区。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通过采取严格有效的防渗措施，可以有效降低非正常工况发生的污染物泄露事故；在发生泄露情况下，采取有效的应急措施，可以污染物进入地下水、土壤环境的风险降到最低。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141" w:type="dxa"/>
            <w:vAlign w:val="center"/>
          </w:tcPr>
          <w:p>
            <w:pPr>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生态保护措施</w:t>
            </w:r>
          </w:p>
        </w:tc>
        <w:tc>
          <w:tcPr>
            <w:tcW w:w="7690" w:type="dxa"/>
            <w:gridSpan w:val="4"/>
            <w:vAlign w:val="center"/>
          </w:tcPr>
          <w:p>
            <w:pPr>
              <w:pStyle w:val="9"/>
              <w:ind w:firstLine="0" w:firstLineChars="0"/>
              <w:jc w:val="center"/>
              <w:rPr>
                <w:rFonts w:ascii="Times New Roman" w:hAnsi="Times New Roman" w:cs="Times New Roman"/>
                <w:color w:val="auto"/>
                <w:sz w:val="24"/>
                <w:szCs w:val="24"/>
                <w:highlight w:val="none"/>
              </w:rPr>
            </w:pPr>
            <w:r>
              <w:rPr>
                <w:rFonts w:ascii="Times New Roman" w:hAnsi="Times New Roman" w:cs="Times New Roman"/>
                <w:bCs/>
                <w:color w:val="auto"/>
                <w:sz w:val="24"/>
                <w:szCs w:val="24"/>
                <w:highlight w:val="none"/>
                <w:lang w:bidi="ar-OM"/>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141" w:type="dxa"/>
            <w:vAlign w:val="center"/>
          </w:tcPr>
          <w:p>
            <w:pPr>
              <w:ind w:firstLine="0" w:firstLineChars="0"/>
              <w:jc w:val="center"/>
              <w:rPr>
                <w:rFonts w:ascii="Times New Roman" w:hAnsi="Times New Roman" w:cs="Times New Roman"/>
                <w:b/>
                <w:bCs/>
                <w:color w:val="auto"/>
                <w:spacing w:val="-8"/>
                <w:sz w:val="24"/>
                <w:szCs w:val="24"/>
                <w:highlight w:val="none"/>
              </w:rPr>
            </w:pPr>
            <w:r>
              <w:rPr>
                <w:rFonts w:ascii="Times New Roman" w:hAnsi="Times New Roman" w:cs="Times New Roman"/>
                <w:b/>
                <w:bCs/>
                <w:color w:val="auto"/>
                <w:spacing w:val="-8"/>
                <w:sz w:val="24"/>
                <w:szCs w:val="24"/>
                <w:highlight w:val="none"/>
              </w:rPr>
              <w:t>环境风险</w:t>
            </w:r>
          </w:p>
          <w:p>
            <w:pPr>
              <w:ind w:firstLine="0" w:firstLineChars="0"/>
              <w:jc w:val="center"/>
              <w:rPr>
                <w:rFonts w:ascii="Times New Roman" w:hAnsi="Times New Roman" w:cs="Times New Roman"/>
                <w:b/>
                <w:bCs/>
                <w:color w:val="auto"/>
                <w:spacing w:val="-8"/>
                <w:sz w:val="24"/>
                <w:szCs w:val="24"/>
                <w:highlight w:val="none"/>
              </w:rPr>
            </w:pPr>
            <w:r>
              <w:rPr>
                <w:rFonts w:ascii="Times New Roman" w:hAnsi="Times New Roman" w:cs="Times New Roman"/>
                <w:b/>
                <w:bCs/>
                <w:color w:val="auto"/>
                <w:spacing w:val="-8"/>
                <w:sz w:val="24"/>
                <w:szCs w:val="24"/>
                <w:highlight w:val="none"/>
              </w:rPr>
              <w:t>防范措施</w:t>
            </w:r>
          </w:p>
        </w:tc>
        <w:tc>
          <w:tcPr>
            <w:tcW w:w="7690" w:type="dxa"/>
            <w:gridSpan w:val="4"/>
            <w:vAlign w:val="center"/>
          </w:tcPr>
          <w:p>
            <w:pPr>
              <w:autoSpaceDE w:val="0"/>
              <w:autoSpaceDN w:val="0"/>
              <w:adjustRightInd w:val="0"/>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1）大气环境风险防范</w:t>
            </w:r>
          </w:p>
          <w:p>
            <w:pPr>
              <w:autoSpaceDE w:val="0"/>
              <w:autoSpaceDN w:val="0"/>
              <w:adjustRightInd w:val="0"/>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制定消防条例、车间内严禁烟火、车间内放置灭火器等消防装置等风险防范措施，加强燃料风险隐患排查和风险防范管理，提高风险防范和应急处置能力。</w:t>
            </w:r>
          </w:p>
          <w:p>
            <w:pPr>
              <w:autoSpaceDE w:val="0"/>
              <w:autoSpaceDN w:val="0"/>
              <w:adjustRightInd w:val="0"/>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2）地表水环境风险防范</w:t>
            </w:r>
          </w:p>
          <w:p>
            <w:pPr>
              <w:autoSpaceDE w:val="0"/>
              <w:autoSpaceDN w:val="0"/>
              <w:adjustRightInd w:val="0"/>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加强厂区废水处理站的运行管理，完善检修和巡检制度，减少“跑、冒、滴、漏”，发现问题可及时发现并采取措施。</w:t>
            </w:r>
          </w:p>
          <w:p>
            <w:pPr>
              <w:autoSpaceDE w:val="0"/>
              <w:autoSpaceDN w:val="0"/>
              <w:adjustRightInd w:val="0"/>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3）地下水环境风险防范</w:t>
            </w:r>
          </w:p>
          <w:p>
            <w:pPr>
              <w:adjustRightInd w:val="0"/>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加强风险源事故风险防范，按照地下水污染防治措施采取“源头控制、分区防渗”等风险防范措施，进一步减轻风险事故对地下水环境的影响。</w:t>
            </w:r>
          </w:p>
          <w:p>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本项目在采取环评要求的防范措施和应急处置措施后，环境风险事故影响范围主要集中于厂区，环境风险在可接受范围之内。</w:t>
            </w:r>
          </w:p>
          <w:p>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）储存、使用过程的风险控制措施</w:t>
            </w:r>
          </w:p>
          <w:p>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燃料库</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锅炉房</w:t>
            </w:r>
            <w:r>
              <w:rPr>
                <w:rFonts w:hint="default" w:ascii="Times New Roman" w:hAnsi="Times New Roman" w:eastAsia="宋体" w:cs="Times New Roman"/>
                <w:color w:val="auto"/>
                <w:sz w:val="24"/>
                <w:highlight w:val="none"/>
              </w:rPr>
              <w:t>、灰渣间严禁吸烟和使用明火，防止火源进入；设置明显标志；安全设施、消防器材齐备；</w:t>
            </w:r>
            <w:r>
              <w:rPr>
                <w:rFonts w:hint="default" w:ascii="Times New Roman" w:hAnsi="Times New Roman" w:eastAsia="宋体" w:cs="Times New Roman"/>
                <w:color w:val="auto"/>
                <w:sz w:val="24"/>
                <w:highlight w:val="none"/>
                <w:lang w:eastAsia="zh-CN"/>
              </w:rPr>
              <w:t>燃料库</w:t>
            </w:r>
            <w:r>
              <w:rPr>
                <w:rFonts w:hint="default" w:ascii="Times New Roman" w:hAnsi="Times New Roman" w:eastAsia="宋体" w:cs="Times New Roman"/>
                <w:color w:val="auto"/>
                <w:sz w:val="24"/>
                <w:highlight w:val="none"/>
              </w:rPr>
              <w:t>设置温度报警器；制定各种操作规范，加强监督管理，严格安全、环保检查制度，避免环境事件的发生。</w:t>
            </w:r>
          </w:p>
          <w:p>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）风险防范措施</w:t>
            </w:r>
          </w:p>
          <w:p>
            <w:pPr>
              <w:ind w:firstLine="0" w:firstLineChars="0"/>
              <w:rPr>
                <w:rFonts w:ascii="Times New Roman" w:hAnsi="Times New Roman" w:cs="Times New Roman"/>
                <w:color w:val="auto"/>
                <w:sz w:val="24"/>
                <w:szCs w:val="24"/>
                <w:highlight w:val="none"/>
              </w:rPr>
            </w:pPr>
            <w:r>
              <w:rPr>
                <w:rFonts w:hint="default" w:ascii="Times New Roman" w:hAnsi="Times New Roman" w:eastAsia="宋体" w:cs="Times New Roman"/>
                <w:color w:val="auto"/>
                <w:sz w:val="24"/>
                <w:highlight w:val="none"/>
                <w:lang w:eastAsia="zh-CN"/>
              </w:rPr>
              <w:t>燃料库</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锅炉房</w:t>
            </w:r>
            <w:r>
              <w:rPr>
                <w:rFonts w:hint="default" w:ascii="Times New Roman" w:hAnsi="Times New Roman" w:eastAsia="宋体" w:cs="Times New Roman"/>
                <w:color w:val="auto"/>
                <w:sz w:val="24"/>
                <w:highlight w:val="none"/>
              </w:rPr>
              <w:t>、灰渣间处设置灭火器等灭火设施；在强化安全、环保教育，提高安全、环保意识的同时，企业保证预警、监控设施到位。配备救护设备；危险作业增设监护人员并为其配备通讯、救援等设备；按照国家、地方和相关部门要求，编制突发环境事件应急预案；企业根据实际情况，不断充实和完善应急预案的各项措施，并定期组织演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81" w:hRule="atLeast"/>
          <w:jc w:val="center"/>
        </w:trPr>
        <w:tc>
          <w:tcPr>
            <w:tcW w:w="1141" w:type="dxa"/>
            <w:vAlign w:val="center"/>
          </w:tcPr>
          <w:p>
            <w:pPr>
              <w:ind w:firstLine="0" w:firstLineChars="0"/>
              <w:jc w:val="center"/>
              <w:rPr>
                <w:rFonts w:ascii="Times New Roman" w:hAnsi="Times New Roman" w:cs="Times New Roman"/>
                <w:b/>
                <w:bCs/>
                <w:color w:val="auto"/>
                <w:spacing w:val="-8"/>
                <w:sz w:val="24"/>
                <w:szCs w:val="24"/>
                <w:highlight w:val="none"/>
              </w:rPr>
            </w:pPr>
            <w:r>
              <w:rPr>
                <w:rFonts w:ascii="Times New Roman" w:hAnsi="Times New Roman" w:cs="Times New Roman"/>
                <w:b/>
                <w:bCs/>
                <w:color w:val="auto"/>
                <w:spacing w:val="-8"/>
                <w:sz w:val="24"/>
                <w:szCs w:val="24"/>
                <w:highlight w:val="none"/>
              </w:rPr>
              <w:t>其他环境</w:t>
            </w:r>
          </w:p>
          <w:p>
            <w:pPr>
              <w:ind w:firstLine="0" w:firstLineChars="0"/>
              <w:jc w:val="center"/>
              <w:rPr>
                <w:rFonts w:ascii="Times New Roman" w:hAnsi="Times New Roman" w:cs="Times New Roman"/>
                <w:b/>
                <w:bCs/>
                <w:color w:val="auto"/>
                <w:spacing w:val="-8"/>
                <w:sz w:val="24"/>
                <w:szCs w:val="24"/>
                <w:highlight w:val="none"/>
              </w:rPr>
            </w:pPr>
            <w:r>
              <w:rPr>
                <w:rFonts w:ascii="Times New Roman" w:hAnsi="Times New Roman" w:cs="Times New Roman"/>
                <w:b/>
                <w:bCs/>
                <w:color w:val="auto"/>
                <w:spacing w:val="-8"/>
                <w:sz w:val="24"/>
                <w:szCs w:val="24"/>
                <w:highlight w:val="none"/>
              </w:rPr>
              <w:t>管理要求</w:t>
            </w:r>
          </w:p>
        </w:tc>
        <w:tc>
          <w:tcPr>
            <w:tcW w:w="7690" w:type="dxa"/>
            <w:gridSpan w:val="4"/>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1）“三同时”制度</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建设项目环境保护管理条例》，建设项目需配套建设的环境保护设施，必须与主体工程同时设计、同时施工、同时投产使用。项目竣工后，建设单位应当按照国务院环境保护行政主管部门规定的标准和程序，对配套建设的环境保护设施进行验收，编制验收报告。建设单位在环境保护设施验收过程中，应当如实查验、监测、记载建设项目环境保护设施的建设和调试情况，不得弄虚作假，验收报告应依法向社会公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2）排污许可制度</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建设单位应当在技改项目投入生产或使用并产生实际排污行为之前登录全国排污许可证管理信息平台，依法按照排污许可证申请与核发技术规范的要求向生态环境主管部门申请排污许可证管理。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3）环保台账制度</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厂内需完善记录制度和档案保存制度，有利于环境管理质量的追踪和持续改进。记录和台账包括设施运行和维护记录、废物进出台账、废水、废气污染物监测台账、所有原辅材料使用台账、突发性事件的处理、调查记录等，妥善保存所有记录、台账及污染物排放监测资料、环境管理档案资料等。</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4）报告制度</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应定期向当地政府环保部门报告污染治理设施运行情况、污染物排放情况以及污染事故、污染纠纷等情况，便于环保部门和企业管理人员及时了解企业污染动态，利于采取相应的对策措施。若企业排污情况发生重大变化、污染治理设施改变或企业生产工艺发生重大改变等都必须按《建设项目环境保护管理条例》等文件要求，向当地环保部门申报，并请有审批权限的环保部门审批。企业产量和生产原辅料发生变化也应及时向环保部门报告。</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5）污染治理设施的管理、监控制度</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建成后，必须确保污染治理设施长期、稳定、有效地运行，不得擅自拆除或者闲置尾气处理装置和污水治理设施等，不得故意不正常使用污染治理设施。污染治理设施的管理必须与生产经营活动一起纳入到公司日常管理工作的范畴，落实责任人、操作人员、维修人员、运行经费、设备的备品备件和其他原辅材料。同时要建立健全岗位责任制、制定正确的操作规程、建立管理台帐。</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6）固体废物环境保护制度</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明确建设单位为固体废物污染防治的责任主体，要求企业建立风险管理及应急救援体系，执行环境监测计划、人员培训考核制度、档案管理制度、处置全过程管理制度等。</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7）自行监测制度</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该项目排污特点和实际情况，项目正常运营过程中，应对公司“三废”治理设施运转情况进行定期监测。监测内容包括：废气处理设施的运行情况、废气有组织及无组织排放的达标情况和噪声排放的达标情况。以技术可靠性和测试权威性为前提，建设单位可以委托有监测能力和资质的环境监测机构进行定期监测。具体监测因子和监测频次详见表四主要环境影响和保护措施章节。</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8）污染源排放口规范化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污染源排放口应规范设置，应符合国家、省、市有关规定，并通过主管环保部门认证和验收。厂区“三废”及固体废物堆放处应设置明显的环保图形标志，污染物排放口的环保图形标志牌应设置在靠近采样点的醒目处。项目建成后，有组织废气排气筒应按照《环境保护图形标志—排放口</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源）》</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GB 15562.1-1995）中的相关要求设置排放源图形标识，并规范设置永久采样孔、采样测试平台。</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厂区的污水排放口、废气排放口、噪声排放源、固体废物贮存处置场应设置环境保护图形标志，图形符号分为提示图形和警告图形符号两种，分别按GB15562.1-1995、GB15562.2-1995执行。环境保护图形符号见表5-1，环境保护图形标志的形状及颜色见表5-2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表5-1  本项目环境保护图形符号表</w:t>
            </w:r>
          </w:p>
          <w:tbl>
            <w:tblPr>
              <w:tblStyle w:val="17"/>
              <w:tblW w:w="5000" w:type="pct"/>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76"/>
              <w:gridCol w:w="1675"/>
              <w:gridCol w:w="1800"/>
              <w:gridCol w:w="1675"/>
              <w:gridCol w:w="17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3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color w:val="auto"/>
                      <w:spacing w:val="-2"/>
                      <w:highlight w:val="none"/>
                    </w:rPr>
                  </w:pPr>
                  <w:r>
                    <w:rPr>
                      <w:rFonts w:hint="default" w:ascii="Times New Roman" w:hAnsi="Times New Roman" w:eastAsia="宋体" w:cs="Times New Roman"/>
                      <w:b/>
                      <w:color w:val="auto"/>
                      <w:highlight w:val="none"/>
                    </w:rPr>
                    <w:t>序号</w:t>
                  </w:r>
                </w:p>
              </w:tc>
              <w:tc>
                <w:tcPr>
                  <w:tcW w:w="11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color w:val="auto"/>
                      <w:spacing w:val="-2"/>
                      <w:highlight w:val="none"/>
                    </w:rPr>
                  </w:pPr>
                  <w:r>
                    <w:rPr>
                      <w:rFonts w:hint="default" w:ascii="Times New Roman" w:hAnsi="Times New Roman" w:eastAsia="宋体" w:cs="Times New Roman"/>
                      <w:b/>
                      <w:color w:val="auto"/>
                      <w:highlight w:val="none"/>
                    </w:rPr>
                    <w:t>提示图形符号</w:t>
                  </w:r>
                </w:p>
              </w:tc>
              <w:tc>
                <w:tcPr>
                  <w:tcW w:w="12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color w:val="auto"/>
                      <w:spacing w:val="-2"/>
                      <w:highlight w:val="none"/>
                    </w:rPr>
                  </w:pPr>
                  <w:r>
                    <w:rPr>
                      <w:rFonts w:hint="default" w:ascii="Times New Roman" w:hAnsi="Times New Roman" w:eastAsia="宋体" w:cs="Times New Roman"/>
                      <w:b/>
                      <w:color w:val="auto"/>
                      <w:highlight w:val="none"/>
                    </w:rPr>
                    <w:t>警告图形符号</w:t>
                  </w:r>
                </w:p>
              </w:tc>
              <w:tc>
                <w:tcPr>
                  <w:tcW w:w="11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color w:val="auto"/>
                      <w:spacing w:val="-2"/>
                      <w:highlight w:val="none"/>
                    </w:rPr>
                  </w:pPr>
                  <w:r>
                    <w:rPr>
                      <w:rFonts w:hint="default" w:ascii="Times New Roman" w:hAnsi="Times New Roman" w:eastAsia="宋体" w:cs="Times New Roman"/>
                      <w:b/>
                      <w:color w:val="auto"/>
                      <w:highlight w:val="none"/>
                    </w:rPr>
                    <w:t>名称</w:t>
                  </w:r>
                </w:p>
              </w:tc>
              <w:tc>
                <w:tcPr>
                  <w:tcW w:w="11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color w:val="auto"/>
                      <w:spacing w:val="-2"/>
                      <w:highlight w:val="none"/>
                    </w:rPr>
                  </w:pPr>
                  <w:r>
                    <w:rPr>
                      <w:rFonts w:hint="default" w:ascii="Times New Roman" w:hAnsi="Times New Roman" w:eastAsia="宋体" w:cs="Times New Roman"/>
                      <w:b/>
                      <w:color w:val="auto"/>
                      <w:highlight w:val="none"/>
                    </w:rPr>
                    <w:t>功能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3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1</w:t>
                  </w:r>
                </w:p>
              </w:tc>
              <w:tc>
                <w:tcPr>
                  <w:tcW w:w="11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smallCaps/>
                      <w:color w:val="auto"/>
                      <w:highlight w:val="none"/>
                    </w:rPr>
                    <w:drawing>
                      <wp:inline distT="0" distB="0" distL="114300" distR="114300">
                        <wp:extent cx="857250" cy="857250"/>
                        <wp:effectExtent l="0" t="0" r="11430" b="1143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38"/>
                                <a:stretch>
                                  <a:fillRect/>
                                </a:stretch>
                              </pic:blipFill>
                              <pic:spPr>
                                <a:xfrm>
                                  <a:off x="0" y="0"/>
                                  <a:ext cx="857250" cy="857250"/>
                                </a:xfrm>
                                <a:prstGeom prst="rect">
                                  <a:avLst/>
                                </a:prstGeom>
                                <a:noFill/>
                                <a:ln>
                                  <a:noFill/>
                                </a:ln>
                              </pic:spPr>
                            </pic:pic>
                          </a:graphicData>
                        </a:graphic>
                      </wp:inline>
                    </w:drawing>
                  </w:r>
                </w:p>
              </w:tc>
              <w:tc>
                <w:tcPr>
                  <w:tcW w:w="12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smallCaps/>
                      <w:color w:val="auto"/>
                      <w:highlight w:val="none"/>
                    </w:rPr>
                    <w:drawing>
                      <wp:inline distT="0" distB="0" distL="114300" distR="114300">
                        <wp:extent cx="962660" cy="857250"/>
                        <wp:effectExtent l="0" t="0" r="12700" b="1143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39"/>
                                <a:stretch>
                                  <a:fillRect/>
                                </a:stretch>
                              </pic:blipFill>
                              <pic:spPr>
                                <a:xfrm>
                                  <a:off x="0" y="0"/>
                                  <a:ext cx="962660" cy="857250"/>
                                </a:xfrm>
                                <a:prstGeom prst="rect">
                                  <a:avLst/>
                                </a:prstGeom>
                                <a:noFill/>
                                <a:ln>
                                  <a:noFill/>
                                </a:ln>
                              </pic:spPr>
                            </pic:pic>
                          </a:graphicData>
                        </a:graphic>
                      </wp:inline>
                    </w:drawing>
                  </w:r>
                </w:p>
              </w:tc>
              <w:tc>
                <w:tcPr>
                  <w:tcW w:w="11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废气排放口</w:t>
                  </w:r>
                </w:p>
              </w:tc>
              <w:tc>
                <w:tcPr>
                  <w:tcW w:w="11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表示废气向大气环境排放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3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2</w:t>
                  </w:r>
                </w:p>
              </w:tc>
              <w:tc>
                <w:tcPr>
                  <w:tcW w:w="11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smallCaps/>
                      <w:color w:val="auto"/>
                      <w:highlight w:val="none"/>
                    </w:rPr>
                    <w:drawing>
                      <wp:inline distT="0" distB="0" distL="114300" distR="114300">
                        <wp:extent cx="857250" cy="857250"/>
                        <wp:effectExtent l="0" t="0" r="11430" b="1143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40"/>
                                <a:stretch>
                                  <a:fillRect/>
                                </a:stretch>
                              </pic:blipFill>
                              <pic:spPr>
                                <a:xfrm>
                                  <a:off x="0" y="0"/>
                                  <a:ext cx="857250" cy="857250"/>
                                </a:xfrm>
                                <a:prstGeom prst="rect">
                                  <a:avLst/>
                                </a:prstGeom>
                                <a:noFill/>
                                <a:ln>
                                  <a:noFill/>
                                </a:ln>
                              </pic:spPr>
                            </pic:pic>
                          </a:graphicData>
                        </a:graphic>
                      </wp:inline>
                    </w:drawing>
                  </w:r>
                </w:p>
              </w:tc>
              <w:tc>
                <w:tcPr>
                  <w:tcW w:w="12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smallCaps/>
                      <w:color w:val="auto"/>
                      <w:highlight w:val="none"/>
                    </w:rPr>
                    <w:drawing>
                      <wp:inline distT="0" distB="0" distL="114300" distR="114300">
                        <wp:extent cx="963295" cy="857250"/>
                        <wp:effectExtent l="0" t="0" r="12065" b="1143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41"/>
                                <a:stretch>
                                  <a:fillRect/>
                                </a:stretch>
                              </pic:blipFill>
                              <pic:spPr>
                                <a:xfrm>
                                  <a:off x="0" y="0"/>
                                  <a:ext cx="963295" cy="857250"/>
                                </a:xfrm>
                                <a:prstGeom prst="rect">
                                  <a:avLst/>
                                </a:prstGeom>
                                <a:noFill/>
                                <a:ln>
                                  <a:noFill/>
                                </a:ln>
                              </pic:spPr>
                            </pic:pic>
                          </a:graphicData>
                        </a:graphic>
                      </wp:inline>
                    </w:drawing>
                  </w:r>
                </w:p>
              </w:tc>
              <w:tc>
                <w:tcPr>
                  <w:tcW w:w="11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一般固体废物</w:t>
                  </w:r>
                </w:p>
              </w:tc>
              <w:tc>
                <w:tcPr>
                  <w:tcW w:w="11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表示一般固体废物贮存、处置场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3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spacing w:val="-2"/>
                      <w:highlight w:val="none"/>
                    </w:rPr>
                    <w:t>3</w:t>
                  </w:r>
                </w:p>
              </w:tc>
              <w:tc>
                <w:tcPr>
                  <w:tcW w:w="11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drawing>
                      <wp:inline distT="0" distB="0" distL="114300" distR="114300">
                        <wp:extent cx="857250" cy="857250"/>
                        <wp:effectExtent l="0" t="0" r="11430" b="11430"/>
                        <wp:docPr id="11" name="图片 7" descr="mark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mark_3"/>
                                <pic:cNvPicPr>
                                  <a:picLocks noChangeAspect="1"/>
                                </pic:cNvPicPr>
                              </pic:nvPicPr>
                              <pic:blipFill>
                                <a:blip r:embed="rId42"/>
                                <a:stretch>
                                  <a:fillRect/>
                                </a:stretch>
                              </pic:blipFill>
                              <pic:spPr>
                                <a:xfrm>
                                  <a:off x="0" y="0"/>
                                  <a:ext cx="857250" cy="857250"/>
                                </a:xfrm>
                                <a:prstGeom prst="rect">
                                  <a:avLst/>
                                </a:prstGeom>
                                <a:noFill/>
                                <a:ln>
                                  <a:noFill/>
                                </a:ln>
                              </pic:spPr>
                            </pic:pic>
                          </a:graphicData>
                        </a:graphic>
                      </wp:inline>
                    </w:drawing>
                  </w:r>
                </w:p>
              </w:tc>
              <w:tc>
                <w:tcPr>
                  <w:tcW w:w="12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drawing>
                      <wp:inline distT="0" distB="0" distL="114300" distR="114300">
                        <wp:extent cx="962025" cy="857250"/>
                        <wp:effectExtent l="0" t="0" r="13335" b="11430"/>
                        <wp:docPr id="12" name="图片 8" descr="mark_j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mark_j3"/>
                                <pic:cNvPicPr>
                                  <a:picLocks noChangeAspect="1"/>
                                </pic:cNvPicPr>
                              </pic:nvPicPr>
                              <pic:blipFill>
                                <a:blip r:embed="rId43"/>
                                <a:stretch>
                                  <a:fillRect/>
                                </a:stretch>
                              </pic:blipFill>
                              <pic:spPr>
                                <a:xfrm>
                                  <a:off x="0" y="0"/>
                                  <a:ext cx="962025" cy="857250"/>
                                </a:xfrm>
                                <a:prstGeom prst="rect">
                                  <a:avLst/>
                                </a:prstGeom>
                                <a:noFill/>
                                <a:ln>
                                  <a:noFill/>
                                </a:ln>
                              </pic:spPr>
                            </pic:pic>
                          </a:graphicData>
                        </a:graphic>
                      </wp:inline>
                    </w:drawing>
                  </w:r>
                </w:p>
              </w:tc>
              <w:tc>
                <w:tcPr>
                  <w:tcW w:w="11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噪声排放源</w:t>
                  </w:r>
                </w:p>
              </w:tc>
              <w:tc>
                <w:tcPr>
                  <w:tcW w:w="11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表示噪声向</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外环境排放</w:t>
                  </w:r>
                </w:p>
              </w:tc>
            </w:tr>
          </w:tbl>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表5-2  环境保护图形标志的形状及颜色表</w:t>
            </w:r>
          </w:p>
          <w:tbl>
            <w:tblPr>
              <w:tblStyle w:val="17"/>
              <w:tblW w:w="5000" w:type="pct"/>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861"/>
              <w:gridCol w:w="1861"/>
              <w:gridCol w:w="1861"/>
              <w:gridCol w:w="186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color w:val="auto"/>
                      <w:spacing w:val="-2"/>
                      <w:highlight w:val="none"/>
                    </w:rPr>
                  </w:pPr>
                  <w:r>
                    <w:rPr>
                      <w:rFonts w:hint="default" w:ascii="Times New Roman" w:hAnsi="Times New Roman" w:eastAsia="宋体" w:cs="Times New Roman"/>
                      <w:b/>
                      <w:color w:val="auto"/>
                      <w:highlight w:val="none"/>
                    </w:rPr>
                    <w:t>标志名称</w:t>
                  </w: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color w:val="auto"/>
                      <w:spacing w:val="-2"/>
                      <w:highlight w:val="none"/>
                    </w:rPr>
                  </w:pPr>
                  <w:r>
                    <w:rPr>
                      <w:rFonts w:hint="default" w:ascii="Times New Roman" w:hAnsi="Times New Roman" w:eastAsia="宋体" w:cs="Times New Roman"/>
                      <w:b/>
                      <w:color w:val="auto"/>
                      <w:highlight w:val="none"/>
                    </w:rPr>
                    <w:t>形状</w:t>
                  </w: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color w:val="auto"/>
                      <w:spacing w:val="-2"/>
                      <w:highlight w:val="none"/>
                    </w:rPr>
                  </w:pPr>
                  <w:r>
                    <w:rPr>
                      <w:rFonts w:hint="default" w:ascii="Times New Roman" w:hAnsi="Times New Roman" w:eastAsia="宋体" w:cs="Times New Roman"/>
                      <w:b/>
                      <w:color w:val="auto"/>
                      <w:highlight w:val="none"/>
                    </w:rPr>
                    <w:t>背景颜色</w:t>
                  </w: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color w:val="auto"/>
                      <w:spacing w:val="-2"/>
                      <w:highlight w:val="none"/>
                    </w:rPr>
                  </w:pPr>
                  <w:r>
                    <w:rPr>
                      <w:rFonts w:hint="default" w:ascii="Times New Roman" w:hAnsi="Times New Roman" w:eastAsia="宋体" w:cs="Times New Roman"/>
                      <w:b/>
                      <w:color w:val="auto"/>
                      <w:highlight w:val="none"/>
                    </w:rPr>
                    <w:t>图形颜色</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警告标志</w:t>
                  </w: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三角形边框</w:t>
                  </w: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黄色</w:t>
                  </w: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黑色</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提示标志</w:t>
                  </w: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正方形边框</w:t>
                  </w: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绿色</w:t>
                  </w: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pacing w:val="-2"/>
                      <w:highlight w:val="none"/>
                    </w:rPr>
                  </w:pPr>
                  <w:r>
                    <w:rPr>
                      <w:rFonts w:hint="default" w:ascii="Times New Roman" w:hAnsi="Times New Roman" w:eastAsia="宋体" w:cs="Times New Roman"/>
                      <w:color w:val="auto"/>
                      <w:highlight w:val="none"/>
                    </w:rPr>
                    <w:t>白色</w:t>
                  </w:r>
                </w:p>
              </w:tc>
            </w:tr>
          </w:tbl>
          <w:p>
            <w:pPr>
              <w:ind w:firstLine="0" w:firstLineChars="0"/>
              <w:rPr>
                <w:rFonts w:ascii="Times New Roman" w:hAnsi="Times New Roman" w:eastAsia="宋体" w:cs="Times New Roman"/>
                <w:color w:val="auto"/>
                <w:sz w:val="24"/>
                <w:szCs w:val="24"/>
                <w:highlight w:val="none"/>
              </w:rPr>
            </w:pPr>
          </w:p>
        </w:tc>
      </w:tr>
    </w:tbl>
    <w:p>
      <w:pPr>
        <w:rPr>
          <w:rFonts w:hint="default"/>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bidi w:val="0"/>
        <w:rPr>
          <w:color w:val="auto"/>
          <w:highlight w:val="none"/>
        </w:rPr>
      </w:pPr>
      <w:r>
        <w:rPr>
          <w:color w:val="auto"/>
          <w:highlight w:val="none"/>
        </w:rPr>
        <w:t>六、结论</w:t>
      </w:r>
    </w:p>
    <w:tbl>
      <w:tblPr>
        <w:tblStyle w:val="17"/>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pPr>
              <w:spacing w:line="360" w:lineRule="auto"/>
              <w:ind w:firstLine="480" w:firstLineChars="200"/>
              <w:jc w:val="both"/>
              <w:rPr>
                <w:rFonts w:hint="eastAsia" w:ascii="宋体" w:cs="宋体"/>
                <w:color w:val="auto"/>
                <w:sz w:val="24"/>
                <w:highlight w:val="none"/>
                <w:lang w:val="en-US" w:eastAsia="zh-CN"/>
              </w:rPr>
            </w:pPr>
            <w:r>
              <w:rPr>
                <w:rFonts w:hint="eastAsia" w:ascii="宋体" w:cs="宋体"/>
                <w:color w:val="auto"/>
                <w:sz w:val="24"/>
                <w:highlight w:val="none"/>
                <w:lang w:val="en-US" w:eastAsia="zh-CN"/>
              </w:rPr>
              <w:t>综上所述，项目建设符合国家和地方的相关政策，厂址选择符合当地大气、噪声功能区划的要求，在各项污染防治措施落实后，污染物均能达标排放。因此，该项目在采取相应的环保措施之后，从环保角度讲拟建项目建设是可行的。</w:t>
            </w:r>
          </w:p>
          <w:p>
            <w:pPr>
              <w:ind w:firstLine="480"/>
              <w:jc w:val="both"/>
              <w:rPr>
                <w:color w:val="auto"/>
                <w:szCs w:val="21"/>
                <w:highlight w:val="none"/>
              </w:rPr>
            </w:pPr>
          </w:p>
        </w:tc>
      </w:tr>
    </w:tbl>
    <w:p>
      <w:pPr>
        <w:pStyle w:val="2"/>
        <w:rPr>
          <w:rFonts w:hint="default"/>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bidi w:val="0"/>
        <w:rPr>
          <w:color w:val="auto"/>
          <w:highlight w:val="none"/>
        </w:rPr>
      </w:pPr>
      <w:r>
        <w:rPr>
          <w:color w:val="auto"/>
          <w:highlight w:val="none"/>
        </w:rPr>
        <w:t>附表</w:t>
      </w:r>
    </w:p>
    <w:p>
      <w:pPr>
        <w:pStyle w:val="15"/>
        <w:adjustRightInd w:val="0"/>
        <w:snapToGrid w:val="0"/>
        <w:spacing w:before="0" w:beforeAutospacing="0" w:after="0" w:afterAutospacing="0"/>
        <w:ind w:firstLine="0" w:firstLineChars="0"/>
        <w:jc w:val="center"/>
        <w:outlineLvl w:val="9"/>
        <w:rPr>
          <w:rFonts w:ascii="Times New Roman" w:hAnsi="Times New Roman" w:cs="Times New Roman"/>
          <w:b/>
          <w:bCs/>
          <w:snapToGrid w:val="0"/>
          <w:color w:val="auto"/>
          <w:sz w:val="21"/>
          <w:szCs w:val="21"/>
          <w:highlight w:val="none"/>
        </w:rPr>
      </w:pPr>
      <w:r>
        <w:rPr>
          <w:rFonts w:ascii="Times New Roman" w:hAnsi="Times New Roman" w:cs="Times New Roman"/>
          <w:b/>
          <w:bCs/>
          <w:snapToGrid w:val="0"/>
          <w:color w:val="auto"/>
          <w:sz w:val="21"/>
          <w:szCs w:val="21"/>
          <w:highlight w:val="none"/>
        </w:rPr>
        <w:t>建设项目污染物排放量汇总表</w:t>
      </w:r>
    </w:p>
    <w:tbl>
      <w:tblPr>
        <w:tblStyle w:val="1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603"/>
        <w:gridCol w:w="1701"/>
        <w:gridCol w:w="1295"/>
        <w:gridCol w:w="1682"/>
        <w:gridCol w:w="1559"/>
        <w:gridCol w:w="1463"/>
        <w:gridCol w:w="1692"/>
        <w:gridCol w:w="13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02" w:type="dxa"/>
            <w:tcBorders>
              <w:tl2br w:val="single" w:color="auto" w:sz="4" w:space="0"/>
            </w:tcBorders>
            <w:tcMar>
              <w:left w:w="28" w:type="dxa"/>
              <w:right w:w="28" w:type="dxa"/>
            </w:tcMar>
            <w:vAlign w:val="center"/>
          </w:tcPr>
          <w:p>
            <w:pPr>
              <w:pStyle w:val="25"/>
              <w:spacing w:line="360" w:lineRule="auto"/>
              <w:rPr>
                <w:rFonts w:ascii="Times New Roman" w:hAnsi="Times New Roman" w:cs="Times New Roman"/>
                <w:b/>
                <w:bCs/>
                <w:snapToGrid w:val="0"/>
                <w:color w:val="auto"/>
                <w:spacing w:val="-6"/>
                <w:kern w:val="21"/>
                <w:highlight w:val="none"/>
              </w:rPr>
            </w:pPr>
            <w:r>
              <w:rPr>
                <w:rFonts w:hint="eastAsia" w:ascii="Times New Roman" w:hAnsi="Times New Roman" w:cs="Times New Roman"/>
                <w:b/>
                <w:bCs/>
                <w:snapToGrid w:val="0"/>
                <w:color w:val="auto"/>
                <w:spacing w:val="-6"/>
                <w:kern w:val="21"/>
                <w:highlight w:val="none"/>
              </w:rPr>
              <w:t xml:space="preserve">         </w:t>
            </w:r>
            <w:r>
              <w:rPr>
                <w:rFonts w:ascii="Times New Roman" w:hAnsi="Times New Roman" w:cs="Times New Roman"/>
                <w:b/>
                <w:bCs/>
                <w:snapToGrid w:val="0"/>
                <w:color w:val="auto"/>
                <w:spacing w:val="-6"/>
                <w:kern w:val="21"/>
                <w:highlight w:val="none"/>
              </w:rPr>
              <w:t>项目</w:t>
            </w:r>
          </w:p>
          <w:p>
            <w:pPr>
              <w:pStyle w:val="25"/>
              <w:spacing w:line="360" w:lineRule="auto"/>
              <w:jc w:val="both"/>
              <w:rPr>
                <w:rFonts w:ascii="Times New Roman" w:hAnsi="Times New Roman" w:cs="Times New Roman"/>
                <w:b/>
                <w:bCs/>
                <w:snapToGrid w:val="0"/>
                <w:color w:val="auto"/>
                <w:spacing w:val="-6"/>
                <w:kern w:val="21"/>
                <w:highlight w:val="none"/>
              </w:rPr>
            </w:pPr>
            <w:r>
              <w:rPr>
                <w:rFonts w:ascii="Times New Roman" w:hAnsi="Times New Roman" w:cs="Times New Roman"/>
                <w:b/>
                <w:bCs/>
                <w:snapToGrid w:val="0"/>
                <w:color w:val="auto"/>
                <w:spacing w:val="-6"/>
                <w:kern w:val="21"/>
                <w:highlight w:val="none"/>
              </w:rPr>
              <w:t>分类</w:t>
            </w:r>
          </w:p>
        </w:tc>
        <w:tc>
          <w:tcPr>
            <w:tcW w:w="1603" w:type="dxa"/>
            <w:tcMar>
              <w:left w:w="28" w:type="dxa"/>
              <w:right w:w="28" w:type="dxa"/>
            </w:tcMar>
            <w:vAlign w:val="center"/>
          </w:tcPr>
          <w:p>
            <w:pPr>
              <w:pStyle w:val="25"/>
              <w:spacing w:line="360" w:lineRule="auto"/>
              <w:rPr>
                <w:rFonts w:ascii="Times New Roman" w:hAnsi="Times New Roman" w:cs="Times New Roman"/>
                <w:b/>
                <w:bCs/>
                <w:snapToGrid w:val="0"/>
                <w:color w:val="auto"/>
                <w:spacing w:val="-6"/>
                <w:kern w:val="21"/>
                <w:highlight w:val="none"/>
              </w:rPr>
            </w:pPr>
            <w:r>
              <w:rPr>
                <w:rFonts w:ascii="Times New Roman" w:hAnsi="Times New Roman" w:cs="Times New Roman"/>
                <w:b/>
                <w:bCs/>
                <w:snapToGrid w:val="0"/>
                <w:color w:val="auto"/>
                <w:spacing w:val="-6"/>
                <w:kern w:val="21"/>
                <w:highlight w:val="none"/>
              </w:rPr>
              <w:t>污染物名称</w:t>
            </w:r>
          </w:p>
        </w:tc>
        <w:tc>
          <w:tcPr>
            <w:tcW w:w="1701" w:type="dxa"/>
            <w:tcMar>
              <w:left w:w="28" w:type="dxa"/>
              <w:right w:w="28" w:type="dxa"/>
            </w:tcMar>
            <w:vAlign w:val="center"/>
          </w:tcPr>
          <w:p>
            <w:pPr>
              <w:pStyle w:val="25"/>
              <w:spacing w:line="360" w:lineRule="auto"/>
              <w:rPr>
                <w:rFonts w:ascii="Times New Roman" w:hAnsi="Times New Roman" w:cs="Times New Roman"/>
                <w:b/>
                <w:bCs/>
                <w:snapToGrid w:val="0"/>
                <w:color w:val="auto"/>
                <w:spacing w:val="-6"/>
                <w:kern w:val="21"/>
                <w:highlight w:val="none"/>
              </w:rPr>
            </w:pPr>
            <w:r>
              <w:rPr>
                <w:rFonts w:ascii="Times New Roman" w:hAnsi="Times New Roman" w:cs="Times New Roman"/>
                <w:b/>
                <w:bCs/>
                <w:snapToGrid w:val="0"/>
                <w:color w:val="auto"/>
                <w:spacing w:val="-6"/>
                <w:kern w:val="21"/>
                <w:highlight w:val="none"/>
              </w:rPr>
              <w:t>现有工程</w:t>
            </w:r>
          </w:p>
          <w:p>
            <w:pPr>
              <w:pStyle w:val="25"/>
              <w:spacing w:line="360" w:lineRule="auto"/>
              <w:rPr>
                <w:rFonts w:ascii="Times New Roman" w:hAnsi="Times New Roman" w:cs="Times New Roman"/>
                <w:b/>
                <w:bCs/>
                <w:snapToGrid w:val="0"/>
                <w:color w:val="auto"/>
                <w:spacing w:val="-6"/>
                <w:kern w:val="21"/>
                <w:highlight w:val="none"/>
              </w:rPr>
            </w:pPr>
            <w:r>
              <w:rPr>
                <w:rFonts w:ascii="Times New Roman" w:hAnsi="Times New Roman" w:cs="Times New Roman"/>
                <w:b/>
                <w:bCs/>
                <w:snapToGrid w:val="0"/>
                <w:color w:val="auto"/>
                <w:spacing w:val="-6"/>
                <w:kern w:val="21"/>
                <w:highlight w:val="none"/>
              </w:rPr>
              <w:t>排放量（固体废物产生量）</w:t>
            </w:r>
            <w:r>
              <w:rPr>
                <w:rFonts w:ascii="Times New Roman" w:hAnsi="Times New Roman" w:cs="Times New Roman"/>
                <w:b/>
                <w:bCs/>
                <w:snapToGrid w:val="0"/>
                <w:color w:val="auto"/>
                <w:spacing w:val="-6"/>
                <w:kern w:val="21"/>
                <w:highlight w:val="none"/>
              </w:rPr>
              <w:fldChar w:fldCharType="begin"/>
            </w:r>
            <w:r>
              <w:rPr>
                <w:rFonts w:ascii="Times New Roman" w:hAnsi="Times New Roman" w:cs="Times New Roman"/>
                <w:b/>
                <w:bCs/>
                <w:snapToGrid w:val="0"/>
                <w:color w:val="auto"/>
                <w:spacing w:val="-6"/>
                <w:kern w:val="21"/>
                <w:highlight w:val="none"/>
              </w:rPr>
              <w:instrText xml:space="preserve"> = 1 \* GB3 \* MERGEFORMAT </w:instrText>
            </w:r>
            <w:r>
              <w:rPr>
                <w:rFonts w:ascii="Times New Roman" w:hAnsi="Times New Roman" w:cs="Times New Roman"/>
                <w:b/>
                <w:bCs/>
                <w:snapToGrid w:val="0"/>
                <w:color w:val="auto"/>
                <w:spacing w:val="-6"/>
                <w:kern w:val="21"/>
                <w:highlight w:val="none"/>
              </w:rPr>
              <w:fldChar w:fldCharType="separate"/>
            </w:r>
            <w:r>
              <w:rPr>
                <w:rFonts w:ascii="Times New Roman" w:hAnsi="Times New Roman" w:cs="Times New Roman"/>
                <w:b/>
                <w:bCs/>
                <w:color w:val="auto"/>
                <w:kern w:val="2"/>
                <w:highlight w:val="none"/>
              </w:rPr>
              <w:t>①</w:t>
            </w:r>
            <w:r>
              <w:rPr>
                <w:rFonts w:ascii="Times New Roman" w:hAnsi="Times New Roman" w:cs="Times New Roman"/>
                <w:b/>
                <w:bCs/>
                <w:snapToGrid w:val="0"/>
                <w:color w:val="auto"/>
                <w:spacing w:val="-6"/>
                <w:kern w:val="21"/>
                <w:highlight w:val="none"/>
              </w:rPr>
              <w:fldChar w:fldCharType="end"/>
            </w:r>
          </w:p>
        </w:tc>
        <w:tc>
          <w:tcPr>
            <w:tcW w:w="1295" w:type="dxa"/>
            <w:tcMar>
              <w:left w:w="28" w:type="dxa"/>
              <w:right w:w="28" w:type="dxa"/>
            </w:tcMar>
            <w:vAlign w:val="center"/>
          </w:tcPr>
          <w:p>
            <w:pPr>
              <w:pStyle w:val="25"/>
              <w:spacing w:line="360" w:lineRule="auto"/>
              <w:rPr>
                <w:rFonts w:ascii="Times New Roman" w:hAnsi="Times New Roman" w:cs="Times New Roman"/>
                <w:b/>
                <w:bCs/>
                <w:snapToGrid w:val="0"/>
                <w:color w:val="auto"/>
                <w:spacing w:val="-6"/>
                <w:kern w:val="21"/>
                <w:highlight w:val="none"/>
              </w:rPr>
            </w:pPr>
            <w:r>
              <w:rPr>
                <w:rFonts w:ascii="Times New Roman" w:hAnsi="Times New Roman" w:cs="Times New Roman"/>
                <w:b/>
                <w:bCs/>
                <w:snapToGrid w:val="0"/>
                <w:color w:val="auto"/>
                <w:spacing w:val="-6"/>
                <w:kern w:val="21"/>
                <w:highlight w:val="none"/>
              </w:rPr>
              <w:t>现有工程</w:t>
            </w:r>
          </w:p>
          <w:p>
            <w:pPr>
              <w:pStyle w:val="25"/>
              <w:spacing w:line="360" w:lineRule="auto"/>
              <w:rPr>
                <w:rFonts w:ascii="Times New Roman" w:hAnsi="Times New Roman" w:cs="Times New Roman"/>
                <w:b/>
                <w:bCs/>
                <w:snapToGrid w:val="0"/>
                <w:color w:val="auto"/>
                <w:spacing w:val="-6"/>
                <w:kern w:val="21"/>
                <w:highlight w:val="none"/>
              </w:rPr>
            </w:pPr>
            <w:r>
              <w:rPr>
                <w:rFonts w:ascii="Times New Roman" w:hAnsi="Times New Roman" w:cs="Times New Roman"/>
                <w:b/>
                <w:bCs/>
                <w:snapToGrid w:val="0"/>
                <w:color w:val="auto"/>
                <w:spacing w:val="-6"/>
                <w:kern w:val="21"/>
                <w:highlight w:val="none"/>
              </w:rPr>
              <w:t>许可排放量</w:t>
            </w:r>
          </w:p>
          <w:p>
            <w:pPr>
              <w:pStyle w:val="25"/>
              <w:spacing w:line="360" w:lineRule="auto"/>
              <w:rPr>
                <w:rFonts w:ascii="Times New Roman" w:hAnsi="Times New Roman" w:cs="Times New Roman"/>
                <w:b/>
                <w:bCs/>
                <w:snapToGrid w:val="0"/>
                <w:color w:val="auto"/>
                <w:spacing w:val="-6"/>
                <w:kern w:val="21"/>
                <w:highlight w:val="none"/>
              </w:rPr>
            </w:pPr>
            <w:r>
              <w:rPr>
                <w:rFonts w:ascii="Times New Roman" w:hAnsi="Times New Roman" w:cs="Times New Roman"/>
                <w:b/>
                <w:bCs/>
                <w:snapToGrid w:val="0"/>
                <w:color w:val="auto"/>
                <w:spacing w:val="-6"/>
                <w:kern w:val="21"/>
                <w:highlight w:val="none"/>
              </w:rPr>
              <w:fldChar w:fldCharType="begin"/>
            </w:r>
            <w:r>
              <w:rPr>
                <w:rFonts w:ascii="Times New Roman" w:hAnsi="Times New Roman" w:cs="Times New Roman"/>
                <w:b/>
                <w:bCs/>
                <w:snapToGrid w:val="0"/>
                <w:color w:val="auto"/>
                <w:spacing w:val="-6"/>
                <w:kern w:val="21"/>
                <w:highlight w:val="none"/>
              </w:rPr>
              <w:instrText xml:space="preserve"> = 2 \* GB3 \* MERGEFORMAT </w:instrText>
            </w:r>
            <w:r>
              <w:rPr>
                <w:rFonts w:ascii="Times New Roman" w:hAnsi="Times New Roman" w:cs="Times New Roman"/>
                <w:b/>
                <w:bCs/>
                <w:snapToGrid w:val="0"/>
                <w:color w:val="auto"/>
                <w:spacing w:val="-6"/>
                <w:kern w:val="21"/>
                <w:highlight w:val="none"/>
              </w:rPr>
              <w:fldChar w:fldCharType="separate"/>
            </w:r>
            <w:r>
              <w:rPr>
                <w:rFonts w:ascii="Times New Roman" w:hAnsi="Times New Roman" w:cs="Times New Roman"/>
                <w:b/>
                <w:bCs/>
                <w:snapToGrid w:val="0"/>
                <w:color w:val="auto"/>
                <w:spacing w:val="-6"/>
                <w:kern w:val="21"/>
                <w:highlight w:val="none"/>
              </w:rPr>
              <w:t>②</w:t>
            </w:r>
            <w:r>
              <w:rPr>
                <w:rFonts w:ascii="Times New Roman" w:hAnsi="Times New Roman" w:cs="Times New Roman"/>
                <w:b/>
                <w:bCs/>
                <w:snapToGrid w:val="0"/>
                <w:color w:val="auto"/>
                <w:spacing w:val="-6"/>
                <w:kern w:val="21"/>
                <w:highlight w:val="none"/>
              </w:rPr>
              <w:fldChar w:fldCharType="end"/>
            </w:r>
          </w:p>
        </w:tc>
        <w:tc>
          <w:tcPr>
            <w:tcW w:w="1682" w:type="dxa"/>
            <w:tcMar>
              <w:left w:w="28" w:type="dxa"/>
              <w:right w:w="28" w:type="dxa"/>
            </w:tcMar>
            <w:vAlign w:val="center"/>
          </w:tcPr>
          <w:p>
            <w:pPr>
              <w:pStyle w:val="25"/>
              <w:spacing w:line="360" w:lineRule="auto"/>
              <w:rPr>
                <w:rFonts w:ascii="Times New Roman" w:hAnsi="Times New Roman" w:cs="Times New Roman"/>
                <w:b/>
                <w:bCs/>
                <w:snapToGrid w:val="0"/>
                <w:color w:val="auto"/>
                <w:spacing w:val="-6"/>
                <w:kern w:val="21"/>
                <w:highlight w:val="none"/>
              </w:rPr>
            </w:pPr>
            <w:r>
              <w:rPr>
                <w:rFonts w:ascii="Times New Roman" w:hAnsi="Times New Roman" w:cs="Times New Roman"/>
                <w:b/>
                <w:bCs/>
                <w:snapToGrid w:val="0"/>
                <w:color w:val="auto"/>
                <w:spacing w:val="-6"/>
                <w:kern w:val="21"/>
                <w:highlight w:val="none"/>
              </w:rPr>
              <w:t>在建工程</w:t>
            </w:r>
          </w:p>
          <w:p>
            <w:pPr>
              <w:pStyle w:val="25"/>
              <w:spacing w:line="360" w:lineRule="auto"/>
              <w:rPr>
                <w:rFonts w:ascii="Times New Roman" w:hAnsi="Times New Roman" w:cs="Times New Roman"/>
                <w:b/>
                <w:bCs/>
                <w:snapToGrid w:val="0"/>
                <w:color w:val="auto"/>
                <w:spacing w:val="-6"/>
                <w:kern w:val="21"/>
                <w:highlight w:val="none"/>
              </w:rPr>
            </w:pPr>
            <w:r>
              <w:rPr>
                <w:rFonts w:ascii="Times New Roman" w:hAnsi="Times New Roman" w:cs="Times New Roman"/>
                <w:b/>
                <w:bCs/>
                <w:snapToGrid w:val="0"/>
                <w:color w:val="auto"/>
                <w:spacing w:val="-6"/>
                <w:kern w:val="21"/>
                <w:highlight w:val="none"/>
              </w:rPr>
              <w:t>排放量（固体废物产生量）</w:t>
            </w:r>
            <w:r>
              <w:rPr>
                <w:rFonts w:ascii="Times New Roman" w:hAnsi="Times New Roman" w:cs="Times New Roman"/>
                <w:b/>
                <w:bCs/>
                <w:snapToGrid w:val="0"/>
                <w:color w:val="auto"/>
                <w:spacing w:val="-6"/>
                <w:kern w:val="21"/>
                <w:highlight w:val="none"/>
              </w:rPr>
              <w:fldChar w:fldCharType="begin"/>
            </w:r>
            <w:r>
              <w:rPr>
                <w:rFonts w:ascii="Times New Roman" w:hAnsi="Times New Roman" w:cs="Times New Roman"/>
                <w:b/>
                <w:bCs/>
                <w:snapToGrid w:val="0"/>
                <w:color w:val="auto"/>
                <w:spacing w:val="-6"/>
                <w:kern w:val="21"/>
                <w:highlight w:val="none"/>
              </w:rPr>
              <w:instrText xml:space="preserve"> = 3 \* GB3 \* MERGEFORMAT </w:instrText>
            </w:r>
            <w:r>
              <w:rPr>
                <w:rFonts w:ascii="Times New Roman" w:hAnsi="Times New Roman" w:cs="Times New Roman"/>
                <w:b/>
                <w:bCs/>
                <w:snapToGrid w:val="0"/>
                <w:color w:val="auto"/>
                <w:spacing w:val="-6"/>
                <w:kern w:val="21"/>
                <w:highlight w:val="none"/>
              </w:rPr>
              <w:fldChar w:fldCharType="separate"/>
            </w:r>
            <w:r>
              <w:rPr>
                <w:rFonts w:ascii="Times New Roman" w:hAnsi="Times New Roman" w:cs="Times New Roman"/>
                <w:b/>
                <w:bCs/>
                <w:color w:val="auto"/>
                <w:kern w:val="2"/>
                <w:highlight w:val="none"/>
              </w:rPr>
              <w:t>③</w:t>
            </w:r>
            <w:r>
              <w:rPr>
                <w:rFonts w:ascii="Times New Roman" w:hAnsi="Times New Roman" w:cs="Times New Roman"/>
                <w:b/>
                <w:bCs/>
                <w:snapToGrid w:val="0"/>
                <w:color w:val="auto"/>
                <w:spacing w:val="-6"/>
                <w:kern w:val="21"/>
                <w:highlight w:val="none"/>
              </w:rPr>
              <w:fldChar w:fldCharType="end"/>
            </w:r>
          </w:p>
        </w:tc>
        <w:tc>
          <w:tcPr>
            <w:tcW w:w="1559" w:type="dxa"/>
            <w:tcMar>
              <w:left w:w="28" w:type="dxa"/>
              <w:right w:w="28" w:type="dxa"/>
            </w:tcMar>
            <w:vAlign w:val="center"/>
          </w:tcPr>
          <w:p>
            <w:pPr>
              <w:pStyle w:val="25"/>
              <w:spacing w:line="360" w:lineRule="auto"/>
              <w:rPr>
                <w:rFonts w:ascii="Times New Roman" w:hAnsi="Times New Roman" w:cs="Times New Roman"/>
                <w:b/>
                <w:bCs/>
                <w:snapToGrid w:val="0"/>
                <w:color w:val="auto"/>
                <w:spacing w:val="-6"/>
                <w:kern w:val="21"/>
                <w:highlight w:val="none"/>
              </w:rPr>
            </w:pPr>
            <w:r>
              <w:rPr>
                <w:rFonts w:ascii="Times New Roman" w:hAnsi="Times New Roman" w:cs="Times New Roman"/>
                <w:b/>
                <w:bCs/>
                <w:snapToGrid w:val="0"/>
                <w:color w:val="auto"/>
                <w:spacing w:val="-6"/>
                <w:kern w:val="21"/>
                <w:highlight w:val="none"/>
              </w:rPr>
              <w:t>本项目</w:t>
            </w:r>
          </w:p>
          <w:p>
            <w:pPr>
              <w:pStyle w:val="25"/>
              <w:spacing w:line="360" w:lineRule="auto"/>
              <w:rPr>
                <w:rFonts w:ascii="Times New Roman" w:hAnsi="Times New Roman" w:cs="Times New Roman"/>
                <w:b/>
                <w:bCs/>
                <w:snapToGrid w:val="0"/>
                <w:color w:val="auto"/>
                <w:spacing w:val="-6"/>
                <w:kern w:val="21"/>
                <w:highlight w:val="none"/>
              </w:rPr>
            </w:pPr>
            <w:r>
              <w:rPr>
                <w:rFonts w:ascii="Times New Roman" w:hAnsi="Times New Roman" w:cs="Times New Roman"/>
                <w:b/>
                <w:bCs/>
                <w:snapToGrid w:val="0"/>
                <w:color w:val="auto"/>
                <w:spacing w:val="-6"/>
                <w:kern w:val="21"/>
                <w:highlight w:val="none"/>
              </w:rPr>
              <w:t>排放量（固体废物产生量）</w:t>
            </w:r>
            <w:r>
              <w:rPr>
                <w:rFonts w:ascii="Times New Roman" w:hAnsi="Times New Roman" w:cs="Times New Roman"/>
                <w:b/>
                <w:bCs/>
                <w:snapToGrid w:val="0"/>
                <w:color w:val="auto"/>
                <w:spacing w:val="-6"/>
                <w:kern w:val="21"/>
                <w:highlight w:val="none"/>
              </w:rPr>
              <w:fldChar w:fldCharType="begin"/>
            </w:r>
            <w:r>
              <w:rPr>
                <w:rFonts w:ascii="Times New Roman" w:hAnsi="Times New Roman" w:cs="Times New Roman"/>
                <w:b/>
                <w:bCs/>
                <w:snapToGrid w:val="0"/>
                <w:color w:val="auto"/>
                <w:spacing w:val="-6"/>
                <w:kern w:val="21"/>
                <w:highlight w:val="none"/>
              </w:rPr>
              <w:instrText xml:space="preserve"> = 4 \* GB3 \* MERGEFORMAT </w:instrText>
            </w:r>
            <w:r>
              <w:rPr>
                <w:rFonts w:ascii="Times New Roman" w:hAnsi="Times New Roman" w:cs="Times New Roman"/>
                <w:b/>
                <w:bCs/>
                <w:snapToGrid w:val="0"/>
                <w:color w:val="auto"/>
                <w:spacing w:val="-6"/>
                <w:kern w:val="21"/>
                <w:highlight w:val="none"/>
              </w:rPr>
              <w:fldChar w:fldCharType="separate"/>
            </w:r>
            <w:r>
              <w:rPr>
                <w:rFonts w:ascii="Times New Roman" w:hAnsi="Times New Roman" w:cs="Times New Roman"/>
                <w:b/>
                <w:bCs/>
                <w:color w:val="auto"/>
                <w:kern w:val="2"/>
                <w:highlight w:val="none"/>
              </w:rPr>
              <w:t>④</w:t>
            </w:r>
            <w:r>
              <w:rPr>
                <w:rFonts w:ascii="Times New Roman" w:hAnsi="Times New Roman" w:cs="Times New Roman"/>
                <w:b/>
                <w:bCs/>
                <w:snapToGrid w:val="0"/>
                <w:color w:val="auto"/>
                <w:spacing w:val="-6"/>
                <w:kern w:val="21"/>
                <w:highlight w:val="none"/>
              </w:rPr>
              <w:fldChar w:fldCharType="end"/>
            </w:r>
          </w:p>
        </w:tc>
        <w:tc>
          <w:tcPr>
            <w:tcW w:w="1463" w:type="dxa"/>
            <w:tcMar>
              <w:left w:w="28" w:type="dxa"/>
              <w:right w:w="28" w:type="dxa"/>
            </w:tcMar>
            <w:vAlign w:val="center"/>
          </w:tcPr>
          <w:p>
            <w:pPr>
              <w:pStyle w:val="25"/>
              <w:spacing w:line="360" w:lineRule="auto"/>
              <w:rPr>
                <w:rFonts w:ascii="Times New Roman" w:hAnsi="Times New Roman" w:cs="Times New Roman"/>
                <w:b/>
                <w:bCs/>
                <w:snapToGrid w:val="0"/>
                <w:color w:val="auto"/>
                <w:spacing w:val="-16"/>
                <w:kern w:val="21"/>
                <w:highlight w:val="none"/>
              </w:rPr>
            </w:pPr>
            <w:r>
              <w:rPr>
                <w:rFonts w:ascii="Times New Roman" w:hAnsi="Times New Roman" w:cs="Times New Roman"/>
                <w:b/>
                <w:bCs/>
                <w:snapToGrid w:val="0"/>
                <w:color w:val="auto"/>
                <w:spacing w:val="-16"/>
                <w:kern w:val="21"/>
                <w:highlight w:val="none"/>
              </w:rPr>
              <w:t>以新带老削减量（新建项目不填）</w:t>
            </w:r>
            <w:r>
              <w:rPr>
                <w:rFonts w:ascii="Times New Roman" w:hAnsi="Times New Roman" w:cs="Times New Roman"/>
                <w:b/>
                <w:bCs/>
                <w:snapToGrid w:val="0"/>
                <w:color w:val="auto"/>
                <w:spacing w:val="-16"/>
                <w:kern w:val="21"/>
                <w:highlight w:val="none"/>
              </w:rPr>
              <w:fldChar w:fldCharType="begin"/>
            </w:r>
            <w:r>
              <w:rPr>
                <w:rFonts w:ascii="Times New Roman" w:hAnsi="Times New Roman" w:cs="Times New Roman"/>
                <w:b/>
                <w:bCs/>
                <w:snapToGrid w:val="0"/>
                <w:color w:val="auto"/>
                <w:spacing w:val="-16"/>
                <w:kern w:val="21"/>
                <w:highlight w:val="none"/>
              </w:rPr>
              <w:instrText xml:space="preserve"> = 5 \* GB3 \* MERGEFORMAT </w:instrText>
            </w:r>
            <w:r>
              <w:rPr>
                <w:rFonts w:ascii="Times New Roman" w:hAnsi="Times New Roman" w:cs="Times New Roman"/>
                <w:b/>
                <w:bCs/>
                <w:snapToGrid w:val="0"/>
                <w:color w:val="auto"/>
                <w:spacing w:val="-16"/>
                <w:kern w:val="21"/>
                <w:highlight w:val="none"/>
              </w:rPr>
              <w:fldChar w:fldCharType="separate"/>
            </w:r>
            <w:r>
              <w:rPr>
                <w:rFonts w:ascii="Times New Roman" w:hAnsi="Times New Roman" w:cs="Times New Roman"/>
                <w:b/>
                <w:bCs/>
                <w:color w:val="auto"/>
                <w:kern w:val="2"/>
                <w:highlight w:val="none"/>
              </w:rPr>
              <w:t>⑤</w:t>
            </w:r>
            <w:r>
              <w:rPr>
                <w:rFonts w:ascii="Times New Roman" w:hAnsi="Times New Roman" w:cs="Times New Roman"/>
                <w:b/>
                <w:bCs/>
                <w:snapToGrid w:val="0"/>
                <w:color w:val="auto"/>
                <w:spacing w:val="-16"/>
                <w:kern w:val="21"/>
                <w:highlight w:val="none"/>
              </w:rPr>
              <w:fldChar w:fldCharType="end"/>
            </w:r>
          </w:p>
        </w:tc>
        <w:tc>
          <w:tcPr>
            <w:tcW w:w="1692" w:type="dxa"/>
            <w:tcMar>
              <w:left w:w="28" w:type="dxa"/>
              <w:right w:w="28" w:type="dxa"/>
            </w:tcMar>
            <w:vAlign w:val="center"/>
          </w:tcPr>
          <w:p>
            <w:pPr>
              <w:pStyle w:val="25"/>
              <w:spacing w:line="360" w:lineRule="auto"/>
              <w:rPr>
                <w:rFonts w:ascii="Times New Roman" w:hAnsi="Times New Roman" w:cs="Times New Roman"/>
                <w:b/>
                <w:bCs/>
                <w:snapToGrid w:val="0"/>
                <w:color w:val="auto"/>
                <w:spacing w:val="-16"/>
                <w:kern w:val="21"/>
                <w:highlight w:val="none"/>
              </w:rPr>
            </w:pPr>
            <w:r>
              <w:rPr>
                <w:rFonts w:ascii="Times New Roman" w:hAnsi="Times New Roman" w:cs="Times New Roman"/>
                <w:b/>
                <w:bCs/>
                <w:snapToGrid w:val="0"/>
                <w:color w:val="auto"/>
                <w:spacing w:val="-16"/>
                <w:kern w:val="21"/>
                <w:highlight w:val="none"/>
              </w:rPr>
              <w:t>本项目建成后</w:t>
            </w:r>
          </w:p>
          <w:p>
            <w:pPr>
              <w:pStyle w:val="25"/>
              <w:spacing w:line="360" w:lineRule="auto"/>
              <w:rPr>
                <w:rFonts w:ascii="Times New Roman" w:hAnsi="Times New Roman" w:cs="Times New Roman"/>
                <w:b/>
                <w:bCs/>
                <w:snapToGrid w:val="0"/>
                <w:color w:val="auto"/>
                <w:spacing w:val="-16"/>
                <w:kern w:val="21"/>
                <w:highlight w:val="none"/>
              </w:rPr>
            </w:pPr>
            <w:r>
              <w:rPr>
                <w:rFonts w:ascii="Times New Roman" w:hAnsi="Times New Roman" w:cs="Times New Roman"/>
                <w:b/>
                <w:bCs/>
                <w:snapToGrid w:val="0"/>
                <w:color w:val="auto"/>
                <w:spacing w:val="-16"/>
                <w:kern w:val="21"/>
                <w:highlight w:val="none"/>
              </w:rPr>
              <w:t>全厂排放量（固体废物产生量）</w:t>
            </w:r>
            <w:r>
              <w:rPr>
                <w:rFonts w:ascii="Times New Roman" w:hAnsi="Times New Roman" w:cs="Times New Roman"/>
                <w:b/>
                <w:bCs/>
                <w:snapToGrid w:val="0"/>
                <w:color w:val="auto"/>
                <w:spacing w:val="-16"/>
                <w:kern w:val="21"/>
                <w:highlight w:val="none"/>
              </w:rPr>
              <w:fldChar w:fldCharType="begin"/>
            </w:r>
            <w:r>
              <w:rPr>
                <w:rFonts w:ascii="Times New Roman" w:hAnsi="Times New Roman" w:cs="Times New Roman"/>
                <w:b/>
                <w:bCs/>
                <w:snapToGrid w:val="0"/>
                <w:color w:val="auto"/>
                <w:spacing w:val="-16"/>
                <w:kern w:val="21"/>
                <w:highlight w:val="none"/>
              </w:rPr>
              <w:instrText xml:space="preserve"> = 6 \* GB3 \* MERGEFORMAT </w:instrText>
            </w:r>
            <w:r>
              <w:rPr>
                <w:rFonts w:ascii="Times New Roman" w:hAnsi="Times New Roman" w:cs="Times New Roman"/>
                <w:b/>
                <w:bCs/>
                <w:snapToGrid w:val="0"/>
                <w:color w:val="auto"/>
                <w:spacing w:val="-16"/>
                <w:kern w:val="21"/>
                <w:highlight w:val="none"/>
              </w:rPr>
              <w:fldChar w:fldCharType="separate"/>
            </w:r>
            <w:r>
              <w:rPr>
                <w:rFonts w:ascii="Times New Roman" w:hAnsi="Times New Roman" w:cs="Times New Roman"/>
                <w:b/>
                <w:bCs/>
                <w:color w:val="auto"/>
                <w:kern w:val="2"/>
                <w:highlight w:val="none"/>
              </w:rPr>
              <w:t>⑥</w:t>
            </w:r>
            <w:r>
              <w:rPr>
                <w:rFonts w:ascii="Times New Roman" w:hAnsi="Times New Roman" w:cs="Times New Roman"/>
                <w:b/>
                <w:bCs/>
                <w:snapToGrid w:val="0"/>
                <w:color w:val="auto"/>
                <w:spacing w:val="-16"/>
                <w:kern w:val="21"/>
                <w:highlight w:val="none"/>
              </w:rPr>
              <w:fldChar w:fldCharType="end"/>
            </w:r>
          </w:p>
        </w:tc>
        <w:tc>
          <w:tcPr>
            <w:tcW w:w="1391" w:type="dxa"/>
            <w:tcMar>
              <w:left w:w="28" w:type="dxa"/>
              <w:right w:w="28" w:type="dxa"/>
            </w:tcMar>
            <w:vAlign w:val="center"/>
          </w:tcPr>
          <w:p>
            <w:pPr>
              <w:pStyle w:val="25"/>
              <w:spacing w:line="360" w:lineRule="auto"/>
              <w:rPr>
                <w:rFonts w:ascii="Times New Roman" w:hAnsi="Times New Roman" w:cs="Times New Roman"/>
                <w:b/>
                <w:bCs/>
                <w:snapToGrid w:val="0"/>
                <w:color w:val="auto"/>
                <w:spacing w:val="-6"/>
                <w:kern w:val="21"/>
                <w:highlight w:val="none"/>
              </w:rPr>
            </w:pPr>
            <w:r>
              <w:rPr>
                <w:rFonts w:ascii="Times New Roman" w:hAnsi="Times New Roman" w:cs="Times New Roman"/>
                <w:b/>
                <w:bCs/>
                <w:snapToGrid w:val="0"/>
                <w:color w:val="auto"/>
                <w:spacing w:val="-6"/>
                <w:kern w:val="21"/>
                <w:highlight w:val="none"/>
              </w:rPr>
              <w:t>变化量</w:t>
            </w:r>
          </w:p>
          <w:p>
            <w:pPr>
              <w:pStyle w:val="25"/>
              <w:spacing w:line="360" w:lineRule="auto"/>
              <w:rPr>
                <w:rFonts w:ascii="Times New Roman" w:hAnsi="Times New Roman" w:cs="Times New Roman"/>
                <w:b/>
                <w:bCs/>
                <w:snapToGrid w:val="0"/>
                <w:color w:val="auto"/>
                <w:spacing w:val="-6"/>
                <w:kern w:val="21"/>
                <w:highlight w:val="none"/>
              </w:rPr>
            </w:pPr>
            <w:r>
              <w:rPr>
                <w:rFonts w:ascii="Times New Roman" w:hAnsi="Times New Roman" w:cs="Times New Roman"/>
                <w:b/>
                <w:bCs/>
                <w:snapToGrid w:val="0"/>
                <w:color w:val="auto"/>
                <w:spacing w:val="-6"/>
                <w:kern w:val="21"/>
                <w:highlight w:val="none"/>
              </w:rPr>
              <w:fldChar w:fldCharType="begin"/>
            </w:r>
            <w:r>
              <w:rPr>
                <w:rFonts w:ascii="Times New Roman" w:hAnsi="Times New Roman" w:cs="Times New Roman"/>
                <w:b/>
                <w:bCs/>
                <w:snapToGrid w:val="0"/>
                <w:color w:val="auto"/>
                <w:spacing w:val="-6"/>
                <w:kern w:val="21"/>
                <w:highlight w:val="none"/>
              </w:rPr>
              <w:instrText xml:space="preserve"> = 7 \* GB3 \* MERGEFORMAT </w:instrText>
            </w:r>
            <w:r>
              <w:rPr>
                <w:rFonts w:ascii="Times New Roman" w:hAnsi="Times New Roman" w:cs="Times New Roman"/>
                <w:b/>
                <w:bCs/>
                <w:snapToGrid w:val="0"/>
                <w:color w:val="auto"/>
                <w:spacing w:val="-6"/>
                <w:kern w:val="21"/>
                <w:highlight w:val="none"/>
              </w:rPr>
              <w:fldChar w:fldCharType="separate"/>
            </w:r>
            <w:r>
              <w:rPr>
                <w:rFonts w:ascii="Times New Roman" w:hAnsi="Times New Roman" w:cs="Times New Roman"/>
                <w:b/>
                <w:bCs/>
                <w:color w:val="auto"/>
                <w:kern w:val="2"/>
                <w:highlight w:val="none"/>
              </w:rPr>
              <w:t>⑦</w:t>
            </w:r>
            <w:r>
              <w:rPr>
                <w:rFonts w:ascii="Times New Roman" w:hAnsi="Times New Roman" w:cs="Times New Roman"/>
                <w:b/>
                <w:bCs/>
                <w:snapToGrid w:val="0"/>
                <w:color w:val="auto"/>
                <w:spacing w:val="-6"/>
                <w:kern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02" w:type="dxa"/>
            <w:vMerge w:val="restart"/>
            <w:vAlign w:val="center"/>
          </w:tcPr>
          <w:p>
            <w:pPr>
              <w:pStyle w:val="25"/>
              <w:rPr>
                <w:rFonts w:ascii="Times New Roman" w:hAnsi="Times New Roman" w:cs="Times New Roman"/>
                <w:b/>
                <w:bCs/>
                <w:snapToGrid w:val="0"/>
                <w:color w:val="auto"/>
                <w:kern w:val="21"/>
                <w:highlight w:val="none"/>
              </w:rPr>
            </w:pPr>
            <w:r>
              <w:rPr>
                <w:rFonts w:ascii="Times New Roman" w:hAnsi="Times New Roman" w:cs="Times New Roman"/>
                <w:b/>
                <w:bCs/>
                <w:snapToGrid w:val="0"/>
                <w:color w:val="auto"/>
                <w:kern w:val="21"/>
                <w:highlight w:val="none"/>
              </w:rPr>
              <w:t>废气</w:t>
            </w:r>
          </w:p>
        </w:tc>
        <w:tc>
          <w:tcPr>
            <w:tcW w:w="1603" w:type="dxa"/>
            <w:vAlign w:val="center"/>
          </w:tcPr>
          <w:p>
            <w:pPr>
              <w:pStyle w:val="7"/>
              <w:spacing w:line="240" w:lineRule="auto"/>
              <w:ind w:firstLine="0" w:firstLineChars="0"/>
              <w:jc w:val="center"/>
              <w:rPr>
                <w:rFonts w:ascii="Times New Roman" w:hAnsi="Times New Roman" w:cs="Times New Roman"/>
                <w:snapToGrid w:val="0"/>
                <w:color w:val="auto"/>
                <w:kern w:val="21"/>
                <w:highlight w:val="none"/>
              </w:rPr>
            </w:pPr>
            <w:r>
              <w:rPr>
                <w:rFonts w:hint="default" w:ascii="Times New Roman" w:hAnsi="Times New Roman" w:eastAsia="宋体" w:cs="Times New Roman"/>
                <w:color w:val="auto"/>
                <w:sz w:val="21"/>
                <w:szCs w:val="21"/>
                <w:highlight w:val="none"/>
                <w:lang w:eastAsia="zh-CN"/>
              </w:rPr>
              <w:t>颗粒物</w:t>
            </w:r>
          </w:p>
        </w:tc>
        <w:tc>
          <w:tcPr>
            <w:tcW w:w="1701" w:type="dxa"/>
            <w:vAlign w:val="center"/>
          </w:tcPr>
          <w:p>
            <w:pPr>
              <w:pStyle w:val="7"/>
              <w:spacing w:line="240" w:lineRule="auto"/>
              <w:ind w:firstLine="0" w:firstLineChars="0"/>
              <w:jc w:val="center"/>
              <w:rPr>
                <w:rFonts w:hint="default" w:eastAsiaTheme="minorEastAsia"/>
                <w:color w:val="auto"/>
                <w:sz w:val="21"/>
                <w:szCs w:val="21"/>
                <w:highlight w:val="none"/>
                <w:lang w:val="en-US" w:eastAsia="zh-CN"/>
              </w:rPr>
            </w:pPr>
            <w:r>
              <w:rPr>
                <w:rFonts w:hint="eastAsia" w:cs="Times New Roman"/>
                <w:color w:val="auto"/>
                <w:sz w:val="21"/>
                <w:szCs w:val="21"/>
                <w:highlight w:val="none"/>
                <w:lang w:val="en-US" w:eastAsia="zh-CN"/>
              </w:rPr>
              <w:t>3.283</w:t>
            </w:r>
            <w:r>
              <w:rPr>
                <w:rFonts w:hint="eastAsia" w:ascii="Times New Roman" w:hAnsi="Times New Roman" w:eastAsia="宋体" w:cs="Times New Roman"/>
                <w:color w:val="auto"/>
                <w:sz w:val="21"/>
                <w:szCs w:val="21"/>
                <w:highlight w:val="none"/>
                <w:lang w:val="en-US" w:eastAsia="zh-CN"/>
              </w:rPr>
              <w:t xml:space="preserve"> t/a</w:t>
            </w:r>
          </w:p>
        </w:tc>
        <w:tc>
          <w:tcPr>
            <w:tcW w:w="1295" w:type="dxa"/>
            <w:vAlign w:val="center"/>
          </w:tcPr>
          <w:p>
            <w:pPr>
              <w:adjustRightInd w:val="0"/>
              <w:snapToGrid w:val="0"/>
              <w:spacing w:line="240" w:lineRule="auto"/>
              <w:ind w:firstLine="0" w:firstLineChars="0"/>
              <w:jc w:val="center"/>
              <w:rPr>
                <w:rFonts w:ascii="Times New Roman" w:hAnsi="Times New Roman" w:eastAsia="宋体" w:cs="Times New Roman"/>
                <w:snapToGrid w:val="0"/>
                <w:color w:val="auto"/>
                <w:kern w:val="21"/>
                <w:sz w:val="21"/>
                <w:szCs w:val="21"/>
                <w:highlight w:val="none"/>
              </w:rPr>
            </w:pPr>
            <w:r>
              <w:rPr>
                <w:rFonts w:hint="eastAsia" w:ascii="Times New Roman" w:hAnsi="Times New Roman" w:cs="Times New Roman"/>
                <w:snapToGrid w:val="0"/>
                <w:color w:val="auto"/>
                <w:kern w:val="21"/>
                <w:sz w:val="21"/>
                <w:szCs w:val="21"/>
                <w:highlight w:val="none"/>
              </w:rPr>
              <w:t>/</w:t>
            </w:r>
          </w:p>
        </w:tc>
        <w:tc>
          <w:tcPr>
            <w:tcW w:w="1682" w:type="dxa"/>
            <w:vAlign w:val="center"/>
          </w:tcPr>
          <w:p>
            <w:pPr>
              <w:adjustRightInd w:val="0"/>
              <w:snapToGrid w:val="0"/>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ascii="Times New Roman" w:hAnsi="Times New Roman" w:cs="Times New Roman"/>
                <w:snapToGrid w:val="0"/>
                <w:color w:val="auto"/>
                <w:kern w:val="21"/>
                <w:sz w:val="21"/>
                <w:szCs w:val="21"/>
                <w:highlight w:val="none"/>
              </w:rPr>
              <w:t>/</w:t>
            </w:r>
          </w:p>
        </w:tc>
        <w:tc>
          <w:tcPr>
            <w:tcW w:w="1559" w:type="dxa"/>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cs="Times New Roman"/>
                <w:color w:val="auto"/>
                <w:sz w:val="21"/>
                <w:szCs w:val="21"/>
                <w:highlight w:val="none"/>
                <w:lang w:val="en-US" w:eastAsia="zh-CN"/>
              </w:rPr>
              <w:t>0.129</w:t>
            </w:r>
            <w:r>
              <w:rPr>
                <w:rFonts w:hint="eastAsia" w:ascii="Times New Roman" w:hAnsi="Times New Roman" w:eastAsia="宋体" w:cs="Times New Roman"/>
                <w:color w:val="auto"/>
                <w:sz w:val="21"/>
                <w:szCs w:val="21"/>
                <w:highlight w:val="none"/>
                <w:lang w:val="en-US" w:eastAsia="zh-CN"/>
              </w:rPr>
              <w:t>t/a</w:t>
            </w:r>
          </w:p>
        </w:tc>
        <w:tc>
          <w:tcPr>
            <w:tcW w:w="1463" w:type="dxa"/>
            <w:vAlign w:val="center"/>
          </w:tcPr>
          <w:p>
            <w:pPr>
              <w:keepNext w:val="0"/>
              <w:keepLines w:val="0"/>
              <w:widowControl/>
              <w:suppressLineNumbers w:val="0"/>
              <w:ind w:left="0" w:leftChars="0" w:firstLine="0" w:firstLineChars="0"/>
              <w:jc w:val="center"/>
              <w:textAlignment w:val="center"/>
              <w:rPr>
                <w:rFonts w:ascii="Times New Roman" w:hAnsi="Times New Roman" w:eastAsia="宋体" w:cs="Times New Roman"/>
                <w:snapToGrid w:val="0"/>
                <w:color w:val="auto"/>
                <w:kern w:val="21"/>
                <w:sz w:val="21"/>
                <w:szCs w:val="21"/>
                <w:highlight w:val="none"/>
                <w:lang w:val="en-US" w:eastAsia="zh-CN" w:bidi="ar-SA"/>
              </w:rPr>
            </w:pPr>
            <w:r>
              <w:rPr>
                <w:rFonts w:hint="eastAsia" w:cs="Times New Roman"/>
                <w:color w:val="auto"/>
                <w:sz w:val="21"/>
                <w:szCs w:val="21"/>
                <w:highlight w:val="none"/>
                <w:lang w:val="en-US" w:eastAsia="zh-CN"/>
              </w:rPr>
              <w:t>3.154</w:t>
            </w:r>
            <w:r>
              <w:rPr>
                <w:rFonts w:hint="eastAsia" w:ascii="Times New Roman" w:hAnsi="Times New Roman" w:eastAsia="宋体" w:cs="Times New Roman"/>
                <w:color w:val="auto"/>
                <w:sz w:val="21"/>
                <w:szCs w:val="21"/>
                <w:highlight w:val="none"/>
                <w:lang w:val="en-US" w:eastAsia="zh-CN"/>
              </w:rPr>
              <w:t>t/a</w:t>
            </w:r>
          </w:p>
        </w:tc>
        <w:tc>
          <w:tcPr>
            <w:tcW w:w="1692"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eastAsia" w:cs="Times New Roman"/>
                <w:color w:val="auto"/>
                <w:sz w:val="21"/>
                <w:szCs w:val="21"/>
                <w:highlight w:val="none"/>
                <w:lang w:val="en-US" w:eastAsia="zh-CN"/>
              </w:rPr>
              <w:t>0.129</w:t>
            </w:r>
            <w:r>
              <w:rPr>
                <w:rFonts w:hint="eastAsia" w:ascii="Times New Roman" w:hAnsi="Times New Roman" w:eastAsia="宋体" w:cs="Times New Roman"/>
                <w:color w:val="auto"/>
                <w:sz w:val="21"/>
                <w:szCs w:val="21"/>
                <w:highlight w:val="none"/>
                <w:lang w:val="en-US" w:eastAsia="zh-CN"/>
              </w:rPr>
              <w:t>t/a</w:t>
            </w:r>
          </w:p>
        </w:tc>
        <w:tc>
          <w:tcPr>
            <w:tcW w:w="1391"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eastAsia" w:cs="Times New Roman"/>
                <w:color w:val="auto"/>
                <w:sz w:val="21"/>
                <w:szCs w:val="21"/>
                <w:highlight w:val="none"/>
                <w:lang w:val="en-US" w:eastAsia="zh-CN"/>
              </w:rPr>
              <w:t>-3.154</w:t>
            </w:r>
            <w:r>
              <w:rPr>
                <w:rFonts w:hint="eastAsia" w:ascii="Times New Roman" w:hAnsi="Times New Roman" w:eastAsia="宋体"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2" w:type="dxa"/>
            <w:vMerge w:val="continue"/>
            <w:vAlign w:val="center"/>
          </w:tcPr>
          <w:p>
            <w:pPr>
              <w:pStyle w:val="25"/>
              <w:rPr>
                <w:rFonts w:ascii="Times New Roman" w:hAnsi="Times New Roman" w:cs="Times New Roman"/>
                <w:b/>
                <w:bCs/>
                <w:snapToGrid w:val="0"/>
                <w:color w:val="auto"/>
                <w:kern w:val="21"/>
                <w:highlight w:val="none"/>
              </w:rPr>
            </w:pPr>
          </w:p>
        </w:tc>
        <w:tc>
          <w:tcPr>
            <w:tcW w:w="1603" w:type="dxa"/>
            <w:vAlign w:val="center"/>
          </w:tcPr>
          <w:p>
            <w:pPr>
              <w:pStyle w:val="7"/>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二氧化硫</w:t>
            </w:r>
          </w:p>
        </w:tc>
        <w:tc>
          <w:tcPr>
            <w:tcW w:w="1701" w:type="dxa"/>
            <w:vAlign w:val="center"/>
          </w:tcPr>
          <w:p>
            <w:pPr>
              <w:pStyle w:val="7"/>
              <w:spacing w:line="240" w:lineRule="auto"/>
              <w:ind w:firstLine="0" w:firstLineChars="0"/>
              <w:jc w:val="center"/>
              <w:rPr>
                <w:rFonts w:hint="eastAsia"/>
                <w:color w:val="auto"/>
                <w:sz w:val="21"/>
                <w:szCs w:val="21"/>
                <w:highlight w:val="none"/>
                <w:lang w:val="en-US" w:eastAsia="zh-CN"/>
              </w:rPr>
            </w:pPr>
            <w:r>
              <w:rPr>
                <w:rFonts w:hint="eastAsia" w:cs="Times New Roman"/>
                <w:color w:val="auto"/>
                <w:sz w:val="21"/>
                <w:szCs w:val="21"/>
                <w:highlight w:val="none"/>
                <w:lang w:val="en-US" w:eastAsia="zh-CN"/>
              </w:rPr>
              <w:t>12.096</w:t>
            </w:r>
            <w:r>
              <w:rPr>
                <w:rFonts w:hint="eastAsia" w:ascii="Times New Roman" w:hAnsi="Times New Roman" w:eastAsia="宋体" w:cs="Times New Roman"/>
                <w:color w:val="auto"/>
                <w:sz w:val="21"/>
                <w:szCs w:val="21"/>
                <w:highlight w:val="none"/>
                <w:lang w:val="en-US" w:eastAsia="zh-CN"/>
              </w:rPr>
              <w:t>t/a</w:t>
            </w:r>
          </w:p>
        </w:tc>
        <w:tc>
          <w:tcPr>
            <w:tcW w:w="1295" w:type="dxa"/>
            <w:vAlign w:val="center"/>
          </w:tcPr>
          <w:p>
            <w:pPr>
              <w:adjustRightInd w:val="0"/>
              <w:snapToGrid w:val="0"/>
              <w:spacing w:line="240" w:lineRule="auto"/>
              <w:ind w:firstLine="0" w:firstLineChars="0"/>
              <w:jc w:val="center"/>
              <w:rPr>
                <w:rFonts w:hint="eastAsia" w:ascii="Times New Roman" w:hAnsi="Times New Roman" w:cs="Times New Roman"/>
                <w:snapToGrid w:val="0"/>
                <w:color w:val="auto"/>
                <w:kern w:val="21"/>
                <w:sz w:val="21"/>
                <w:szCs w:val="21"/>
                <w:highlight w:val="none"/>
              </w:rPr>
            </w:pPr>
            <w:r>
              <w:rPr>
                <w:rFonts w:hint="eastAsia" w:ascii="Times New Roman" w:hAnsi="Times New Roman" w:cs="Times New Roman"/>
                <w:snapToGrid w:val="0"/>
                <w:color w:val="auto"/>
                <w:kern w:val="21"/>
                <w:sz w:val="21"/>
                <w:szCs w:val="21"/>
                <w:highlight w:val="none"/>
              </w:rPr>
              <w:t>/</w:t>
            </w:r>
          </w:p>
        </w:tc>
        <w:tc>
          <w:tcPr>
            <w:tcW w:w="1682"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highlight w:val="none"/>
                <w:lang w:val="en-US" w:eastAsia="zh-CN"/>
              </w:rPr>
            </w:pPr>
            <w:r>
              <w:rPr>
                <w:rFonts w:hint="eastAsia" w:ascii="Times New Roman" w:hAnsi="Times New Roman" w:cs="Times New Roman"/>
                <w:snapToGrid w:val="0"/>
                <w:color w:val="auto"/>
                <w:kern w:val="21"/>
                <w:sz w:val="21"/>
                <w:szCs w:val="21"/>
                <w:highlight w:val="none"/>
              </w:rPr>
              <w:t>/</w:t>
            </w:r>
          </w:p>
        </w:tc>
        <w:tc>
          <w:tcPr>
            <w:tcW w:w="1559"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1.313</w:t>
            </w:r>
            <w:r>
              <w:rPr>
                <w:rFonts w:hint="eastAsia" w:ascii="Times New Roman" w:hAnsi="Times New Roman" w:eastAsia="宋体" w:cs="Times New Roman"/>
                <w:color w:val="auto"/>
                <w:sz w:val="21"/>
                <w:szCs w:val="21"/>
                <w:highlight w:val="none"/>
                <w:lang w:val="en-US" w:eastAsia="zh-CN"/>
              </w:rPr>
              <w:t>t/a</w:t>
            </w:r>
          </w:p>
        </w:tc>
        <w:tc>
          <w:tcPr>
            <w:tcW w:w="1463" w:type="dxa"/>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10.783</w:t>
            </w:r>
            <w:r>
              <w:rPr>
                <w:rFonts w:hint="eastAsia" w:ascii="Times New Roman" w:hAnsi="Times New Roman" w:eastAsia="宋体" w:cs="Times New Roman"/>
                <w:color w:val="auto"/>
                <w:sz w:val="21"/>
                <w:szCs w:val="21"/>
                <w:highlight w:val="none"/>
                <w:lang w:val="en-US" w:eastAsia="zh-CN"/>
              </w:rPr>
              <w:t>t/a</w:t>
            </w:r>
          </w:p>
        </w:tc>
        <w:tc>
          <w:tcPr>
            <w:tcW w:w="1692"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1.313</w:t>
            </w:r>
            <w:r>
              <w:rPr>
                <w:rFonts w:hint="eastAsia" w:ascii="Times New Roman" w:hAnsi="Times New Roman" w:eastAsia="宋体" w:cs="Times New Roman"/>
                <w:color w:val="auto"/>
                <w:sz w:val="21"/>
                <w:szCs w:val="21"/>
                <w:highlight w:val="none"/>
                <w:lang w:val="en-US" w:eastAsia="zh-CN"/>
              </w:rPr>
              <w:t>t/a</w:t>
            </w:r>
          </w:p>
        </w:tc>
        <w:tc>
          <w:tcPr>
            <w:tcW w:w="1391"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-10.783</w:t>
            </w:r>
            <w:r>
              <w:rPr>
                <w:rFonts w:hint="eastAsia" w:ascii="Times New Roman" w:hAnsi="Times New Roman" w:eastAsia="宋体"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02" w:type="dxa"/>
            <w:vMerge w:val="continue"/>
            <w:vAlign w:val="center"/>
          </w:tcPr>
          <w:p>
            <w:pPr>
              <w:pStyle w:val="25"/>
              <w:rPr>
                <w:rFonts w:ascii="Times New Roman" w:hAnsi="Times New Roman" w:cs="Times New Roman"/>
                <w:b/>
                <w:bCs/>
                <w:snapToGrid w:val="0"/>
                <w:color w:val="auto"/>
                <w:kern w:val="21"/>
                <w:highlight w:val="none"/>
              </w:rPr>
            </w:pPr>
          </w:p>
        </w:tc>
        <w:tc>
          <w:tcPr>
            <w:tcW w:w="1603" w:type="dxa"/>
            <w:vAlign w:val="center"/>
          </w:tcPr>
          <w:p>
            <w:pPr>
              <w:pStyle w:val="7"/>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氮氧化物</w:t>
            </w:r>
          </w:p>
        </w:tc>
        <w:tc>
          <w:tcPr>
            <w:tcW w:w="1701" w:type="dxa"/>
            <w:vAlign w:val="center"/>
          </w:tcPr>
          <w:p>
            <w:pPr>
              <w:pStyle w:val="7"/>
              <w:spacing w:line="240" w:lineRule="auto"/>
              <w:ind w:firstLine="0" w:firstLineChars="0"/>
              <w:jc w:val="center"/>
              <w:rPr>
                <w:rFonts w:hint="eastAsia"/>
                <w:color w:val="auto"/>
                <w:sz w:val="21"/>
                <w:szCs w:val="21"/>
                <w:highlight w:val="none"/>
                <w:lang w:val="en-US" w:eastAsia="zh-CN"/>
              </w:rPr>
            </w:pPr>
            <w:r>
              <w:rPr>
                <w:rFonts w:hint="eastAsia" w:cs="Times New Roman"/>
                <w:color w:val="auto"/>
                <w:sz w:val="21"/>
                <w:szCs w:val="21"/>
                <w:highlight w:val="none"/>
                <w:lang w:val="en-US" w:eastAsia="zh-CN"/>
              </w:rPr>
              <w:t>12.960</w:t>
            </w:r>
            <w:r>
              <w:rPr>
                <w:rFonts w:hint="eastAsia" w:ascii="Times New Roman" w:hAnsi="Times New Roman" w:eastAsia="宋体" w:cs="Times New Roman"/>
                <w:color w:val="auto"/>
                <w:sz w:val="21"/>
                <w:szCs w:val="21"/>
                <w:highlight w:val="none"/>
                <w:lang w:val="en-US" w:eastAsia="zh-CN"/>
              </w:rPr>
              <w:t>t/a</w:t>
            </w:r>
          </w:p>
        </w:tc>
        <w:tc>
          <w:tcPr>
            <w:tcW w:w="1295" w:type="dxa"/>
            <w:vAlign w:val="center"/>
          </w:tcPr>
          <w:p>
            <w:pPr>
              <w:adjustRightInd w:val="0"/>
              <w:snapToGrid w:val="0"/>
              <w:spacing w:line="240" w:lineRule="auto"/>
              <w:ind w:firstLine="0" w:firstLineChars="0"/>
              <w:jc w:val="center"/>
              <w:rPr>
                <w:rFonts w:hint="eastAsia" w:ascii="Times New Roman" w:hAnsi="Times New Roman" w:cs="Times New Roman"/>
                <w:snapToGrid w:val="0"/>
                <w:color w:val="auto"/>
                <w:kern w:val="21"/>
                <w:sz w:val="21"/>
                <w:szCs w:val="21"/>
                <w:highlight w:val="none"/>
              </w:rPr>
            </w:pPr>
            <w:r>
              <w:rPr>
                <w:rFonts w:hint="eastAsia" w:ascii="Times New Roman" w:hAnsi="Times New Roman" w:cs="Times New Roman"/>
                <w:snapToGrid w:val="0"/>
                <w:color w:val="auto"/>
                <w:kern w:val="21"/>
                <w:sz w:val="21"/>
                <w:szCs w:val="21"/>
                <w:highlight w:val="none"/>
              </w:rPr>
              <w:t>/</w:t>
            </w:r>
          </w:p>
        </w:tc>
        <w:tc>
          <w:tcPr>
            <w:tcW w:w="1682"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highlight w:val="none"/>
                <w:lang w:val="en-US" w:eastAsia="zh-CN"/>
              </w:rPr>
            </w:pPr>
            <w:r>
              <w:rPr>
                <w:rFonts w:hint="eastAsia" w:ascii="Times New Roman" w:hAnsi="Times New Roman" w:cs="Times New Roman"/>
                <w:snapToGrid w:val="0"/>
                <w:color w:val="auto"/>
                <w:kern w:val="21"/>
                <w:sz w:val="21"/>
                <w:szCs w:val="21"/>
                <w:highlight w:val="none"/>
              </w:rPr>
              <w:t>/</w:t>
            </w:r>
          </w:p>
        </w:tc>
        <w:tc>
          <w:tcPr>
            <w:tcW w:w="1559"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2.625</w:t>
            </w:r>
            <w:r>
              <w:rPr>
                <w:rFonts w:hint="eastAsia" w:ascii="Times New Roman" w:hAnsi="Times New Roman" w:eastAsia="宋体" w:cs="Times New Roman"/>
                <w:color w:val="auto"/>
                <w:sz w:val="21"/>
                <w:szCs w:val="21"/>
                <w:highlight w:val="none"/>
                <w:lang w:val="en-US" w:eastAsia="zh-CN"/>
              </w:rPr>
              <w:t>t/a</w:t>
            </w:r>
          </w:p>
        </w:tc>
        <w:tc>
          <w:tcPr>
            <w:tcW w:w="1463" w:type="dxa"/>
            <w:vAlign w:val="center"/>
          </w:tcPr>
          <w:p>
            <w:pPr>
              <w:pStyle w:val="7"/>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10.335</w:t>
            </w:r>
            <w:r>
              <w:rPr>
                <w:rFonts w:hint="eastAsia" w:ascii="Times New Roman" w:hAnsi="Times New Roman" w:eastAsia="宋体" w:cs="Times New Roman"/>
                <w:color w:val="auto"/>
                <w:sz w:val="21"/>
                <w:szCs w:val="21"/>
                <w:highlight w:val="none"/>
                <w:lang w:val="en-US" w:eastAsia="zh-CN"/>
              </w:rPr>
              <w:t>t/a</w:t>
            </w:r>
          </w:p>
        </w:tc>
        <w:tc>
          <w:tcPr>
            <w:tcW w:w="1692"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2.625</w:t>
            </w:r>
            <w:r>
              <w:rPr>
                <w:rFonts w:hint="eastAsia" w:ascii="Times New Roman" w:hAnsi="Times New Roman" w:eastAsia="宋体" w:cs="Times New Roman"/>
                <w:color w:val="auto"/>
                <w:sz w:val="21"/>
                <w:szCs w:val="21"/>
                <w:highlight w:val="none"/>
                <w:lang w:val="en-US" w:eastAsia="zh-CN"/>
              </w:rPr>
              <w:t>t/a</w:t>
            </w:r>
          </w:p>
        </w:tc>
        <w:tc>
          <w:tcPr>
            <w:tcW w:w="1391" w:type="dxa"/>
            <w:vAlign w:val="center"/>
          </w:tcPr>
          <w:p>
            <w:pPr>
              <w:pStyle w:val="7"/>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-10.335</w:t>
            </w:r>
            <w:r>
              <w:rPr>
                <w:rFonts w:hint="eastAsia" w:ascii="Times New Roman" w:hAnsi="Times New Roman" w:eastAsia="宋体"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02" w:type="dxa"/>
            <w:vMerge w:val="continue"/>
            <w:vAlign w:val="center"/>
          </w:tcPr>
          <w:p>
            <w:pPr>
              <w:pStyle w:val="25"/>
              <w:rPr>
                <w:rFonts w:ascii="Times New Roman" w:hAnsi="Times New Roman" w:cs="Times New Roman"/>
                <w:b/>
                <w:bCs/>
                <w:snapToGrid w:val="0"/>
                <w:color w:val="auto"/>
                <w:kern w:val="21"/>
                <w:highlight w:val="none"/>
              </w:rPr>
            </w:pPr>
          </w:p>
        </w:tc>
        <w:tc>
          <w:tcPr>
            <w:tcW w:w="1603" w:type="dxa"/>
            <w:vAlign w:val="center"/>
          </w:tcPr>
          <w:p>
            <w:pPr>
              <w:pStyle w:val="7"/>
              <w:spacing w:line="240" w:lineRule="auto"/>
              <w:ind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汞及其化合物</w:t>
            </w:r>
          </w:p>
        </w:tc>
        <w:tc>
          <w:tcPr>
            <w:tcW w:w="1701" w:type="dxa"/>
            <w:vAlign w:val="center"/>
          </w:tcPr>
          <w:p>
            <w:pPr>
              <w:pStyle w:val="7"/>
              <w:spacing w:line="240" w:lineRule="auto"/>
              <w:ind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0.00025</w:t>
            </w:r>
            <w:r>
              <w:rPr>
                <w:rFonts w:hint="eastAsia" w:ascii="Times New Roman" w:hAnsi="Times New Roman" w:eastAsia="宋体" w:cs="Times New Roman"/>
                <w:color w:val="auto"/>
                <w:sz w:val="21"/>
                <w:szCs w:val="21"/>
                <w:highlight w:val="none"/>
                <w:lang w:val="en-US" w:eastAsia="zh-CN"/>
              </w:rPr>
              <w:t>t/a</w:t>
            </w:r>
          </w:p>
        </w:tc>
        <w:tc>
          <w:tcPr>
            <w:tcW w:w="1295"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cs="Times New Roman"/>
                <w:snapToGrid w:val="0"/>
                <w:color w:val="auto"/>
                <w:kern w:val="21"/>
                <w:sz w:val="21"/>
                <w:szCs w:val="21"/>
                <w:highlight w:val="none"/>
              </w:rPr>
              <w:t>/</w:t>
            </w:r>
          </w:p>
        </w:tc>
        <w:tc>
          <w:tcPr>
            <w:tcW w:w="1682"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cs="Times New Roman"/>
                <w:snapToGrid w:val="0"/>
                <w:color w:val="auto"/>
                <w:kern w:val="21"/>
                <w:sz w:val="21"/>
                <w:szCs w:val="21"/>
                <w:highlight w:val="none"/>
              </w:rPr>
              <w:t>/</w:t>
            </w:r>
          </w:p>
        </w:tc>
        <w:tc>
          <w:tcPr>
            <w:tcW w:w="1559" w:type="dxa"/>
            <w:vAlign w:val="center"/>
          </w:tcPr>
          <w:p>
            <w:pPr>
              <w:keepNext w:val="0"/>
              <w:keepLines w:val="0"/>
              <w:widowControl/>
              <w:suppressLineNumbers w:val="0"/>
              <w:ind w:left="0" w:leftChars="0" w:firstLine="0" w:firstLineChars="0"/>
              <w:jc w:val="center"/>
              <w:textAlignment w:val="center"/>
              <w:rPr>
                <w:rFonts w:hint="default"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0.000009</w:t>
            </w:r>
            <w:r>
              <w:rPr>
                <w:rFonts w:hint="eastAsia" w:ascii="Times New Roman" w:hAnsi="Times New Roman" w:eastAsia="宋体" w:cs="Times New Roman"/>
                <w:color w:val="auto"/>
                <w:sz w:val="21"/>
                <w:szCs w:val="21"/>
                <w:highlight w:val="none"/>
                <w:lang w:val="en-US" w:eastAsia="zh-CN"/>
              </w:rPr>
              <w:t>t/a</w:t>
            </w:r>
          </w:p>
        </w:tc>
        <w:tc>
          <w:tcPr>
            <w:tcW w:w="1463" w:type="dxa"/>
            <w:vAlign w:val="center"/>
          </w:tcPr>
          <w:p>
            <w:pPr>
              <w:pStyle w:val="7"/>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0.000241</w:t>
            </w:r>
            <w:r>
              <w:rPr>
                <w:rFonts w:hint="eastAsia" w:ascii="Times New Roman" w:hAnsi="Times New Roman" w:eastAsia="宋体" w:cs="Times New Roman"/>
                <w:color w:val="auto"/>
                <w:sz w:val="21"/>
                <w:szCs w:val="21"/>
                <w:highlight w:val="none"/>
                <w:lang w:val="en-US" w:eastAsia="zh-CN"/>
              </w:rPr>
              <w:t>t/a</w:t>
            </w:r>
          </w:p>
        </w:tc>
        <w:tc>
          <w:tcPr>
            <w:tcW w:w="1692" w:type="dxa"/>
            <w:vAlign w:val="center"/>
          </w:tcPr>
          <w:p>
            <w:pPr>
              <w:keepNext w:val="0"/>
              <w:keepLines w:val="0"/>
              <w:widowControl/>
              <w:suppressLineNumbers w:val="0"/>
              <w:ind w:left="0" w:leftChars="0" w:firstLine="0" w:firstLineChars="0"/>
              <w:jc w:val="center"/>
              <w:textAlignment w:val="center"/>
              <w:rPr>
                <w:rFonts w:hint="default"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0.000009</w:t>
            </w:r>
            <w:r>
              <w:rPr>
                <w:rFonts w:hint="eastAsia" w:ascii="Times New Roman" w:hAnsi="Times New Roman" w:eastAsia="宋体" w:cs="Times New Roman"/>
                <w:color w:val="auto"/>
                <w:sz w:val="21"/>
                <w:szCs w:val="21"/>
                <w:highlight w:val="none"/>
                <w:lang w:val="en-US" w:eastAsia="zh-CN"/>
              </w:rPr>
              <w:t>t/a</w:t>
            </w:r>
          </w:p>
        </w:tc>
        <w:tc>
          <w:tcPr>
            <w:tcW w:w="1391" w:type="dxa"/>
            <w:vAlign w:val="center"/>
          </w:tcPr>
          <w:p>
            <w:pPr>
              <w:pStyle w:val="7"/>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-0.000241</w:t>
            </w:r>
            <w:r>
              <w:rPr>
                <w:rFonts w:hint="eastAsia" w:ascii="Times New Roman" w:hAnsi="Times New Roman" w:eastAsia="宋体"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02" w:type="dxa"/>
            <w:vAlign w:val="center"/>
          </w:tcPr>
          <w:p>
            <w:pPr>
              <w:pStyle w:val="25"/>
              <w:rPr>
                <w:rFonts w:hint="default" w:cs="Times New Roman"/>
                <w:b/>
                <w:bCs/>
                <w:snapToGrid w:val="0"/>
                <w:color w:val="auto"/>
                <w:kern w:val="21"/>
                <w:highlight w:val="none"/>
                <w:lang w:val="en-US" w:eastAsia="zh-CN"/>
              </w:rPr>
            </w:pPr>
            <w:r>
              <w:rPr>
                <w:rFonts w:hint="eastAsia" w:cs="Times New Roman"/>
                <w:b/>
                <w:bCs/>
                <w:snapToGrid w:val="0"/>
                <w:color w:val="auto"/>
                <w:kern w:val="21"/>
                <w:highlight w:val="none"/>
                <w:lang w:val="en-US" w:eastAsia="zh-CN"/>
              </w:rPr>
              <w:t>废水</w:t>
            </w:r>
          </w:p>
        </w:tc>
        <w:tc>
          <w:tcPr>
            <w:tcW w:w="1603"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snapToGrid w:val="0"/>
                <w:color w:val="auto"/>
                <w:kern w:val="21"/>
                <w:sz w:val="21"/>
                <w:szCs w:val="21"/>
                <w:highlight w:val="none"/>
              </w:rPr>
              <w:t>/</w:t>
            </w:r>
          </w:p>
        </w:tc>
        <w:tc>
          <w:tcPr>
            <w:tcW w:w="1701" w:type="dxa"/>
            <w:vAlign w:val="center"/>
          </w:tcPr>
          <w:p>
            <w:pPr>
              <w:pStyle w:val="7"/>
              <w:spacing w:line="240" w:lineRule="auto"/>
              <w:ind w:firstLine="0" w:firstLineChars="0"/>
              <w:jc w:val="center"/>
              <w:rPr>
                <w:rFonts w:hint="default"/>
                <w:color w:val="auto"/>
                <w:sz w:val="21"/>
                <w:szCs w:val="21"/>
                <w:highlight w:val="none"/>
                <w:lang w:val="en-US" w:eastAsia="zh-CN"/>
              </w:rPr>
            </w:pPr>
            <w:r>
              <w:rPr>
                <w:rFonts w:hint="eastAsia" w:ascii="Times New Roman" w:hAnsi="Times New Roman" w:cs="Times New Roman"/>
                <w:snapToGrid w:val="0"/>
                <w:color w:val="auto"/>
                <w:kern w:val="21"/>
                <w:sz w:val="21"/>
                <w:szCs w:val="21"/>
                <w:highlight w:val="none"/>
              </w:rPr>
              <w:t>/</w:t>
            </w:r>
          </w:p>
        </w:tc>
        <w:tc>
          <w:tcPr>
            <w:tcW w:w="1295" w:type="dxa"/>
            <w:vAlign w:val="center"/>
          </w:tcPr>
          <w:p>
            <w:pPr>
              <w:adjustRightInd w:val="0"/>
              <w:snapToGrid w:val="0"/>
              <w:spacing w:line="240" w:lineRule="auto"/>
              <w:ind w:firstLine="0" w:firstLineChars="0"/>
              <w:jc w:val="center"/>
              <w:rPr>
                <w:rFonts w:hint="eastAsia" w:ascii="Times New Roman" w:hAnsi="Times New Roman" w:cs="Times New Roman"/>
                <w:snapToGrid w:val="0"/>
                <w:color w:val="auto"/>
                <w:kern w:val="21"/>
                <w:sz w:val="21"/>
                <w:szCs w:val="21"/>
                <w:highlight w:val="none"/>
              </w:rPr>
            </w:pPr>
            <w:r>
              <w:rPr>
                <w:rFonts w:hint="eastAsia" w:ascii="Times New Roman" w:hAnsi="Times New Roman" w:cs="Times New Roman"/>
                <w:snapToGrid w:val="0"/>
                <w:color w:val="auto"/>
                <w:kern w:val="21"/>
                <w:sz w:val="21"/>
                <w:szCs w:val="21"/>
                <w:highlight w:val="none"/>
              </w:rPr>
              <w:t>/</w:t>
            </w:r>
          </w:p>
        </w:tc>
        <w:tc>
          <w:tcPr>
            <w:tcW w:w="1682"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cs="Times New Roman"/>
                <w:snapToGrid w:val="0"/>
                <w:color w:val="auto"/>
                <w:kern w:val="21"/>
                <w:sz w:val="21"/>
                <w:szCs w:val="21"/>
                <w:highlight w:val="none"/>
              </w:rPr>
              <w:t>/</w:t>
            </w:r>
          </w:p>
        </w:tc>
        <w:tc>
          <w:tcPr>
            <w:tcW w:w="1559" w:type="dxa"/>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snapToGrid w:val="0"/>
                <w:color w:val="auto"/>
                <w:kern w:val="21"/>
                <w:sz w:val="21"/>
                <w:szCs w:val="21"/>
                <w:highlight w:val="none"/>
              </w:rPr>
              <w:t>/</w:t>
            </w:r>
          </w:p>
        </w:tc>
        <w:tc>
          <w:tcPr>
            <w:tcW w:w="1463" w:type="dxa"/>
            <w:vAlign w:val="center"/>
          </w:tcPr>
          <w:p>
            <w:pPr>
              <w:pStyle w:val="7"/>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snapToGrid w:val="0"/>
                <w:color w:val="auto"/>
                <w:kern w:val="21"/>
                <w:sz w:val="21"/>
                <w:szCs w:val="21"/>
                <w:highlight w:val="none"/>
              </w:rPr>
              <w:t>/</w:t>
            </w:r>
          </w:p>
        </w:tc>
        <w:tc>
          <w:tcPr>
            <w:tcW w:w="1692" w:type="dxa"/>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snapToGrid w:val="0"/>
                <w:color w:val="auto"/>
                <w:kern w:val="21"/>
                <w:sz w:val="21"/>
                <w:szCs w:val="21"/>
                <w:highlight w:val="none"/>
              </w:rPr>
              <w:t>/</w:t>
            </w:r>
          </w:p>
        </w:tc>
        <w:tc>
          <w:tcPr>
            <w:tcW w:w="1391" w:type="dxa"/>
            <w:vAlign w:val="center"/>
          </w:tcPr>
          <w:p>
            <w:pPr>
              <w:pStyle w:val="7"/>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snapToGrid w:val="0"/>
                <w:color w:val="auto"/>
                <w:kern w:val="21"/>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02" w:type="dxa"/>
            <w:vMerge w:val="restart"/>
            <w:vAlign w:val="center"/>
          </w:tcPr>
          <w:p>
            <w:pPr>
              <w:pStyle w:val="25"/>
              <w:rPr>
                <w:rFonts w:ascii="Times New Roman" w:hAnsi="Times New Roman" w:cs="Times New Roman"/>
                <w:b/>
                <w:bCs/>
                <w:snapToGrid w:val="0"/>
                <w:color w:val="auto"/>
                <w:kern w:val="21"/>
                <w:highlight w:val="none"/>
              </w:rPr>
            </w:pPr>
          </w:p>
          <w:p>
            <w:pPr>
              <w:pStyle w:val="25"/>
              <w:rPr>
                <w:rFonts w:ascii="Times New Roman" w:hAnsi="Times New Roman" w:cs="Times New Roman"/>
                <w:b/>
                <w:bCs/>
                <w:snapToGrid w:val="0"/>
                <w:color w:val="auto"/>
                <w:kern w:val="21"/>
                <w:highlight w:val="none"/>
              </w:rPr>
            </w:pPr>
            <w:r>
              <w:rPr>
                <w:rFonts w:ascii="Times New Roman" w:hAnsi="Times New Roman" w:cs="Times New Roman"/>
                <w:b/>
                <w:bCs/>
                <w:snapToGrid w:val="0"/>
                <w:color w:val="auto"/>
                <w:kern w:val="21"/>
                <w:highlight w:val="none"/>
              </w:rPr>
              <w:t>固体废物</w:t>
            </w:r>
          </w:p>
        </w:tc>
        <w:tc>
          <w:tcPr>
            <w:tcW w:w="1603" w:type="dxa"/>
            <w:vAlign w:val="center"/>
          </w:tcPr>
          <w:p>
            <w:pPr>
              <w:pStyle w:val="7"/>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除尘灰</w:t>
            </w:r>
          </w:p>
        </w:tc>
        <w:tc>
          <w:tcPr>
            <w:tcW w:w="1701" w:type="dxa"/>
            <w:vAlign w:val="center"/>
          </w:tcPr>
          <w:p>
            <w:pPr>
              <w:adjustRightInd w:val="0"/>
              <w:snapToGrid w:val="0"/>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cs="Times New Roman"/>
                <w:color w:val="auto"/>
                <w:sz w:val="21"/>
                <w:szCs w:val="21"/>
                <w:highlight w:val="none"/>
                <w:lang w:val="en-US" w:eastAsia="zh-CN"/>
              </w:rPr>
              <w:t>93.63</w:t>
            </w:r>
            <w:r>
              <w:rPr>
                <w:rFonts w:hint="eastAsia" w:ascii="Times New Roman" w:hAnsi="Times New Roman" w:eastAsia="宋体" w:cs="Times New Roman"/>
                <w:color w:val="auto"/>
                <w:sz w:val="21"/>
                <w:szCs w:val="21"/>
                <w:highlight w:val="none"/>
                <w:lang w:val="en-US" w:eastAsia="zh-CN"/>
              </w:rPr>
              <w:t>t/a</w:t>
            </w:r>
          </w:p>
        </w:tc>
        <w:tc>
          <w:tcPr>
            <w:tcW w:w="1295" w:type="dxa"/>
            <w:vAlign w:val="center"/>
          </w:tcPr>
          <w:p>
            <w:pPr>
              <w:adjustRightInd w:val="0"/>
              <w:snapToGrid w:val="0"/>
              <w:spacing w:line="240" w:lineRule="auto"/>
              <w:ind w:firstLine="0" w:firstLineChars="0"/>
              <w:jc w:val="center"/>
              <w:rPr>
                <w:rFonts w:ascii="Times New Roman" w:hAnsi="Times New Roman" w:cs="Times New Roman"/>
                <w:snapToGrid w:val="0"/>
                <w:color w:val="auto"/>
                <w:kern w:val="21"/>
                <w:sz w:val="21"/>
                <w:szCs w:val="21"/>
                <w:highlight w:val="none"/>
              </w:rPr>
            </w:pPr>
            <w:r>
              <w:rPr>
                <w:rFonts w:ascii="Times New Roman" w:hAnsi="Times New Roman" w:cs="Times New Roman"/>
                <w:snapToGrid w:val="0"/>
                <w:color w:val="auto"/>
                <w:kern w:val="21"/>
                <w:sz w:val="21"/>
                <w:szCs w:val="21"/>
                <w:highlight w:val="none"/>
              </w:rPr>
              <w:t>/</w:t>
            </w:r>
          </w:p>
        </w:tc>
        <w:tc>
          <w:tcPr>
            <w:tcW w:w="1682"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snapToGrid w:val="0"/>
                <w:color w:val="auto"/>
                <w:kern w:val="21"/>
                <w:sz w:val="21"/>
                <w:szCs w:val="21"/>
                <w:highlight w:val="none"/>
                <w:lang w:val="en-US" w:eastAsia="zh-CN"/>
              </w:rPr>
            </w:pPr>
            <w:r>
              <w:rPr>
                <w:rFonts w:hint="eastAsia" w:ascii="Times New Roman" w:hAnsi="Times New Roman" w:cs="Times New Roman"/>
                <w:snapToGrid w:val="0"/>
                <w:color w:val="auto"/>
                <w:kern w:val="21"/>
                <w:sz w:val="21"/>
                <w:szCs w:val="21"/>
                <w:highlight w:val="none"/>
              </w:rPr>
              <w:t>/</w:t>
            </w:r>
          </w:p>
        </w:tc>
        <w:tc>
          <w:tcPr>
            <w:tcW w:w="1559" w:type="dxa"/>
            <w:vAlign w:val="center"/>
          </w:tcPr>
          <w:p>
            <w:pPr>
              <w:pStyle w:val="7"/>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cs="Times New Roman"/>
                <w:color w:val="auto"/>
                <w:sz w:val="21"/>
                <w:szCs w:val="21"/>
                <w:highlight w:val="none"/>
                <w:lang w:val="en-US" w:eastAsia="zh-CN"/>
              </w:rPr>
              <w:t>1.158</w:t>
            </w:r>
            <w:r>
              <w:rPr>
                <w:rFonts w:hint="eastAsia" w:ascii="Times New Roman" w:hAnsi="Times New Roman" w:eastAsia="宋体" w:cs="Times New Roman"/>
                <w:color w:val="auto"/>
                <w:sz w:val="21"/>
                <w:szCs w:val="21"/>
                <w:highlight w:val="none"/>
                <w:lang w:val="en-US" w:eastAsia="zh-CN"/>
              </w:rPr>
              <w:t>t/a</w:t>
            </w:r>
          </w:p>
        </w:tc>
        <w:tc>
          <w:tcPr>
            <w:tcW w:w="1463" w:type="dxa"/>
            <w:vAlign w:val="center"/>
          </w:tcPr>
          <w:p>
            <w:pPr>
              <w:adjustRightInd w:val="0"/>
              <w:snapToGrid w:val="0"/>
              <w:spacing w:line="240" w:lineRule="auto"/>
              <w:ind w:firstLine="0" w:firstLineChars="0"/>
              <w:jc w:val="center"/>
              <w:rPr>
                <w:rFonts w:hint="eastAsia" w:ascii="Times New Roman" w:hAnsi="Times New Roman" w:cs="Times New Roman" w:eastAsiaTheme="minorEastAsia"/>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rPr>
              <w:t>92.472</w:t>
            </w:r>
            <w:r>
              <w:rPr>
                <w:rFonts w:hint="eastAsia" w:ascii="Times New Roman" w:hAnsi="Times New Roman" w:eastAsia="宋体" w:cs="Times New Roman"/>
                <w:color w:val="auto"/>
                <w:sz w:val="21"/>
                <w:szCs w:val="21"/>
                <w:highlight w:val="none"/>
                <w:lang w:val="en-US" w:eastAsia="zh-CN"/>
              </w:rPr>
              <w:t>/a</w:t>
            </w:r>
          </w:p>
        </w:tc>
        <w:tc>
          <w:tcPr>
            <w:tcW w:w="1692" w:type="dxa"/>
            <w:vAlign w:val="center"/>
          </w:tcPr>
          <w:p>
            <w:pPr>
              <w:pStyle w:val="7"/>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cs="Times New Roman"/>
                <w:color w:val="auto"/>
                <w:sz w:val="21"/>
                <w:szCs w:val="21"/>
                <w:highlight w:val="none"/>
                <w:lang w:val="en-US" w:eastAsia="zh-CN"/>
              </w:rPr>
              <w:t>1.158</w:t>
            </w:r>
            <w:r>
              <w:rPr>
                <w:rFonts w:hint="eastAsia" w:ascii="Times New Roman" w:hAnsi="Times New Roman" w:eastAsia="宋体" w:cs="Times New Roman"/>
                <w:color w:val="auto"/>
                <w:sz w:val="21"/>
                <w:szCs w:val="21"/>
                <w:highlight w:val="none"/>
                <w:lang w:val="en-US" w:eastAsia="zh-CN"/>
              </w:rPr>
              <w:t>t/a</w:t>
            </w:r>
          </w:p>
        </w:tc>
        <w:tc>
          <w:tcPr>
            <w:tcW w:w="1391"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-92.472</w:t>
            </w:r>
            <w:r>
              <w:rPr>
                <w:rFonts w:hint="eastAsia" w:ascii="Times New Roman" w:hAnsi="Times New Roman" w:eastAsia="宋体" w:cs="Times New Roman"/>
                <w:color w:val="auto"/>
                <w:sz w:val="21"/>
                <w:szCs w:val="21"/>
                <w:highlight w:val="none"/>
                <w:lang w:val="en-US" w:eastAsia="zh-CN"/>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1402" w:type="dxa"/>
            <w:vMerge w:val="continue"/>
            <w:vAlign w:val="center"/>
          </w:tcPr>
          <w:p>
            <w:pPr>
              <w:pStyle w:val="25"/>
              <w:rPr>
                <w:rFonts w:ascii="Times New Roman" w:hAnsi="Times New Roman" w:cs="Times New Roman"/>
                <w:b/>
                <w:bCs/>
                <w:snapToGrid w:val="0"/>
                <w:color w:val="auto"/>
                <w:kern w:val="21"/>
                <w:highlight w:val="none"/>
              </w:rPr>
            </w:pPr>
          </w:p>
        </w:tc>
        <w:tc>
          <w:tcPr>
            <w:tcW w:w="1603" w:type="dxa"/>
            <w:vAlign w:val="center"/>
          </w:tcPr>
          <w:p>
            <w:pPr>
              <w:pStyle w:val="7"/>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炉渣</w:t>
            </w:r>
          </w:p>
        </w:tc>
        <w:tc>
          <w:tcPr>
            <w:tcW w:w="1701" w:type="dxa"/>
            <w:vAlign w:val="center"/>
          </w:tcPr>
          <w:p>
            <w:pPr>
              <w:adjustRightInd w:val="0"/>
              <w:snapToGrid w:val="0"/>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42.24</w:t>
            </w:r>
            <w:r>
              <w:rPr>
                <w:rFonts w:hint="eastAsia" w:ascii="Times New Roman" w:hAnsi="Times New Roman" w:eastAsia="宋体" w:cs="Times New Roman"/>
                <w:color w:val="auto"/>
                <w:sz w:val="21"/>
                <w:szCs w:val="21"/>
                <w:highlight w:val="none"/>
                <w:lang w:val="en-US" w:eastAsia="zh-CN"/>
              </w:rPr>
              <w:t>t/a</w:t>
            </w:r>
          </w:p>
        </w:tc>
        <w:tc>
          <w:tcPr>
            <w:tcW w:w="1295" w:type="dxa"/>
            <w:vAlign w:val="center"/>
          </w:tcPr>
          <w:p>
            <w:pPr>
              <w:adjustRightInd w:val="0"/>
              <w:snapToGrid w:val="0"/>
              <w:spacing w:line="240" w:lineRule="auto"/>
              <w:ind w:firstLine="0" w:firstLineChars="0"/>
              <w:jc w:val="center"/>
              <w:rPr>
                <w:rFonts w:ascii="Times New Roman" w:hAnsi="Times New Roman" w:cs="Times New Roman"/>
                <w:snapToGrid w:val="0"/>
                <w:color w:val="auto"/>
                <w:kern w:val="21"/>
                <w:sz w:val="21"/>
                <w:szCs w:val="21"/>
                <w:highlight w:val="none"/>
              </w:rPr>
            </w:pPr>
            <w:r>
              <w:rPr>
                <w:rFonts w:hint="eastAsia" w:ascii="Times New Roman" w:hAnsi="Times New Roman" w:cs="Times New Roman"/>
                <w:snapToGrid w:val="0"/>
                <w:color w:val="auto"/>
                <w:kern w:val="21"/>
                <w:sz w:val="21"/>
                <w:szCs w:val="21"/>
                <w:highlight w:val="none"/>
              </w:rPr>
              <w:t>/</w:t>
            </w:r>
          </w:p>
        </w:tc>
        <w:tc>
          <w:tcPr>
            <w:tcW w:w="1682" w:type="dxa"/>
            <w:vAlign w:val="center"/>
          </w:tcPr>
          <w:p>
            <w:pPr>
              <w:adjustRightInd w:val="0"/>
              <w:snapToGrid w:val="0"/>
              <w:spacing w:line="240" w:lineRule="auto"/>
              <w:ind w:firstLine="0" w:firstLineChars="0"/>
              <w:jc w:val="center"/>
              <w:rPr>
                <w:rFonts w:ascii="Times New Roman" w:hAnsi="Times New Roman" w:cs="Times New Roman"/>
                <w:snapToGrid w:val="0"/>
                <w:color w:val="auto"/>
                <w:kern w:val="21"/>
                <w:sz w:val="21"/>
                <w:szCs w:val="21"/>
                <w:highlight w:val="none"/>
              </w:rPr>
            </w:pPr>
            <w:r>
              <w:rPr>
                <w:rFonts w:hint="eastAsia" w:ascii="Times New Roman" w:hAnsi="Times New Roman" w:cs="Times New Roman"/>
                <w:snapToGrid w:val="0"/>
                <w:color w:val="auto"/>
                <w:kern w:val="21"/>
                <w:sz w:val="21"/>
                <w:szCs w:val="21"/>
                <w:highlight w:val="none"/>
              </w:rPr>
              <w:t>/</w:t>
            </w:r>
          </w:p>
        </w:tc>
        <w:tc>
          <w:tcPr>
            <w:tcW w:w="1559" w:type="dxa"/>
            <w:vAlign w:val="center"/>
          </w:tcPr>
          <w:p>
            <w:pPr>
              <w:pStyle w:val="7"/>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cs="Times New Roman"/>
                <w:color w:val="auto"/>
                <w:sz w:val="21"/>
                <w:szCs w:val="21"/>
                <w:highlight w:val="none"/>
                <w:lang w:val="en-US" w:eastAsia="zh-CN"/>
              </w:rPr>
              <w:t>225.58</w:t>
            </w:r>
            <w:r>
              <w:rPr>
                <w:rFonts w:hint="eastAsia" w:ascii="Times New Roman" w:hAnsi="Times New Roman" w:eastAsia="宋体" w:cs="Times New Roman"/>
                <w:color w:val="auto"/>
                <w:sz w:val="21"/>
                <w:szCs w:val="21"/>
                <w:highlight w:val="none"/>
                <w:lang w:val="en-US" w:eastAsia="zh-CN"/>
              </w:rPr>
              <w:t>t/a</w:t>
            </w:r>
          </w:p>
        </w:tc>
        <w:tc>
          <w:tcPr>
            <w:tcW w:w="1463" w:type="dxa"/>
            <w:vAlign w:val="center"/>
          </w:tcPr>
          <w:p>
            <w:pPr>
              <w:adjustRightInd w:val="0"/>
              <w:snapToGrid w:val="0"/>
              <w:spacing w:line="240" w:lineRule="auto"/>
              <w:ind w:firstLine="0" w:firstLineChars="0"/>
              <w:jc w:val="center"/>
              <w:rPr>
                <w:rFonts w:hint="eastAsia" w:ascii="Times New Roman" w:hAnsi="Times New Roman" w:cs="Times New Roman" w:eastAsiaTheme="minorEastAsia"/>
                <w:snapToGrid w:val="0"/>
                <w:color w:val="auto"/>
                <w:kern w:val="21"/>
                <w:sz w:val="21"/>
                <w:szCs w:val="21"/>
                <w:highlight w:val="none"/>
                <w:lang w:val="en-US" w:eastAsia="zh-CN" w:bidi="ar-SA"/>
              </w:rPr>
            </w:pPr>
            <w:r>
              <w:rPr>
                <w:rFonts w:hint="eastAsia" w:cs="Times New Roman"/>
                <w:color w:val="auto"/>
                <w:sz w:val="21"/>
                <w:szCs w:val="21"/>
                <w:highlight w:val="none"/>
                <w:lang w:val="en-US" w:eastAsia="zh-CN"/>
              </w:rPr>
              <w:t>183.33</w:t>
            </w:r>
            <w:r>
              <w:rPr>
                <w:rFonts w:hint="eastAsia" w:ascii="Times New Roman" w:hAnsi="Times New Roman" w:eastAsia="宋体" w:cs="Times New Roman"/>
                <w:color w:val="auto"/>
                <w:sz w:val="21"/>
                <w:szCs w:val="21"/>
                <w:highlight w:val="none"/>
                <w:lang w:val="en-US" w:eastAsia="zh-CN"/>
              </w:rPr>
              <w:t>t/a</w:t>
            </w:r>
          </w:p>
        </w:tc>
        <w:tc>
          <w:tcPr>
            <w:tcW w:w="1692" w:type="dxa"/>
            <w:vAlign w:val="center"/>
          </w:tcPr>
          <w:p>
            <w:pPr>
              <w:pStyle w:val="7"/>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cs="Times New Roman"/>
                <w:color w:val="auto"/>
                <w:sz w:val="21"/>
                <w:szCs w:val="21"/>
                <w:highlight w:val="none"/>
                <w:lang w:val="en-US" w:eastAsia="zh-CN"/>
              </w:rPr>
              <w:t>225.58</w:t>
            </w:r>
            <w:r>
              <w:rPr>
                <w:rFonts w:hint="eastAsia" w:ascii="Times New Roman" w:hAnsi="Times New Roman" w:eastAsia="宋体" w:cs="Times New Roman"/>
                <w:color w:val="auto"/>
                <w:sz w:val="21"/>
                <w:szCs w:val="21"/>
                <w:highlight w:val="none"/>
                <w:lang w:val="en-US" w:eastAsia="zh-CN"/>
              </w:rPr>
              <w:t>t/a</w:t>
            </w:r>
          </w:p>
        </w:tc>
        <w:tc>
          <w:tcPr>
            <w:tcW w:w="1391"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snapToGrid w:val="0"/>
                <w:color w:val="auto"/>
                <w:kern w:val="21"/>
                <w:sz w:val="21"/>
                <w:szCs w:val="21"/>
                <w:highlight w:val="none"/>
                <w:lang w:val="en-US" w:eastAsia="zh-CN"/>
              </w:rPr>
            </w:pPr>
            <w:r>
              <w:rPr>
                <w:rFonts w:hint="eastAsia" w:cs="Times New Roman"/>
                <w:color w:val="auto"/>
                <w:sz w:val="21"/>
                <w:szCs w:val="21"/>
                <w:highlight w:val="none"/>
                <w:lang w:val="en-US" w:eastAsia="zh-CN"/>
              </w:rPr>
              <w:t>+183.33</w:t>
            </w:r>
            <w:r>
              <w:rPr>
                <w:rFonts w:hint="eastAsia" w:ascii="Times New Roman" w:hAnsi="Times New Roman" w:eastAsia="宋体"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1402" w:type="dxa"/>
            <w:vMerge w:val="continue"/>
            <w:vAlign w:val="center"/>
          </w:tcPr>
          <w:p>
            <w:pPr>
              <w:pStyle w:val="25"/>
              <w:rPr>
                <w:rFonts w:ascii="Times New Roman" w:hAnsi="Times New Roman" w:cs="Times New Roman"/>
                <w:b/>
                <w:bCs/>
                <w:snapToGrid w:val="0"/>
                <w:color w:val="auto"/>
                <w:kern w:val="21"/>
                <w:highlight w:val="none"/>
              </w:rPr>
            </w:pPr>
          </w:p>
        </w:tc>
        <w:tc>
          <w:tcPr>
            <w:tcW w:w="1603" w:type="dxa"/>
            <w:vAlign w:val="center"/>
          </w:tcPr>
          <w:p>
            <w:pPr>
              <w:pStyle w:val="7"/>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脱硫渣</w:t>
            </w:r>
          </w:p>
        </w:tc>
        <w:tc>
          <w:tcPr>
            <w:tcW w:w="1701" w:type="dxa"/>
            <w:vAlign w:val="center"/>
          </w:tcPr>
          <w:p>
            <w:pPr>
              <w:adjustRightInd w:val="0"/>
              <w:snapToGrid w:val="0"/>
              <w:spacing w:line="240" w:lineRule="auto"/>
              <w:ind w:firstLine="0" w:firstLineChars="0"/>
              <w:jc w:val="center"/>
              <w:rPr>
                <w:rFonts w:hint="default"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9.08</w:t>
            </w:r>
            <w:r>
              <w:rPr>
                <w:rFonts w:hint="eastAsia" w:ascii="Times New Roman" w:hAnsi="Times New Roman" w:eastAsia="宋体" w:cs="Times New Roman"/>
                <w:color w:val="auto"/>
                <w:sz w:val="21"/>
                <w:szCs w:val="21"/>
                <w:highlight w:val="none"/>
                <w:lang w:val="en-US" w:eastAsia="zh-CN"/>
              </w:rPr>
              <w:t>t/a</w:t>
            </w:r>
          </w:p>
        </w:tc>
        <w:tc>
          <w:tcPr>
            <w:tcW w:w="1295"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cs="Times New Roman"/>
                <w:snapToGrid w:val="0"/>
                <w:color w:val="auto"/>
                <w:kern w:val="21"/>
                <w:sz w:val="21"/>
                <w:szCs w:val="21"/>
                <w:highlight w:val="none"/>
              </w:rPr>
              <w:t>/</w:t>
            </w:r>
          </w:p>
        </w:tc>
        <w:tc>
          <w:tcPr>
            <w:tcW w:w="1682"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cs="Times New Roman"/>
                <w:snapToGrid w:val="0"/>
                <w:color w:val="auto"/>
                <w:kern w:val="21"/>
                <w:sz w:val="21"/>
                <w:szCs w:val="21"/>
                <w:highlight w:val="none"/>
              </w:rPr>
              <w:t>/</w:t>
            </w:r>
          </w:p>
        </w:tc>
        <w:tc>
          <w:tcPr>
            <w:tcW w:w="1559" w:type="dxa"/>
            <w:vAlign w:val="center"/>
          </w:tcPr>
          <w:p>
            <w:pPr>
              <w:pStyle w:val="7"/>
              <w:spacing w:line="240" w:lineRule="auto"/>
              <w:ind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12.39</w:t>
            </w:r>
            <w:r>
              <w:rPr>
                <w:rFonts w:hint="eastAsia" w:ascii="Times New Roman" w:hAnsi="Times New Roman" w:eastAsia="宋体" w:cs="Times New Roman"/>
                <w:color w:val="auto"/>
                <w:sz w:val="21"/>
                <w:szCs w:val="21"/>
                <w:highlight w:val="none"/>
                <w:lang w:val="en-US" w:eastAsia="zh-CN"/>
              </w:rPr>
              <w:t>t/a</w:t>
            </w:r>
          </w:p>
        </w:tc>
        <w:tc>
          <w:tcPr>
            <w:tcW w:w="1463" w:type="dxa"/>
            <w:vAlign w:val="center"/>
          </w:tcPr>
          <w:p>
            <w:pPr>
              <w:adjustRightInd w:val="0"/>
              <w:snapToGrid w:val="0"/>
              <w:spacing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rPr>
              <w:t>3.31</w:t>
            </w:r>
            <w:r>
              <w:rPr>
                <w:rFonts w:hint="eastAsia" w:ascii="Times New Roman" w:hAnsi="Times New Roman" w:eastAsia="宋体" w:cs="Times New Roman"/>
                <w:color w:val="auto"/>
                <w:sz w:val="21"/>
                <w:szCs w:val="21"/>
                <w:highlight w:val="none"/>
                <w:lang w:val="en-US" w:eastAsia="zh-CN"/>
              </w:rPr>
              <w:t>t/a</w:t>
            </w:r>
          </w:p>
        </w:tc>
        <w:tc>
          <w:tcPr>
            <w:tcW w:w="1692" w:type="dxa"/>
            <w:vAlign w:val="center"/>
          </w:tcPr>
          <w:p>
            <w:pPr>
              <w:pStyle w:val="7"/>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12.39</w:t>
            </w:r>
            <w:r>
              <w:rPr>
                <w:rFonts w:hint="eastAsia" w:ascii="Times New Roman" w:hAnsi="Times New Roman" w:eastAsia="宋体" w:cs="Times New Roman"/>
                <w:color w:val="auto"/>
                <w:sz w:val="21"/>
                <w:szCs w:val="21"/>
                <w:highlight w:val="none"/>
                <w:lang w:val="en-US" w:eastAsia="zh-CN"/>
              </w:rPr>
              <w:t>t/a</w:t>
            </w:r>
          </w:p>
        </w:tc>
        <w:tc>
          <w:tcPr>
            <w:tcW w:w="1391" w:type="dxa"/>
            <w:vAlign w:val="center"/>
          </w:tcPr>
          <w:p>
            <w:pPr>
              <w:adjustRightInd w:val="0"/>
              <w:snapToGrid w:val="0"/>
              <w:spacing w:line="240" w:lineRule="auto"/>
              <w:ind w:firstLine="0" w:firstLineChars="0"/>
              <w:jc w:val="center"/>
              <w:rPr>
                <w:rFonts w:hint="default" w:ascii="Times New Roman" w:hAnsi="Times New Roman"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+3.31</w:t>
            </w:r>
            <w:r>
              <w:rPr>
                <w:rFonts w:hint="eastAsia" w:ascii="Times New Roman" w:hAnsi="Times New Roman" w:eastAsia="宋体"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1402" w:type="dxa"/>
            <w:vMerge w:val="continue"/>
            <w:vAlign w:val="center"/>
          </w:tcPr>
          <w:p>
            <w:pPr>
              <w:pStyle w:val="25"/>
              <w:rPr>
                <w:rFonts w:ascii="Times New Roman" w:hAnsi="Times New Roman" w:cs="Times New Roman"/>
                <w:b/>
                <w:bCs/>
                <w:snapToGrid w:val="0"/>
                <w:color w:val="auto"/>
                <w:kern w:val="21"/>
                <w:highlight w:val="none"/>
              </w:rPr>
            </w:pPr>
          </w:p>
        </w:tc>
        <w:tc>
          <w:tcPr>
            <w:tcW w:w="1603" w:type="dxa"/>
            <w:vAlign w:val="center"/>
          </w:tcPr>
          <w:p>
            <w:pPr>
              <w:pStyle w:val="7"/>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废饱和树脂</w:t>
            </w:r>
          </w:p>
        </w:tc>
        <w:tc>
          <w:tcPr>
            <w:tcW w:w="1701" w:type="dxa"/>
            <w:vAlign w:val="center"/>
          </w:tcPr>
          <w:p>
            <w:pPr>
              <w:adjustRightInd w:val="0"/>
              <w:snapToGrid w:val="0"/>
              <w:spacing w:line="240" w:lineRule="auto"/>
              <w:ind w:firstLine="0" w:firstLineChars="0"/>
              <w:jc w:val="center"/>
              <w:rPr>
                <w:rFonts w:hint="default"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0.3</w:t>
            </w:r>
            <w:r>
              <w:rPr>
                <w:rFonts w:hint="eastAsia" w:ascii="Times New Roman" w:hAnsi="Times New Roman" w:eastAsia="宋体" w:cs="Times New Roman"/>
                <w:color w:val="auto"/>
                <w:sz w:val="21"/>
                <w:szCs w:val="21"/>
                <w:highlight w:val="none"/>
                <w:lang w:val="en-US" w:eastAsia="zh-CN"/>
              </w:rPr>
              <w:t>t/a</w:t>
            </w:r>
          </w:p>
        </w:tc>
        <w:tc>
          <w:tcPr>
            <w:tcW w:w="1295"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cs="Times New Roman"/>
                <w:snapToGrid w:val="0"/>
                <w:color w:val="auto"/>
                <w:kern w:val="21"/>
                <w:sz w:val="21"/>
                <w:szCs w:val="21"/>
                <w:highlight w:val="none"/>
              </w:rPr>
              <w:t>/</w:t>
            </w:r>
          </w:p>
        </w:tc>
        <w:tc>
          <w:tcPr>
            <w:tcW w:w="1682"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cs="Times New Roman"/>
                <w:snapToGrid w:val="0"/>
                <w:color w:val="auto"/>
                <w:kern w:val="21"/>
                <w:sz w:val="21"/>
                <w:szCs w:val="21"/>
                <w:highlight w:val="none"/>
              </w:rPr>
              <w:t>/</w:t>
            </w:r>
          </w:p>
        </w:tc>
        <w:tc>
          <w:tcPr>
            <w:tcW w:w="1559" w:type="dxa"/>
            <w:vAlign w:val="center"/>
          </w:tcPr>
          <w:p>
            <w:pPr>
              <w:pStyle w:val="7"/>
              <w:spacing w:line="240" w:lineRule="auto"/>
              <w:ind w:firstLine="0" w:firstLineChars="0"/>
              <w:jc w:val="center"/>
              <w:rPr>
                <w:rFonts w:hint="eastAsia" w:cs="Times New Roman"/>
                <w:color w:val="auto"/>
                <w:sz w:val="21"/>
                <w:szCs w:val="21"/>
                <w:highlight w:val="none"/>
                <w:lang w:val="en-US" w:eastAsia="zh-CN"/>
              </w:rPr>
            </w:pPr>
            <w:r>
              <w:rPr>
                <w:rFonts w:hint="eastAsia" w:cs="Times New Roman"/>
                <w:snapToGrid w:val="0"/>
                <w:color w:val="auto"/>
                <w:kern w:val="21"/>
                <w:sz w:val="21"/>
                <w:szCs w:val="21"/>
                <w:highlight w:val="none"/>
                <w:lang w:val="en-US" w:eastAsia="zh-CN"/>
              </w:rPr>
              <w:t>0.3</w:t>
            </w:r>
            <w:r>
              <w:rPr>
                <w:rFonts w:hint="eastAsia" w:ascii="Times New Roman" w:hAnsi="Times New Roman" w:eastAsia="宋体" w:cs="Times New Roman"/>
                <w:color w:val="auto"/>
                <w:sz w:val="21"/>
                <w:szCs w:val="21"/>
                <w:highlight w:val="none"/>
                <w:lang w:val="en-US" w:eastAsia="zh-CN"/>
              </w:rPr>
              <w:t>t/a</w:t>
            </w:r>
          </w:p>
        </w:tc>
        <w:tc>
          <w:tcPr>
            <w:tcW w:w="1463" w:type="dxa"/>
            <w:vAlign w:val="center"/>
          </w:tcPr>
          <w:p>
            <w:pPr>
              <w:adjustRightInd w:val="0"/>
              <w:snapToGrid w:val="0"/>
              <w:spacing w:line="240" w:lineRule="auto"/>
              <w:ind w:firstLine="0" w:firstLineChars="0"/>
              <w:jc w:val="center"/>
              <w:rPr>
                <w:rFonts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rPr>
              <w:t>0</w:t>
            </w:r>
          </w:p>
        </w:tc>
        <w:tc>
          <w:tcPr>
            <w:tcW w:w="1692" w:type="dxa"/>
            <w:vAlign w:val="center"/>
          </w:tcPr>
          <w:p>
            <w:pPr>
              <w:pStyle w:val="7"/>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snapToGrid w:val="0"/>
                <w:color w:val="auto"/>
                <w:kern w:val="21"/>
                <w:sz w:val="21"/>
                <w:szCs w:val="21"/>
                <w:highlight w:val="none"/>
                <w:lang w:val="en-US" w:eastAsia="zh-CN"/>
              </w:rPr>
              <w:t>0.3</w:t>
            </w:r>
            <w:r>
              <w:rPr>
                <w:rFonts w:hint="eastAsia" w:ascii="Times New Roman" w:hAnsi="Times New Roman" w:eastAsia="宋体" w:cs="Times New Roman"/>
                <w:color w:val="auto"/>
                <w:sz w:val="21"/>
                <w:szCs w:val="21"/>
                <w:highlight w:val="none"/>
                <w:lang w:val="en-US" w:eastAsia="zh-CN"/>
              </w:rPr>
              <w:t>t/a</w:t>
            </w:r>
          </w:p>
        </w:tc>
        <w:tc>
          <w:tcPr>
            <w:tcW w:w="1391" w:type="dxa"/>
            <w:vAlign w:val="center"/>
          </w:tcPr>
          <w:p>
            <w:pPr>
              <w:adjustRightInd w:val="0"/>
              <w:snapToGrid w:val="0"/>
              <w:spacing w:line="240" w:lineRule="auto"/>
              <w:ind w:firstLine="0" w:firstLineChars="0"/>
              <w:jc w:val="center"/>
              <w:rPr>
                <w:rFonts w:hint="default" w:ascii="Times New Roman" w:hAnsi="Times New Roman"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0</w:t>
            </w:r>
          </w:p>
        </w:tc>
      </w:tr>
    </w:tbl>
    <w:p>
      <w:pPr>
        <w:pStyle w:val="25"/>
        <w:spacing w:before="249" w:beforeLines="80" w:after="24"/>
        <w:jc w:val="left"/>
        <w:rPr>
          <w:rFonts w:ascii="Times New Roman" w:hAnsi="Times New Roman" w:cs="Times New Roman"/>
          <w:snapToGrid w:val="0"/>
          <w:color w:val="auto"/>
          <w:spacing w:val="-6"/>
          <w:kern w:val="21"/>
          <w:highlight w:val="none"/>
        </w:rPr>
      </w:pPr>
      <w:r>
        <w:rPr>
          <w:rFonts w:ascii="Times New Roman" w:hAnsi="Times New Roman" w:cs="Times New Roman"/>
          <w:snapToGrid w:val="0"/>
          <w:color w:val="auto"/>
          <w:kern w:val="21"/>
          <w:highlight w:val="none"/>
        </w:rPr>
        <w:t>注：</w:t>
      </w:r>
      <w:r>
        <w:rPr>
          <w:rFonts w:ascii="Times New Roman" w:hAnsi="Times New Roman" w:cs="Times New Roman"/>
          <w:snapToGrid w:val="0"/>
          <w:color w:val="auto"/>
          <w:spacing w:val="-16"/>
          <w:kern w:val="21"/>
          <w:highlight w:val="none"/>
        </w:rPr>
        <w:fldChar w:fldCharType="begin"/>
      </w:r>
      <w:r>
        <w:rPr>
          <w:rFonts w:ascii="Times New Roman" w:hAnsi="Times New Roman" w:cs="Times New Roman"/>
          <w:snapToGrid w:val="0"/>
          <w:color w:val="auto"/>
          <w:spacing w:val="-16"/>
          <w:kern w:val="21"/>
          <w:highlight w:val="none"/>
        </w:rPr>
        <w:instrText xml:space="preserve"> = 6 \* GB3 \* MERGEFORMAT </w:instrText>
      </w:r>
      <w:r>
        <w:rPr>
          <w:rFonts w:ascii="Times New Roman" w:hAnsi="Times New Roman" w:cs="Times New Roman"/>
          <w:snapToGrid w:val="0"/>
          <w:color w:val="auto"/>
          <w:spacing w:val="-16"/>
          <w:kern w:val="21"/>
          <w:highlight w:val="none"/>
        </w:rPr>
        <w:fldChar w:fldCharType="separate"/>
      </w:r>
      <w:r>
        <w:rPr>
          <w:rFonts w:ascii="Times New Roman" w:hAnsi="Times New Roman" w:cs="Times New Roman"/>
          <w:color w:val="auto"/>
          <w:highlight w:val="none"/>
        </w:rPr>
        <w:t>⑥</w:t>
      </w:r>
      <w:r>
        <w:rPr>
          <w:rFonts w:ascii="Times New Roman" w:hAnsi="Times New Roman" w:cs="Times New Roman"/>
          <w:snapToGrid w:val="0"/>
          <w:color w:val="auto"/>
          <w:spacing w:val="-16"/>
          <w:kern w:val="21"/>
          <w:highlight w:val="none"/>
        </w:rPr>
        <w:fldChar w:fldCharType="end"/>
      </w:r>
      <w:r>
        <w:rPr>
          <w:rFonts w:ascii="Times New Roman" w:hAnsi="Times New Roman" w:cs="Times New Roman"/>
          <w:snapToGrid w:val="0"/>
          <w:color w:val="auto"/>
          <w:spacing w:val="-16"/>
          <w:kern w:val="21"/>
          <w:highlight w:val="none"/>
        </w:rPr>
        <w:t>=</w:t>
      </w:r>
      <w:r>
        <w:rPr>
          <w:rFonts w:ascii="Times New Roman" w:hAnsi="Times New Roman" w:cs="Times New Roman"/>
          <w:snapToGrid w:val="0"/>
          <w:color w:val="auto"/>
          <w:spacing w:val="-6"/>
          <w:kern w:val="21"/>
          <w:highlight w:val="none"/>
        </w:rPr>
        <w:fldChar w:fldCharType="begin"/>
      </w:r>
      <w:r>
        <w:rPr>
          <w:rFonts w:ascii="Times New Roman" w:hAnsi="Times New Roman" w:cs="Times New Roman"/>
          <w:snapToGrid w:val="0"/>
          <w:color w:val="auto"/>
          <w:spacing w:val="-6"/>
          <w:kern w:val="21"/>
          <w:highlight w:val="none"/>
        </w:rPr>
        <w:instrText xml:space="preserve"> = 1 \* GB3 \* MERGEFORMAT </w:instrText>
      </w:r>
      <w:r>
        <w:rPr>
          <w:rFonts w:ascii="Times New Roman" w:hAnsi="Times New Roman" w:cs="Times New Roman"/>
          <w:snapToGrid w:val="0"/>
          <w:color w:val="auto"/>
          <w:spacing w:val="-6"/>
          <w:kern w:val="21"/>
          <w:highlight w:val="none"/>
        </w:rPr>
        <w:fldChar w:fldCharType="separate"/>
      </w:r>
      <w:r>
        <w:rPr>
          <w:rFonts w:ascii="Times New Roman" w:hAnsi="Times New Roman" w:cs="Times New Roman"/>
          <w:color w:val="auto"/>
          <w:highlight w:val="none"/>
        </w:rPr>
        <w:t>①</w:t>
      </w:r>
      <w:r>
        <w:rPr>
          <w:rFonts w:ascii="Times New Roman" w:hAnsi="Times New Roman" w:cs="Times New Roman"/>
          <w:snapToGrid w:val="0"/>
          <w:color w:val="auto"/>
          <w:spacing w:val="-6"/>
          <w:kern w:val="21"/>
          <w:highlight w:val="none"/>
        </w:rPr>
        <w:fldChar w:fldCharType="end"/>
      </w:r>
      <w:r>
        <w:rPr>
          <w:rFonts w:ascii="Times New Roman" w:hAnsi="Times New Roman" w:cs="Times New Roman"/>
          <w:snapToGrid w:val="0"/>
          <w:color w:val="auto"/>
          <w:spacing w:val="-6"/>
          <w:kern w:val="21"/>
          <w:highlight w:val="none"/>
        </w:rPr>
        <w:t>+</w:t>
      </w:r>
      <w:r>
        <w:rPr>
          <w:rFonts w:ascii="Times New Roman" w:hAnsi="Times New Roman" w:cs="Times New Roman"/>
          <w:snapToGrid w:val="0"/>
          <w:color w:val="auto"/>
          <w:spacing w:val="-6"/>
          <w:kern w:val="21"/>
          <w:highlight w:val="none"/>
        </w:rPr>
        <w:fldChar w:fldCharType="begin"/>
      </w:r>
      <w:r>
        <w:rPr>
          <w:rFonts w:ascii="Times New Roman" w:hAnsi="Times New Roman" w:cs="Times New Roman"/>
          <w:snapToGrid w:val="0"/>
          <w:color w:val="auto"/>
          <w:spacing w:val="-6"/>
          <w:kern w:val="21"/>
          <w:highlight w:val="none"/>
        </w:rPr>
        <w:instrText xml:space="preserve"> = 3 \* GB3 \* MERGEFORMAT </w:instrText>
      </w:r>
      <w:r>
        <w:rPr>
          <w:rFonts w:ascii="Times New Roman" w:hAnsi="Times New Roman" w:cs="Times New Roman"/>
          <w:snapToGrid w:val="0"/>
          <w:color w:val="auto"/>
          <w:spacing w:val="-6"/>
          <w:kern w:val="21"/>
          <w:highlight w:val="none"/>
        </w:rPr>
        <w:fldChar w:fldCharType="separate"/>
      </w:r>
      <w:r>
        <w:rPr>
          <w:rFonts w:ascii="Times New Roman" w:hAnsi="Times New Roman" w:cs="Times New Roman"/>
          <w:color w:val="auto"/>
          <w:highlight w:val="none"/>
        </w:rPr>
        <w:t>③</w:t>
      </w:r>
      <w:r>
        <w:rPr>
          <w:rFonts w:ascii="Times New Roman" w:hAnsi="Times New Roman" w:cs="Times New Roman"/>
          <w:snapToGrid w:val="0"/>
          <w:color w:val="auto"/>
          <w:spacing w:val="-6"/>
          <w:kern w:val="21"/>
          <w:highlight w:val="none"/>
        </w:rPr>
        <w:fldChar w:fldCharType="end"/>
      </w:r>
      <w:r>
        <w:rPr>
          <w:rFonts w:ascii="Times New Roman" w:hAnsi="Times New Roman" w:cs="Times New Roman"/>
          <w:snapToGrid w:val="0"/>
          <w:color w:val="auto"/>
          <w:spacing w:val="-6"/>
          <w:kern w:val="21"/>
          <w:highlight w:val="none"/>
        </w:rPr>
        <w:t>+</w:t>
      </w:r>
      <w:r>
        <w:rPr>
          <w:rFonts w:ascii="Times New Roman" w:hAnsi="Times New Roman" w:cs="Times New Roman"/>
          <w:snapToGrid w:val="0"/>
          <w:color w:val="auto"/>
          <w:spacing w:val="-6"/>
          <w:kern w:val="21"/>
          <w:highlight w:val="none"/>
        </w:rPr>
        <w:fldChar w:fldCharType="begin"/>
      </w:r>
      <w:r>
        <w:rPr>
          <w:rFonts w:ascii="Times New Roman" w:hAnsi="Times New Roman" w:cs="Times New Roman"/>
          <w:snapToGrid w:val="0"/>
          <w:color w:val="auto"/>
          <w:spacing w:val="-6"/>
          <w:kern w:val="21"/>
          <w:highlight w:val="none"/>
        </w:rPr>
        <w:instrText xml:space="preserve"> = 4 \* GB3 \* MERGEFORMAT </w:instrText>
      </w:r>
      <w:r>
        <w:rPr>
          <w:rFonts w:ascii="Times New Roman" w:hAnsi="Times New Roman" w:cs="Times New Roman"/>
          <w:snapToGrid w:val="0"/>
          <w:color w:val="auto"/>
          <w:spacing w:val="-6"/>
          <w:kern w:val="21"/>
          <w:highlight w:val="none"/>
        </w:rPr>
        <w:fldChar w:fldCharType="separate"/>
      </w:r>
      <w:r>
        <w:rPr>
          <w:rFonts w:ascii="Times New Roman" w:hAnsi="Times New Roman" w:cs="Times New Roman"/>
          <w:color w:val="auto"/>
          <w:highlight w:val="none"/>
        </w:rPr>
        <w:t>④</w:t>
      </w:r>
      <w:r>
        <w:rPr>
          <w:rFonts w:ascii="Times New Roman" w:hAnsi="Times New Roman" w:cs="Times New Roman"/>
          <w:snapToGrid w:val="0"/>
          <w:color w:val="auto"/>
          <w:spacing w:val="-6"/>
          <w:kern w:val="21"/>
          <w:highlight w:val="none"/>
        </w:rPr>
        <w:fldChar w:fldCharType="end"/>
      </w:r>
      <w:r>
        <w:rPr>
          <w:rFonts w:ascii="Times New Roman" w:hAnsi="Times New Roman" w:cs="Times New Roman"/>
          <w:snapToGrid w:val="0"/>
          <w:color w:val="auto"/>
          <w:spacing w:val="-6"/>
          <w:kern w:val="21"/>
          <w:highlight w:val="none"/>
        </w:rPr>
        <w:t>-</w:t>
      </w:r>
      <w:r>
        <w:rPr>
          <w:rFonts w:ascii="Times New Roman" w:hAnsi="Times New Roman" w:cs="Times New Roman"/>
          <w:snapToGrid w:val="0"/>
          <w:color w:val="auto"/>
          <w:spacing w:val="-16"/>
          <w:kern w:val="21"/>
          <w:highlight w:val="none"/>
        </w:rPr>
        <w:fldChar w:fldCharType="begin"/>
      </w:r>
      <w:r>
        <w:rPr>
          <w:rFonts w:ascii="Times New Roman" w:hAnsi="Times New Roman" w:cs="Times New Roman"/>
          <w:snapToGrid w:val="0"/>
          <w:color w:val="auto"/>
          <w:spacing w:val="-16"/>
          <w:kern w:val="21"/>
          <w:highlight w:val="none"/>
        </w:rPr>
        <w:instrText xml:space="preserve"> = 5 \* GB3 \* MERGEFORMAT </w:instrText>
      </w:r>
      <w:r>
        <w:rPr>
          <w:rFonts w:ascii="Times New Roman" w:hAnsi="Times New Roman" w:cs="Times New Roman"/>
          <w:snapToGrid w:val="0"/>
          <w:color w:val="auto"/>
          <w:spacing w:val="-16"/>
          <w:kern w:val="21"/>
          <w:highlight w:val="none"/>
        </w:rPr>
        <w:fldChar w:fldCharType="separate"/>
      </w:r>
      <w:r>
        <w:rPr>
          <w:rFonts w:ascii="Times New Roman" w:hAnsi="Times New Roman" w:cs="Times New Roman"/>
          <w:color w:val="auto"/>
          <w:highlight w:val="none"/>
        </w:rPr>
        <w:t>⑤</w:t>
      </w:r>
      <w:r>
        <w:rPr>
          <w:rFonts w:ascii="Times New Roman" w:hAnsi="Times New Roman" w:cs="Times New Roman"/>
          <w:snapToGrid w:val="0"/>
          <w:color w:val="auto"/>
          <w:spacing w:val="-16"/>
          <w:kern w:val="21"/>
          <w:highlight w:val="none"/>
        </w:rPr>
        <w:fldChar w:fldCharType="end"/>
      </w:r>
      <w:r>
        <w:rPr>
          <w:rFonts w:ascii="Times New Roman" w:hAnsi="Times New Roman" w:cs="Times New Roman"/>
          <w:snapToGrid w:val="0"/>
          <w:color w:val="auto"/>
          <w:spacing w:val="-16"/>
          <w:kern w:val="21"/>
          <w:highlight w:val="none"/>
        </w:rPr>
        <w:t>；</w:t>
      </w:r>
      <w:r>
        <w:rPr>
          <w:rFonts w:ascii="Times New Roman" w:hAnsi="Times New Roman" w:cs="Times New Roman"/>
          <w:snapToGrid w:val="0"/>
          <w:color w:val="auto"/>
          <w:spacing w:val="-6"/>
          <w:kern w:val="21"/>
          <w:highlight w:val="none"/>
        </w:rPr>
        <w:fldChar w:fldCharType="begin"/>
      </w:r>
      <w:r>
        <w:rPr>
          <w:rFonts w:ascii="Times New Roman" w:hAnsi="Times New Roman" w:cs="Times New Roman"/>
          <w:snapToGrid w:val="0"/>
          <w:color w:val="auto"/>
          <w:spacing w:val="-6"/>
          <w:kern w:val="21"/>
          <w:highlight w:val="none"/>
        </w:rPr>
        <w:instrText xml:space="preserve"> = 7 \* GB3 \* MERGEFORMAT </w:instrText>
      </w:r>
      <w:r>
        <w:rPr>
          <w:rFonts w:ascii="Times New Roman" w:hAnsi="Times New Roman" w:cs="Times New Roman"/>
          <w:snapToGrid w:val="0"/>
          <w:color w:val="auto"/>
          <w:spacing w:val="-6"/>
          <w:kern w:val="21"/>
          <w:highlight w:val="none"/>
        </w:rPr>
        <w:fldChar w:fldCharType="separate"/>
      </w:r>
      <w:r>
        <w:rPr>
          <w:rFonts w:ascii="Times New Roman" w:hAnsi="Times New Roman" w:cs="Times New Roman"/>
          <w:color w:val="auto"/>
          <w:highlight w:val="none"/>
        </w:rPr>
        <w:t>⑦</w:t>
      </w:r>
      <w:r>
        <w:rPr>
          <w:rFonts w:ascii="Times New Roman" w:hAnsi="Times New Roman" w:cs="Times New Roman"/>
          <w:snapToGrid w:val="0"/>
          <w:color w:val="auto"/>
          <w:spacing w:val="-6"/>
          <w:kern w:val="21"/>
          <w:highlight w:val="none"/>
        </w:rPr>
        <w:fldChar w:fldCharType="end"/>
      </w:r>
      <w:r>
        <w:rPr>
          <w:rFonts w:ascii="Times New Roman" w:hAnsi="Times New Roman" w:cs="Times New Roman"/>
          <w:snapToGrid w:val="0"/>
          <w:color w:val="auto"/>
          <w:spacing w:val="-6"/>
          <w:kern w:val="21"/>
          <w:highlight w:val="none"/>
        </w:rPr>
        <w:t>=</w:t>
      </w:r>
      <w:r>
        <w:rPr>
          <w:rFonts w:ascii="Times New Roman" w:hAnsi="Times New Roman" w:cs="Times New Roman"/>
          <w:snapToGrid w:val="0"/>
          <w:color w:val="auto"/>
          <w:spacing w:val="-16"/>
          <w:kern w:val="21"/>
          <w:highlight w:val="none"/>
        </w:rPr>
        <w:fldChar w:fldCharType="begin"/>
      </w:r>
      <w:r>
        <w:rPr>
          <w:rFonts w:ascii="Times New Roman" w:hAnsi="Times New Roman" w:cs="Times New Roman"/>
          <w:snapToGrid w:val="0"/>
          <w:color w:val="auto"/>
          <w:spacing w:val="-16"/>
          <w:kern w:val="21"/>
          <w:highlight w:val="none"/>
        </w:rPr>
        <w:instrText xml:space="preserve"> = 6 \* GB3 \* MERGEFORMAT </w:instrText>
      </w:r>
      <w:r>
        <w:rPr>
          <w:rFonts w:ascii="Times New Roman" w:hAnsi="Times New Roman" w:cs="Times New Roman"/>
          <w:snapToGrid w:val="0"/>
          <w:color w:val="auto"/>
          <w:spacing w:val="-16"/>
          <w:kern w:val="21"/>
          <w:highlight w:val="none"/>
        </w:rPr>
        <w:fldChar w:fldCharType="separate"/>
      </w:r>
      <w:r>
        <w:rPr>
          <w:rFonts w:ascii="Times New Roman" w:hAnsi="Times New Roman" w:cs="Times New Roman"/>
          <w:color w:val="auto"/>
          <w:highlight w:val="none"/>
        </w:rPr>
        <w:t>⑥</w:t>
      </w:r>
      <w:r>
        <w:rPr>
          <w:rFonts w:ascii="Times New Roman" w:hAnsi="Times New Roman" w:cs="Times New Roman"/>
          <w:snapToGrid w:val="0"/>
          <w:color w:val="auto"/>
          <w:spacing w:val="-16"/>
          <w:kern w:val="21"/>
          <w:highlight w:val="none"/>
        </w:rPr>
        <w:fldChar w:fldCharType="end"/>
      </w:r>
      <w:r>
        <w:rPr>
          <w:rFonts w:ascii="Times New Roman" w:hAnsi="Times New Roman" w:cs="Times New Roman"/>
          <w:snapToGrid w:val="0"/>
          <w:color w:val="auto"/>
          <w:spacing w:val="-16"/>
          <w:kern w:val="21"/>
          <w:highlight w:val="none"/>
        </w:rPr>
        <w:t>-</w:t>
      </w:r>
      <w:r>
        <w:rPr>
          <w:rFonts w:ascii="Times New Roman" w:hAnsi="Times New Roman" w:cs="Times New Roman"/>
          <w:snapToGrid w:val="0"/>
          <w:color w:val="auto"/>
          <w:spacing w:val="-6"/>
          <w:kern w:val="21"/>
          <w:highlight w:val="none"/>
        </w:rPr>
        <w:fldChar w:fldCharType="begin"/>
      </w:r>
      <w:r>
        <w:rPr>
          <w:rFonts w:ascii="Times New Roman" w:hAnsi="Times New Roman" w:cs="Times New Roman"/>
          <w:snapToGrid w:val="0"/>
          <w:color w:val="auto"/>
          <w:spacing w:val="-6"/>
          <w:kern w:val="21"/>
          <w:highlight w:val="none"/>
        </w:rPr>
        <w:instrText xml:space="preserve"> = 1 \* GB3 \* MERGEFORMAT </w:instrText>
      </w:r>
      <w:r>
        <w:rPr>
          <w:rFonts w:ascii="Times New Roman" w:hAnsi="Times New Roman" w:cs="Times New Roman"/>
          <w:snapToGrid w:val="0"/>
          <w:color w:val="auto"/>
          <w:spacing w:val="-6"/>
          <w:kern w:val="21"/>
          <w:highlight w:val="none"/>
        </w:rPr>
        <w:fldChar w:fldCharType="separate"/>
      </w:r>
      <w:r>
        <w:rPr>
          <w:rFonts w:ascii="Times New Roman" w:hAnsi="Times New Roman" w:cs="Times New Roman"/>
          <w:color w:val="auto"/>
          <w:highlight w:val="none"/>
        </w:rPr>
        <w:t>①</w:t>
      </w:r>
      <w:r>
        <w:rPr>
          <w:rFonts w:ascii="Times New Roman" w:hAnsi="Times New Roman" w:cs="Times New Roman"/>
          <w:snapToGrid w:val="0"/>
          <w:color w:val="auto"/>
          <w:spacing w:val="-6"/>
          <w:kern w:val="21"/>
          <w:highlight w:val="none"/>
        </w:rPr>
        <w:fldChar w:fldCharType="end"/>
      </w:r>
    </w:p>
    <w:p>
      <w:pPr>
        <w:bidi w:val="0"/>
        <w:rPr>
          <w:rFonts w:hint="eastAsia"/>
          <w:color w:val="auto"/>
          <w:highlight w:val="none"/>
          <w:lang w:val="en-US" w:eastAsia="zh-CN"/>
        </w:rPr>
      </w:pPr>
    </w:p>
    <w:sectPr>
      <w:footerReference r:id="rId8" w:type="default"/>
      <w:pgSz w:w="16838" w:h="11906" w:orient="landscape"/>
      <w:pgMar w:top="1800" w:right="1440" w:bottom="1860" w:left="166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- 35 -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- 35 -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7C786"/>
    <w:multiLevelType w:val="singleLevel"/>
    <w:tmpl w:val="AB97C786"/>
    <w:lvl w:ilvl="0" w:tentative="0">
      <w:start w:val="2"/>
      <w:numFmt w:val="decimal"/>
      <w:suff w:val="nothing"/>
      <w:lvlText w:val="（%1）"/>
      <w:lvlJc w:val="left"/>
    </w:lvl>
  </w:abstractNum>
  <w:abstractNum w:abstractNumId="1">
    <w:nsid w:val="DE1D182B"/>
    <w:multiLevelType w:val="singleLevel"/>
    <w:tmpl w:val="DE1D182B"/>
    <w:lvl w:ilvl="0" w:tentative="0">
      <w:start w:val="1"/>
      <w:numFmt w:val="bullet"/>
      <w:pStyle w:val="11"/>
      <w:lvlText w:val=""/>
      <w:lvlJc w:val="left"/>
      <w:pPr>
        <w:tabs>
          <w:tab w:val="left" w:pos="2040"/>
        </w:tabs>
        <w:ind w:left="2040" w:hanging="360"/>
      </w:pPr>
      <w:rPr>
        <w:rFonts w:hint="default" w:ascii="Wingdings" w:hAnsi="Wingdings"/>
      </w:rPr>
    </w:lvl>
  </w:abstractNum>
  <w:abstractNum w:abstractNumId="2">
    <w:nsid w:val="3711F432"/>
    <w:multiLevelType w:val="singleLevel"/>
    <w:tmpl w:val="3711F432"/>
    <w:lvl w:ilvl="0" w:tentative="0">
      <w:start w:val="5"/>
      <w:numFmt w:val="decimal"/>
      <w:suff w:val="nothing"/>
      <w:lvlText w:val="（%1）"/>
      <w:lvlJc w:val="left"/>
    </w:lvl>
  </w:abstractNum>
  <w:abstractNum w:abstractNumId="3">
    <w:nsid w:val="45202A5B"/>
    <w:multiLevelType w:val="singleLevel"/>
    <w:tmpl w:val="45202A5B"/>
    <w:lvl w:ilvl="0" w:tentative="0">
      <w:start w:val="1"/>
      <w:numFmt w:val="decimal"/>
      <w:suff w:val="nothing"/>
      <w:lvlText w:val="（%1）"/>
      <w:lvlJc w:val="left"/>
      <w:pPr>
        <w:ind w:left="-2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YmFhM2U3OTgzMmM4ZjlmMzliYzRiM2VmMmU4MzgifQ=="/>
  </w:docVars>
  <w:rsids>
    <w:rsidRoot w:val="00000000"/>
    <w:rsid w:val="0075194C"/>
    <w:rsid w:val="00BD0BD1"/>
    <w:rsid w:val="00FA7051"/>
    <w:rsid w:val="014D4677"/>
    <w:rsid w:val="019A5D02"/>
    <w:rsid w:val="01B5148C"/>
    <w:rsid w:val="01FD4257"/>
    <w:rsid w:val="02092C94"/>
    <w:rsid w:val="02221493"/>
    <w:rsid w:val="02BC7D06"/>
    <w:rsid w:val="02EF1607"/>
    <w:rsid w:val="03600603"/>
    <w:rsid w:val="03752D35"/>
    <w:rsid w:val="038B10BD"/>
    <w:rsid w:val="03A562C6"/>
    <w:rsid w:val="03A73482"/>
    <w:rsid w:val="04807FDC"/>
    <w:rsid w:val="049106C0"/>
    <w:rsid w:val="04B815C5"/>
    <w:rsid w:val="04DC62CC"/>
    <w:rsid w:val="050B0AD1"/>
    <w:rsid w:val="0543051F"/>
    <w:rsid w:val="054F3EF7"/>
    <w:rsid w:val="058273D3"/>
    <w:rsid w:val="06075F30"/>
    <w:rsid w:val="061816F7"/>
    <w:rsid w:val="067F4BD4"/>
    <w:rsid w:val="06831C0D"/>
    <w:rsid w:val="069B48BB"/>
    <w:rsid w:val="069C40D7"/>
    <w:rsid w:val="06C07F8B"/>
    <w:rsid w:val="06D420AC"/>
    <w:rsid w:val="06E72E78"/>
    <w:rsid w:val="06FD0ADF"/>
    <w:rsid w:val="073D5089"/>
    <w:rsid w:val="07A45C7E"/>
    <w:rsid w:val="07FD6DF7"/>
    <w:rsid w:val="08055B26"/>
    <w:rsid w:val="0822187B"/>
    <w:rsid w:val="084B5A02"/>
    <w:rsid w:val="086821AF"/>
    <w:rsid w:val="088766C0"/>
    <w:rsid w:val="08CE05E5"/>
    <w:rsid w:val="08D15DD1"/>
    <w:rsid w:val="08D8516E"/>
    <w:rsid w:val="09304FAA"/>
    <w:rsid w:val="09501D1B"/>
    <w:rsid w:val="09D838B7"/>
    <w:rsid w:val="09F5331D"/>
    <w:rsid w:val="0A021072"/>
    <w:rsid w:val="0ABC5E6F"/>
    <w:rsid w:val="0B790883"/>
    <w:rsid w:val="0C486007"/>
    <w:rsid w:val="0D350DE1"/>
    <w:rsid w:val="0D3C540A"/>
    <w:rsid w:val="0D611F5C"/>
    <w:rsid w:val="0DA47FE5"/>
    <w:rsid w:val="0E462B7A"/>
    <w:rsid w:val="0E6C5513"/>
    <w:rsid w:val="0EB14497"/>
    <w:rsid w:val="0F0942D3"/>
    <w:rsid w:val="0F6978BE"/>
    <w:rsid w:val="0F9B3635"/>
    <w:rsid w:val="0FE10DAC"/>
    <w:rsid w:val="102F6E42"/>
    <w:rsid w:val="10365F4B"/>
    <w:rsid w:val="10576A48"/>
    <w:rsid w:val="108D06CD"/>
    <w:rsid w:val="110176B5"/>
    <w:rsid w:val="11056D1C"/>
    <w:rsid w:val="11515425"/>
    <w:rsid w:val="11651569"/>
    <w:rsid w:val="11AF0677"/>
    <w:rsid w:val="121A1DBD"/>
    <w:rsid w:val="122047E7"/>
    <w:rsid w:val="12352852"/>
    <w:rsid w:val="126C0C9E"/>
    <w:rsid w:val="12727028"/>
    <w:rsid w:val="1295124C"/>
    <w:rsid w:val="12D60970"/>
    <w:rsid w:val="131F3B08"/>
    <w:rsid w:val="134C2CF6"/>
    <w:rsid w:val="13550114"/>
    <w:rsid w:val="138B0E7F"/>
    <w:rsid w:val="13A66595"/>
    <w:rsid w:val="13D073EB"/>
    <w:rsid w:val="143F1C26"/>
    <w:rsid w:val="14616F66"/>
    <w:rsid w:val="147742FE"/>
    <w:rsid w:val="148157EA"/>
    <w:rsid w:val="14BF41B9"/>
    <w:rsid w:val="14E20166"/>
    <w:rsid w:val="15073CCA"/>
    <w:rsid w:val="151237B6"/>
    <w:rsid w:val="15231AEA"/>
    <w:rsid w:val="154107ED"/>
    <w:rsid w:val="154F3A16"/>
    <w:rsid w:val="157611C0"/>
    <w:rsid w:val="157A18EF"/>
    <w:rsid w:val="15BD5589"/>
    <w:rsid w:val="165B26F5"/>
    <w:rsid w:val="165D7941"/>
    <w:rsid w:val="16E6586E"/>
    <w:rsid w:val="17081D54"/>
    <w:rsid w:val="17560579"/>
    <w:rsid w:val="17620A24"/>
    <w:rsid w:val="176E0943"/>
    <w:rsid w:val="17BE5AB7"/>
    <w:rsid w:val="17E15FE7"/>
    <w:rsid w:val="18040CA5"/>
    <w:rsid w:val="180B7ACA"/>
    <w:rsid w:val="186D7D12"/>
    <w:rsid w:val="18730A0F"/>
    <w:rsid w:val="18A45C4B"/>
    <w:rsid w:val="18E40E40"/>
    <w:rsid w:val="194475E9"/>
    <w:rsid w:val="195653A8"/>
    <w:rsid w:val="197545B1"/>
    <w:rsid w:val="1A644AB4"/>
    <w:rsid w:val="1AA9448E"/>
    <w:rsid w:val="1ABD2416"/>
    <w:rsid w:val="1B4B17D0"/>
    <w:rsid w:val="1B686241"/>
    <w:rsid w:val="1BAA299A"/>
    <w:rsid w:val="1BCF3911"/>
    <w:rsid w:val="1BE02255"/>
    <w:rsid w:val="1BE522E3"/>
    <w:rsid w:val="1C51025D"/>
    <w:rsid w:val="1CE45AEA"/>
    <w:rsid w:val="1D315AF9"/>
    <w:rsid w:val="1D70551D"/>
    <w:rsid w:val="1D9C27B6"/>
    <w:rsid w:val="1DD91493"/>
    <w:rsid w:val="1E7D4895"/>
    <w:rsid w:val="1E85712D"/>
    <w:rsid w:val="1E961C9F"/>
    <w:rsid w:val="1F3F4992"/>
    <w:rsid w:val="1FB81EA9"/>
    <w:rsid w:val="1FF32492"/>
    <w:rsid w:val="20971013"/>
    <w:rsid w:val="212C5BFF"/>
    <w:rsid w:val="21620AFF"/>
    <w:rsid w:val="2183322A"/>
    <w:rsid w:val="21B925E0"/>
    <w:rsid w:val="21BB3E6E"/>
    <w:rsid w:val="222E44B2"/>
    <w:rsid w:val="22801A0F"/>
    <w:rsid w:val="22AA2170"/>
    <w:rsid w:val="22E0329C"/>
    <w:rsid w:val="23203648"/>
    <w:rsid w:val="23CB4A5D"/>
    <w:rsid w:val="244F2C4F"/>
    <w:rsid w:val="24562D21"/>
    <w:rsid w:val="25214F23"/>
    <w:rsid w:val="254F5C47"/>
    <w:rsid w:val="255216D9"/>
    <w:rsid w:val="25665B84"/>
    <w:rsid w:val="2573204F"/>
    <w:rsid w:val="25CE2556"/>
    <w:rsid w:val="26542183"/>
    <w:rsid w:val="26F27875"/>
    <w:rsid w:val="27576D0F"/>
    <w:rsid w:val="276A122F"/>
    <w:rsid w:val="278D4645"/>
    <w:rsid w:val="27E234FF"/>
    <w:rsid w:val="28120F00"/>
    <w:rsid w:val="282F1E8A"/>
    <w:rsid w:val="284C2989"/>
    <w:rsid w:val="28574083"/>
    <w:rsid w:val="285B737A"/>
    <w:rsid w:val="2868600E"/>
    <w:rsid w:val="286B1F95"/>
    <w:rsid w:val="28953575"/>
    <w:rsid w:val="28BA7F95"/>
    <w:rsid w:val="28C641B2"/>
    <w:rsid w:val="290B03EE"/>
    <w:rsid w:val="29287965"/>
    <w:rsid w:val="299D769A"/>
    <w:rsid w:val="29C6403C"/>
    <w:rsid w:val="29F23E8A"/>
    <w:rsid w:val="29F73CFA"/>
    <w:rsid w:val="2A88659C"/>
    <w:rsid w:val="2AFB4CB6"/>
    <w:rsid w:val="2B2219AE"/>
    <w:rsid w:val="2B9E5140"/>
    <w:rsid w:val="2BA27DD7"/>
    <w:rsid w:val="2BA74800"/>
    <w:rsid w:val="2C1D0F66"/>
    <w:rsid w:val="2C72074B"/>
    <w:rsid w:val="2CB177FA"/>
    <w:rsid w:val="2CD62806"/>
    <w:rsid w:val="2CE44ADD"/>
    <w:rsid w:val="2D051EB8"/>
    <w:rsid w:val="2D2D004C"/>
    <w:rsid w:val="2D3A1CC6"/>
    <w:rsid w:val="2D47308A"/>
    <w:rsid w:val="2D4A18E7"/>
    <w:rsid w:val="2D884081"/>
    <w:rsid w:val="2D957CF5"/>
    <w:rsid w:val="2DAD59E7"/>
    <w:rsid w:val="2E2440C9"/>
    <w:rsid w:val="2E742A33"/>
    <w:rsid w:val="2EB060C2"/>
    <w:rsid w:val="2EC42436"/>
    <w:rsid w:val="2F3644C5"/>
    <w:rsid w:val="2F8962A9"/>
    <w:rsid w:val="2F8C268B"/>
    <w:rsid w:val="2FDC3709"/>
    <w:rsid w:val="303837B5"/>
    <w:rsid w:val="309B2C5C"/>
    <w:rsid w:val="30A05605"/>
    <w:rsid w:val="30DA11D4"/>
    <w:rsid w:val="30DB023F"/>
    <w:rsid w:val="313712BB"/>
    <w:rsid w:val="313729F6"/>
    <w:rsid w:val="313B6DB1"/>
    <w:rsid w:val="318F018F"/>
    <w:rsid w:val="31A057FC"/>
    <w:rsid w:val="31F0593E"/>
    <w:rsid w:val="323E48BD"/>
    <w:rsid w:val="324A6EF2"/>
    <w:rsid w:val="324E6AA5"/>
    <w:rsid w:val="32CF5E49"/>
    <w:rsid w:val="32E225C2"/>
    <w:rsid w:val="33106F79"/>
    <w:rsid w:val="33134E71"/>
    <w:rsid w:val="33546DD8"/>
    <w:rsid w:val="33BD2A29"/>
    <w:rsid w:val="33E5752C"/>
    <w:rsid w:val="34192013"/>
    <w:rsid w:val="342B43A1"/>
    <w:rsid w:val="3447384F"/>
    <w:rsid w:val="3474193F"/>
    <w:rsid w:val="34BB756E"/>
    <w:rsid w:val="356E6305"/>
    <w:rsid w:val="35D703D8"/>
    <w:rsid w:val="36046DCF"/>
    <w:rsid w:val="36754F9C"/>
    <w:rsid w:val="368D53F3"/>
    <w:rsid w:val="36B942D9"/>
    <w:rsid w:val="36C103F8"/>
    <w:rsid w:val="36DD067B"/>
    <w:rsid w:val="36F647DD"/>
    <w:rsid w:val="3735230E"/>
    <w:rsid w:val="377759CE"/>
    <w:rsid w:val="3791061D"/>
    <w:rsid w:val="381641A8"/>
    <w:rsid w:val="38190834"/>
    <w:rsid w:val="382C6791"/>
    <w:rsid w:val="383B54B4"/>
    <w:rsid w:val="38590FD6"/>
    <w:rsid w:val="385F5004"/>
    <w:rsid w:val="3874362B"/>
    <w:rsid w:val="38E0004C"/>
    <w:rsid w:val="39E97325"/>
    <w:rsid w:val="3A0C6872"/>
    <w:rsid w:val="3A4575FF"/>
    <w:rsid w:val="3BE35255"/>
    <w:rsid w:val="3BF426EE"/>
    <w:rsid w:val="3C5E715D"/>
    <w:rsid w:val="3C6A3D54"/>
    <w:rsid w:val="3CAD3C40"/>
    <w:rsid w:val="3CB866C5"/>
    <w:rsid w:val="3CBF5299"/>
    <w:rsid w:val="3D5347E8"/>
    <w:rsid w:val="3D553199"/>
    <w:rsid w:val="3DC3312C"/>
    <w:rsid w:val="3E3D0FF4"/>
    <w:rsid w:val="3E7C7212"/>
    <w:rsid w:val="3EB16D20"/>
    <w:rsid w:val="3EBC2D64"/>
    <w:rsid w:val="3EEF22EE"/>
    <w:rsid w:val="3EF57C4F"/>
    <w:rsid w:val="3EFB6EE5"/>
    <w:rsid w:val="3F280D1E"/>
    <w:rsid w:val="3F4D5CCE"/>
    <w:rsid w:val="3F577E93"/>
    <w:rsid w:val="3F8C6B74"/>
    <w:rsid w:val="3F93536F"/>
    <w:rsid w:val="3FA532F5"/>
    <w:rsid w:val="3FC141AC"/>
    <w:rsid w:val="3FF47527"/>
    <w:rsid w:val="3FFD062E"/>
    <w:rsid w:val="404638FD"/>
    <w:rsid w:val="404C6A22"/>
    <w:rsid w:val="404E256C"/>
    <w:rsid w:val="407F0588"/>
    <w:rsid w:val="409254B7"/>
    <w:rsid w:val="40F2256A"/>
    <w:rsid w:val="40F721A7"/>
    <w:rsid w:val="4165553C"/>
    <w:rsid w:val="4174017A"/>
    <w:rsid w:val="4188110D"/>
    <w:rsid w:val="42554B5E"/>
    <w:rsid w:val="425F337F"/>
    <w:rsid w:val="42887351"/>
    <w:rsid w:val="42A96C58"/>
    <w:rsid w:val="42DE6A81"/>
    <w:rsid w:val="43003C7E"/>
    <w:rsid w:val="43267767"/>
    <w:rsid w:val="43290586"/>
    <w:rsid w:val="4351362D"/>
    <w:rsid w:val="435304A1"/>
    <w:rsid w:val="43A7763B"/>
    <w:rsid w:val="43B03E7E"/>
    <w:rsid w:val="44F05780"/>
    <w:rsid w:val="45A00B94"/>
    <w:rsid w:val="45AB114D"/>
    <w:rsid w:val="45C542A3"/>
    <w:rsid w:val="45E40432"/>
    <w:rsid w:val="45E95AF5"/>
    <w:rsid w:val="462B3616"/>
    <w:rsid w:val="467F05CF"/>
    <w:rsid w:val="46A165C4"/>
    <w:rsid w:val="46FC2E07"/>
    <w:rsid w:val="47BB7B0C"/>
    <w:rsid w:val="47CC005C"/>
    <w:rsid w:val="47CD163B"/>
    <w:rsid w:val="47EB01EC"/>
    <w:rsid w:val="47EF47A1"/>
    <w:rsid w:val="48AB6FFA"/>
    <w:rsid w:val="48D37C97"/>
    <w:rsid w:val="48D53D2F"/>
    <w:rsid w:val="49192B4A"/>
    <w:rsid w:val="491B78A4"/>
    <w:rsid w:val="491F7C74"/>
    <w:rsid w:val="494F522F"/>
    <w:rsid w:val="495576E0"/>
    <w:rsid w:val="4A022654"/>
    <w:rsid w:val="4A8B6B1C"/>
    <w:rsid w:val="4AC0096E"/>
    <w:rsid w:val="4B31419E"/>
    <w:rsid w:val="4B446742"/>
    <w:rsid w:val="4B4544B8"/>
    <w:rsid w:val="4B650DC4"/>
    <w:rsid w:val="4B8E3918"/>
    <w:rsid w:val="4BBC5068"/>
    <w:rsid w:val="4BCA73C6"/>
    <w:rsid w:val="4BEB727A"/>
    <w:rsid w:val="4C0916A7"/>
    <w:rsid w:val="4C254DB1"/>
    <w:rsid w:val="4C371478"/>
    <w:rsid w:val="4C373EF5"/>
    <w:rsid w:val="4C59349D"/>
    <w:rsid w:val="4C927416"/>
    <w:rsid w:val="4CC72AFC"/>
    <w:rsid w:val="4D1675E0"/>
    <w:rsid w:val="4D1D096E"/>
    <w:rsid w:val="4D302884"/>
    <w:rsid w:val="4D69435C"/>
    <w:rsid w:val="4DA26373"/>
    <w:rsid w:val="4E08517B"/>
    <w:rsid w:val="4E3F66C2"/>
    <w:rsid w:val="4E63198C"/>
    <w:rsid w:val="4EA07161"/>
    <w:rsid w:val="4EB75C03"/>
    <w:rsid w:val="4F1B5B6A"/>
    <w:rsid w:val="4F5C2E93"/>
    <w:rsid w:val="4F6A1D5A"/>
    <w:rsid w:val="4F701326"/>
    <w:rsid w:val="4FAD68C2"/>
    <w:rsid w:val="4FBA34DD"/>
    <w:rsid w:val="4FCE4A60"/>
    <w:rsid w:val="4FEE565A"/>
    <w:rsid w:val="5022142E"/>
    <w:rsid w:val="5086682B"/>
    <w:rsid w:val="508A1E77"/>
    <w:rsid w:val="50A32D71"/>
    <w:rsid w:val="51010D79"/>
    <w:rsid w:val="5137387D"/>
    <w:rsid w:val="514A6566"/>
    <w:rsid w:val="51861378"/>
    <w:rsid w:val="51900756"/>
    <w:rsid w:val="51907961"/>
    <w:rsid w:val="51AA27DA"/>
    <w:rsid w:val="51F32982"/>
    <w:rsid w:val="5224506F"/>
    <w:rsid w:val="524A627F"/>
    <w:rsid w:val="524D5852"/>
    <w:rsid w:val="52833022"/>
    <w:rsid w:val="52935B21"/>
    <w:rsid w:val="52D7511B"/>
    <w:rsid w:val="536328B0"/>
    <w:rsid w:val="5366177C"/>
    <w:rsid w:val="5383272C"/>
    <w:rsid w:val="538C75EB"/>
    <w:rsid w:val="53E700B7"/>
    <w:rsid w:val="54263E91"/>
    <w:rsid w:val="54307C7C"/>
    <w:rsid w:val="5470139E"/>
    <w:rsid w:val="54B00959"/>
    <w:rsid w:val="557F40BF"/>
    <w:rsid w:val="559509EF"/>
    <w:rsid w:val="55BE25C3"/>
    <w:rsid w:val="55D047A7"/>
    <w:rsid w:val="561641AD"/>
    <w:rsid w:val="56935E9F"/>
    <w:rsid w:val="56995ED8"/>
    <w:rsid w:val="56CD5684"/>
    <w:rsid w:val="579B705F"/>
    <w:rsid w:val="57E428FB"/>
    <w:rsid w:val="57F93E50"/>
    <w:rsid w:val="580E2365"/>
    <w:rsid w:val="584B2834"/>
    <w:rsid w:val="589B7234"/>
    <w:rsid w:val="591C3673"/>
    <w:rsid w:val="59260BAB"/>
    <w:rsid w:val="59BD67F6"/>
    <w:rsid w:val="59C05E62"/>
    <w:rsid w:val="59E7658C"/>
    <w:rsid w:val="5A0C7CAD"/>
    <w:rsid w:val="5A35454F"/>
    <w:rsid w:val="5A4263BF"/>
    <w:rsid w:val="5A4F003A"/>
    <w:rsid w:val="5ADF35E9"/>
    <w:rsid w:val="5B693F08"/>
    <w:rsid w:val="5B73348F"/>
    <w:rsid w:val="5BDD633E"/>
    <w:rsid w:val="5C681BB2"/>
    <w:rsid w:val="5C7C7666"/>
    <w:rsid w:val="5CC84423"/>
    <w:rsid w:val="5D311D3A"/>
    <w:rsid w:val="5D6E241A"/>
    <w:rsid w:val="5D805A71"/>
    <w:rsid w:val="5DE126B0"/>
    <w:rsid w:val="5E587A58"/>
    <w:rsid w:val="5EFA466C"/>
    <w:rsid w:val="5F434264"/>
    <w:rsid w:val="5FF437B1"/>
    <w:rsid w:val="6006464F"/>
    <w:rsid w:val="605E6E7C"/>
    <w:rsid w:val="60730B79"/>
    <w:rsid w:val="608F1A04"/>
    <w:rsid w:val="611440D5"/>
    <w:rsid w:val="61264D9D"/>
    <w:rsid w:val="61514B10"/>
    <w:rsid w:val="61571C70"/>
    <w:rsid w:val="619247D5"/>
    <w:rsid w:val="61CB6793"/>
    <w:rsid w:val="61F07FA8"/>
    <w:rsid w:val="61FE6888"/>
    <w:rsid w:val="62832A3D"/>
    <w:rsid w:val="628E34F6"/>
    <w:rsid w:val="630F26B0"/>
    <w:rsid w:val="631101D6"/>
    <w:rsid w:val="633D2CC2"/>
    <w:rsid w:val="6354604D"/>
    <w:rsid w:val="635D477E"/>
    <w:rsid w:val="636676A4"/>
    <w:rsid w:val="638C2707"/>
    <w:rsid w:val="63BD333F"/>
    <w:rsid w:val="63D23B29"/>
    <w:rsid w:val="63E9545C"/>
    <w:rsid w:val="63ED47CD"/>
    <w:rsid w:val="64630F05"/>
    <w:rsid w:val="647F4134"/>
    <w:rsid w:val="64DF4F6A"/>
    <w:rsid w:val="652F3FAE"/>
    <w:rsid w:val="65A25A5D"/>
    <w:rsid w:val="65A94AD7"/>
    <w:rsid w:val="65AC7FBB"/>
    <w:rsid w:val="66101E53"/>
    <w:rsid w:val="663F14FE"/>
    <w:rsid w:val="66672D99"/>
    <w:rsid w:val="66B75538"/>
    <w:rsid w:val="671E1113"/>
    <w:rsid w:val="675B62B8"/>
    <w:rsid w:val="676E5BF7"/>
    <w:rsid w:val="67744E5B"/>
    <w:rsid w:val="677E4A78"/>
    <w:rsid w:val="67D400BC"/>
    <w:rsid w:val="67D426D8"/>
    <w:rsid w:val="67DC5256"/>
    <w:rsid w:val="684921C0"/>
    <w:rsid w:val="686F6FB6"/>
    <w:rsid w:val="68B56151"/>
    <w:rsid w:val="6938124E"/>
    <w:rsid w:val="695707BA"/>
    <w:rsid w:val="6999733E"/>
    <w:rsid w:val="69A22C77"/>
    <w:rsid w:val="69B95123"/>
    <w:rsid w:val="69C243A3"/>
    <w:rsid w:val="69EB7588"/>
    <w:rsid w:val="69F04FE9"/>
    <w:rsid w:val="6A51251C"/>
    <w:rsid w:val="6A5A06B4"/>
    <w:rsid w:val="6AC83870"/>
    <w:rsid w:val="6C1910E5"/>
    <w:rsid w:val="6C402788"/>
    <w:rsid w:val="6C8452C4"/>
    <w:rsid w:val="6C8639E2"/>
    <w:rsid w:val="6CDB00AC"/>
    <w:rsid w:val="6CDC3602"/>
    <w:rsid w:val="6D080B5C"/>
    <w:rsid w:val="6D266F73"/>
    <w:rsid w:val="6D3012AF"/>
    <w:rsid w:val="6DBF3489"/>
    <w:rsid w:val="6E3B17E5"/>
    <w:rsid w:val="6E722876"/>
    <w:rsid w:val="6E773F35"/>
    <w:rsid w:val="6E8C1040"/>
    <w:rsid w:val="6EB9074A"/>
    <w:rsid w:val="6F1B1DC6"/>
    <w:rsid w:val="6F2E0811"/>
    <w:rsid w:val="6F40431D"/>
    <w:rsid w:val="6F5F65B1"/>
    <w:rsid w:val="6F766C36"/>
    <w:rsid w:val="703947D7"/>
    <w:rsid w:val="703B4AE4"/>
    <w:rsid w:val="70650FFA"/>
    <w:rsid w:val="7092142C"/>
    <w:rsid w:val="70CB40BA"/>
    <w:rsid w:val="70EC2BFF"/>
    <w:rsid w:val="70ED448B"/>
    <w:rsid w:val="71073C49"/>
    <w:rsid w:val="710F044A"/>
    <w:rsid w:val="712D08D1"/>
    <w:rsid w:val="71360DDA"/>
    <w:rsid w:val="713932CF"/>
    <w:rsid w:val="71600F2E"/>
    <w:rsid w:val="716700FD"/>
    <w:rsid w:val="717E737E"/>
    <w:rsid w:val="71823676"/>
    <w:rsid w:val="71954DDE"/>
    <w:rsid w:val="720F713E"/>
    <w:rsid w:val="72105C32"/>
    <w:rsid w:val="72677E12"/>
    <w:rsid w:val="72A25253"/>
    <w:rsid w:val="72D354A8"/>
    <w:rsid w:val="7312163B"/>
    <w:rsid w:val="73191E7E"/>
    <w:rsid w:val="73326672"/>
    <w:rsid w:val="735C724B"/>
    <w:rsid w:val="73A74695"/>
    <w:rsid w:val="742608D8"/>
    <w:rsid w:val="74A240A7"/>
    <w:rsid w:val="757150C0"/>
    <w:rsid w:val="75CA3C25"/>
    <w:rsid w:val="75D0050E"/>
    <w:rsid w:val="76183B8B"/>
    <w:rsid w:val="76245BB9"/>
    <w:rsid w:val="772C7A98"/>
    <w:rsid w:val="77496D04"/>
    <w:rsid w:val="77BF1C65"/>
    <w:rsid w:val="77D77D78"/>
    <w:rsid w:val="77FE2FC7"/>
    <w:rsid w:val="785B3F75"/>
    <w:rsid w:val="78994AAF"/>
    <w:rsid w:val="79351E51"/>
    <w:rsid w:val="79CD5581"/>
    <w:rsid w:val="7A032EEF"/>
    <w:rsid w:val="7A763D6B"/>
    <w:rsid w:val="7A92183F"/>
    <w:rsid w:val="7A9A703A"/>
    <w:rsid w:val="7B054DEB"/>
    <w:rsid w:val="7B3F4C2C"/>
    <w:rsid w:val="7B50271F"/>
    <w:rsid w:val="7B83557E"/>
    <w:rsid w:val="7BA10073"/>
    <w:rsid w:val="7BB15D42"/>
    <w:rsid w:val="7BB226F8"/>
    <w:rsid w:val="7BBA7475"/>
    <w:rsid w:val="7BD50424"/>
    <w:rsid w:val="7C104DB7"/>
    <w:rsid w:val="7C280623"/>
    <w:rsid w:val="7CA140F6"/>
    <w:rsid w:val="7CC6064D"/>
    <w:rsid w:val="7D396C2C"/>
    <w:rsid w:val="7D50667B"/>
    <w:rsid w:val="7D80447E"/>
    <w:rsid w:val="7DF33B19"/>
    <w:rsid w:val="7EDD144D"/>
    <w:rsid w:val="7EEA1BAF"/>
    <w:rsid w:val="7F16172A"/>
    <w:rsid w:val="7F360D2F"/>
    <w:rsid w:val="7F6D23A0"/>
    <w:rsid w:val="7FDF548C"/>
    <w:rsid w:val="7FEA4928"/>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Times New Roman" w:hAnsi="Times New Roman" w:eastAsia="宋体" w:cstheme="minorBidi"/>
      <w:kern w:val="2"/>
      <w:sz w:val="24"/>
      <w:szCs w:val="24"/>
      <w:lang w:val="en-US" w:eastAsia="zh-CN" w:bidi="ar-SA"/>
    </w:rPr>
  </w:style>
  <w:style w:type="paragraph" w:styleId="4">
    <w:name w:val="heading 1"/>
    <w:basedOn w:val="1"/>
    <w:next w:val="1"/>
    <w:qFormat/>
    <w:uiPriority w:val="0"/>
    <w:pPr>
      <w:keepNext/>
      <w:pageBreakBefore/>
      <w:overflowPunct w:val="0"/>
      <w:snapToGrid w:val="0"/>
      <w:ind w:firstLine="0" w:firstLineChars="0"/>
      <w:jc w:val="both"/>
      <w:outlineLvl w:val="0"/>
    </w:pPr>
    <w:rPr>
      <w:rFonts w:eastAsia="宋体" w:asciiTheme="minorAscii" w:hAnsiTheme="minorAscii"/>
      <w:b/>
      <w:bCs/>
      <w:color w:val="000000"/>
      <w:kern w:val="44"/>
      <w:sz w:val="28"/>
      <w:szCs w:val="30"/>
    </w:rPr>
  </w:style>
  <w:style w:type="paragraph" w:styleId="5">
    <w:name w:val="heading 3"/>
    <w:basedOn w:val="1"/>
    <w:next w:val="1"/>
    <w:qFormat/>
    <w:uiPriority w:val="1"/>
    <w:pPr>
      <w:ind w:left="766" w:hanging="541"/>
      <w:outlineLvl w:val="3"/>
    </w:pPr>
    <w:rPr>
      <w:rFonts w:ascii="宋体" w:hAnsi="宋体" w:eastAsia="宋体" w:cs="宋体"/>
      <w:b/>
      <w:bCs/>
      <w:sz w:val="24"/>
      <w:szCs w:val="24"/>
      <w:lang w:val="zh-CN" w:eastAsia="zh-CN" w:bidi="zh-CN"/>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spacing w:after="120"/>
      <w:ind w:left="420" w:leftChars="200"/>
    </w:pPr>
    <w:rPr>
      <w:kern w:val="0"/>
      <w:szCs w:val="20"/>
    </w:rPr>
  </w:style>
  <w:style w:type="paragraph" w:styleId="7">
    <w:name w:val="Normal Indent"/>
    <w:basedOn w:val="1"/>
    <w:next w:val="2"/>
    <w:qFormat/>
    <w:uiPriority w:val="0"/>
    <w:pPr>
      <w:ind w:firstLine="420"/>
    </w:pPr>
  </w:style>
  <w:style w:type="paragraph" w:styleId="8">
    <w:name w:val="toa heading"/>
    <w:basedOn w:val="1"/>
    <w:next w:val="1"/>
    <w:qFormat/>
    <w:uiPriority w:val="0"/>
    <w:pPr>
      <w:spacing w:before="120" w:beforeLines="0" w:beforeAutospacing="0"/>
    </w:pPr>
    <w:rPr>
      <w:rFonts w:ascii="Arial" w:hAnsi="Arial"/>
      <w:sz w:val="24"/>
    </w:rPr>
  </w:style>
  <w:style w:type="paragraph" w:styleId="9">
    <w:name w:val="annotation text"/>
    <w:basedOn w:val="1"/>
    <w:semiHidden/>
    <w:qFormat/>
    <w:uiPriority w:val="0"/>
    <w:pPr>
      <w:jc w:val="left"/>
    </w:pPr>
    <w:rPr>
      <w:kern w:val="0"/>
      <w:szCs w:val="20"/>
    </w:rPr>
  </w:style>
  <w:style w:type="paragraph" w:styleId="10">
    <w:name w:val="Body Text"/>
    <w:basedOn w:val="1"/>
    <w:next w:val="1"/>
    <w:qFormat/>
    <w:uiPriority w:val="0"/>
    <w:rPr>
      <w:rFonts w:ascii="宋体"/>
      <w:color w:val="000000"/>
      <w:szCs w:val="28"/>
    </w:rPr>
  </w:style>
  <w:style w:type="paragraph" w:styleId="11">
    <w:name w:val="List Bullet 5"/>
    <w:basedOn w:val="1"/>
    <w:next w:val="1"/>
    <w:qFormat/>
    <w:uiPriority w:val="0"/>
    <w:pPr>
      <w:numPr>
        <w:ilvl w:val="0"/>
        <w:numId w:val="1"/>
      </w:numPr>
    </w:pPr>
  </w:style>
  <w:style w:type="paragraph" w:styleId="12">
    <w:name w:val="footer"/>
    <w:basedOn w:val="1"/>
    <w:qFormat/>
    <w:uiPriority w:val="0"/>
    <w:pPr>
      <w:tabs>
        <w:tab w:val="center" w:pos="4153"/>
        <w:tab w:val="right" w:pos="8306"/>
      </w:tabs>
      <w:snapToGrid w:val="0"/>
      <w:jc w:val="left"/>
    </w:pPr>
    <w:rPr>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Cs w:val="20"/>
    </w:rPr>
  </w:style>
  <w:style w:type="paragraph" w:styleId="16">
    <w:name w:val="Body Text First Indent"/>
    <w:basedOn w:val="10"/>
    <w:next w:val="1"/>
    <w:qFormat/>
    <w:uiPriority w:val="0"/>
    <w:pPr>
      <w:spacing w:after="120"/>
      <w:ind w:firstLine="100" w:firstLineChars="100"/>
    </w:pPr>
    <w:rPr>
      <w:rFonts w:ascii="Times New Roman" w:hAnsi="Times New Roman"/>
      <w:color w:val="auto"/>
      <w:sz w:val="28"/>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styleId="22">
    <w:name w:val="annotation reference"/>
    <w:basedOn w:val="19"/>
    <w:semiHidden/>
    <w:qFormat/>
    <w:uiPriority w:val="0"/>
    <w:rPr>
      <w:sz w:val="21"/>
    </w:rPr>
  </w:style>
  <w:style w:type="paragraph" w:customStyle="1" w:styleId="23">
    <w:name w:val="样式 正文缩进正文缩进2正文缩进 Char Char正文缩进 Char Char Char Char正文缩进 Char ..."/>
    <w:basedOn w:val="7"/>
    <w:qFormat/>
    <w:uiPriority w:val="0"/>
    <w:pPr>
      <w:spacing w:line="240" w:lineRule="auto"/>
      <w:ind w:firstLine="0" w:firstLineChars="0"/>
    </w:pPr>
    <w:rPr>
      <w:rFonts w:ascii="Times New Roman" w:hAnsi="Times New Roman" w:eastAsia="宋体" w:cs="Times New Roman"/>
      <w:w w:val="80"/>
      <w:sz w:val="18"/>
      <w:szCs w:val="15"/>
    </w:rPr>
  </w:style>
  <w:style w:type="paragraph" w:customStyle="1" w:styleId="24">
    <w:name w:val="[1]正文"/>
    <w:basedOn w:val="1"/>
    <w:qFormat/>
    <w:uiPriority w:val="0"/>
    <w:pPr>
      <w:autoSpaceDE w:val="0"/>
      <w:autoSpaceDN w:val="0"/>
      <w:ind w:left="0" w:leftChars="0" w:firstLine="200" w:firstLineChars="200"/>
    </w:pPr>
    <w:rPr>
      <w:rFonts w:ascii="Times New Roman" w:hAnsi="Times New Roman"/>
      <w:color w:val="000000"/>
      <w:kern w:val="0"/>
      <w:szCs w:val="24"/>
      <w:lang w:val="zh-CN"/>
    </w:rPr>
  </w:style>
  <w:style w:type="paragraph" w:customStyle="1" w:styleId="25">
    <w:name w:val="表格"/>
    <w:basedOn w:val="7"/>
    <w:next w:val="1"/>
    <w:qFormat/>
    <w:uiPriority w:val="0"/>
    <w:pPr>
      <w:adjustRightInd w:val="0"/>
      <w:snapToGrid w:val="0"/>
      <w:spacing w:line="240" w:lineRule="auto"/>
      <w:ind w:firstLine="0" w:firstLineChars="0"/>
      <w:jc w:val="center"/>
    </w:pPr>
    <w:rPr>
      <w:kern w:val="0"/>
      <w:sz w:val="21"/>
      <w:szCs w:val="21"/>
    </w:rPr>
  </w:style>
  <w:style w:type="paragraph" w:customStyle="1" w:styleId="26">
    <w:name w:val="表头"/>
    <w:basedOn w:val="7"/>
    <w:next w:val="1"/>
    <w:link w:val="30"/>
    <w:qFormat/>
    <w:uiPriority w:val="0"/>
    <w:pPr>
      <w:ind w:firstLine="0" w:firstLineChars="0"/>
      <w:jc w:val="center"/>
    </w:pPr>
    <w:rPr>
      <w:b/>
      <w:kern w:val="0"/>
      <w:sz w:val="20"/>
      <w:szCs w:val="22"/>
    </w:rPr>
  </w:style>
  <w:style w:type="paragraph" w:customStyle="1" w:styleId="27">
    <w:name w:val="Table Paragraph"/>
    <w:basedOn w:val="1"/>
    <w:qFormat/>
    <w:uiPriority w:val="1"/>
    <w:pPr>
      <w:jc w:val="center"/>
    </w:pPr>
    <w:rPr>
      <w:rFonts w:ascii="Times New Roman" w:hAnsi="Times New Roman" w:eastAsia="Times New Roman" w:cs="Times New Roman"/>
      <w:lang w:val="zh-CN" w:eastAsia="zh-CN" w:bidi="zh-CN"/>
    </w:rPr>
  </w:style>
  <w:style w:type="paragraph" w:styleId="28">
    <w:name w:val="List Paragraph"/>
    <w:basedOn w:val="1"/>
    <w:qFormat/>
    <w:uiPriority w:val="1"/>
    <w:pPr>
      <w:spacing w:before="2"/>
      <w:ind w:left="1307" w:hanging="602"/>
    </w:pPr>
    <w:rPr>
      <w:rFonts w:ascii="宋体" w:hAnsi="宋体" w:eastAsia="宋体" w:cs="宋体"/>
      <w:lang w:val="zh-CN" w:eastAsia="zh-CN" w:bidi="zh-CN"/>
    </w:rPr>
  </w:style>
  <w:style w:type="paragraph" w:customStyle="1" w:styleId="29">
    <w:name w:val="Other|1"/>
    <w:basedOn w:val="1"/>
    <w:qFormat/>
    <w:uiPriority w:val="0"/>
    <w:pPr>
      <w:spacing w:after="30" w:line="346" w:lineRule="auto"/>
    </w:pPr>
    <w:rPr>
      <w:rFonts w:ascii="宋体" w:hAnsi="宋体" w:eastAsia="宋体" w:cs="宋体"/>
      <w:sz w:val="20"/>
      <w:szCs w:val="20"/>
      <w:lang w:val="zh-TW" w:eastAsia="zh-TW" w:bidi="zh-TW"/>
    </w:rPr>
  </w:style>
  <w:style w:type="character" w:customStyle="1" w:styleId="30">
    <w:name w:val="表头 Char1"/>
    <w:link w:val="26"/>
    <w:qFormat/>
    <w:uiPriority w:val="0"/>
    <w:rPr>
      <w:b/>
      <w:kern w:val="0"/>
      <w:sz w:val="20"/>
      <w:szCs w:val="22"/>
    </w:rPr>
  </w:style>
  <w:style w:type="paragraph" w:customStyle="1" w:styleId="31">
    <w:name w:val="小标题"/>
    <w:basedOn w:val="32"/>
    <w:qFormat/>
    <w:uiPriority w:val="0"/>
    <w:pPr>
      <w:spacing w:line="480" w:lineRule="exact"/>
      <w:ind w:firstLine="0" w:firstLineChars="0"/>
      <w:jc w:val="left"/>
    </w:pPr>
    <w:rPr>
      <w:b/>
      <w:color w:val="000000"/>
    </w:rPr>
  </w:style>
  <w:style w:type="paragraph" w:customStyle="1" w:styleId="32">
    <w:name w:val="列表段落1"/>
    <w:basedOn w:val="1"/>
    <w:qFormat/>
    <w:uiPriority w:val="34"/>
    <w:pPr>
      <w:ind w:firstLine="420"/>
    </w:pPr>
  </w:style>
  <w:style w:type="paragraph" w:customStyle="1" w:styleId="33">
    <w:name w:val="【正文】"/>
    <w:basedOn w:val="1"/>
    <w:qFormat/>
    <w:uiPriority w:val="0"/>
    <w:pPr>
      <w:spacing w:line="480" w:lineRule="exact"/>
      <w:ind w:firstLine="200"/>
    </w:pPr>
    <w:rPr>
      <w:szCs w:val="20"/>
    </w:rPr>
  </w:style>
  <w:style w:type="paragraph" w:customStyle="1" w:styleId="34">
    <w:name w:val="L-正文+小四"/>
    <w:basedOn w:val="1"/>
    <w:qFormat/>
    <w:uiPriority w:val="0"/>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A样式 小四 行距: 1.5 倍行距 首行缩进:  2 字符"/>
    <w:basedOn w:val="1"/>
    <w:qFormat/>
    <w:uiPriority w:val="0"/>
    <w:pPr>
      <w:spacing w:line="360" w:lineRule="auto"/>
      <w:ind w:firstLine="480" w:firstLineChars="200"/>
    </w:pPr>
    <w:rPr>
      <w:rFonts w:ascii="Calibri" w:hAnsi="Calibri" w:eastAsia="仿宋" w:cs="宋体"/>
    </w:rPr>
  </w:style>
  <w:style w:type="paragraph" w:customStyle="1" w:styleId="37">
    <w:name w:val="报告表样式"/>
    <w:basedOn w:val="1"/>
    <w:qFormat/>
    <w:uiPriority w:val="0"/>
    <w:pPr>
      <w:adjustRightInd w:val="0"/>
      <w:snapToGrid w:val="0"/>
      <w:spacing w:line="360" w:lineRule="auto"/>
      <w:ind w:firstLine="200" w:firstLineChars="200"/>
    </w:pPr>
    <w:rPr>
      <w:sz w:val="28"/>
      <w:szCs w:val="28"/>
    </w:rPr>
  </w:style>
  <w:style w:type="paragraph" w:customStyle="1" w:styleId="38">
    <w:name w:val="表格文字"/>
    <w:basedOn w:val="1"/>
    <w:qFormat/>
    <w:uiPriority w:val="0"/>
    <w:rPr>
      <w:rFonts w:ascii="宋体" w:hAnsi="宋体" w:eastAsia="宋体"/>
      <w:kern w:val="2"/>
      <w:sz w:val="21"/>
      <w:lang w:val="en-US" w:eastAsia="zh-CN" w:bidi="ar-SA"/>
    </w:rPr>
  </w:style>
  <w:style w:type="paragraph" w:customStyle="1" w:styleId="39">
    <w:name w:val="样式5"/>
    <w:basedOn w:val="40"/>
    <w:qFormat/>
    <w:uiPriority w:val="0"/>
    <w:pPr>
      <w:adjustRightInd w:val="0"/>
      <w:snapToGrid w:val="0"/>
      <w:spacing w:line="360" w:lineRule="auto"/>
      <w:ind w:firstLine="480" w:firstLineChars="200"/>
    </w:pPr>
    <w:rPr>
      <w:rFonts w:ascii="宋体" w:hAnsi="宋体" w:cs="宋体"/>
      <w:bCs/>
      <w:color w:val="000000"/>
      <w:sz w:val="24"/>
    </w:rPr>
  </w:style>
  <w:style w:type="paragraph" w:customStyle="1" w:styleId="40">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character" w:customStyle="1" w:styleId="41">
    <w:name w:val="fontstyle01"/>
    <w:qFormat/>
    <w:uiPriority w:val="0"/>
    <w:rPr>
      <w:rFonts w:hint="eastAsia" w:ascii="宋体" w:hAnsi="宋体" w:eastAsia="宋体"/>
      <w:color w:val="000000"/>
      <w:sz w:val="24"/>
      <w:szCs w:val="24"/>
    </w:rPr>
  </w:style>
  <w:style w:type="character" w:customStyle="1" w:styleId="42">
    <w:name w:val="fontstyle1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22.png"/><Relationship Id="rId42" Type="http://schemas.openxmlformats.org/officeDocument/2006/relationships/image" Target="media/image21.jpeg"/><Relationship Id="rId41" Type="http://schemas.openxmlformats.org/officeDocument/2006/relationships/image" Target="media/image20.png"/><Relationship Id="rId40" Type="http://schemas.openxmlformats.org/officeDocument/2006/relationships/image" Target="media/image19.png"/><Relationship Id="rId4" Type="http://schemas.openxmlformats.org/officeDocument/2006/relationships/endnotes" Target="endnotes.xml"/><Relationship Id="rId39" Type="http://schemas.openxmlformats.org/officeDocument/2006/relationships/image" Target="media/image18.png"/><Relationship Id="rId38" Type="http://schemas.openxmlformats.org/officeDocument/2006/relationships/image" Target="media/image17.png"/><Relationship Id="rId37" Type="http://schemas.openxmlformats.org/officeDocument/2006/relationships/image" Target="media/image16.png"/><Relationship Id="rId36" Type="http://schemas.openxmlformats.org/officeDocument/2006/relationships/image" Target="media/image15.wmf"/><Relationship Id="rId35" Type="http://schemas.openxmlformats.org/officeDocument/2006/relationships/oleObject" Target="embeddings/oleObject12.bin"/><Relationship Id="rId34" Type="http://schemas.openxmlformats.org/officeDocument/2006/relationships/image" Target="media/image14.wmf"/><Relationship Id="rId33" Type="http://schemas.openxmlformats.org/officeDocument/2006/relationships/oleObject" Target="embeddings/oleObject11.bin"/><Relationship Id="rId32" Type="http://schemas.openxmlformats.org/officeDocument/2006/relationships/image" Target="media/image13.wmf"/><Relationship Id="rId31" Type="http://schemas.openxmlformats.org/officeDocument/2006/relationships/oleObject" Target="embeddings/oleObject10.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9.bin"/><Relationship Id="rId28" Type="http://schemas.openxmlformats.org/officeDocument/2006/relationships/image" Target="media/image11.wmf"/><Relationship Id="rId27" Type="http://schemas.openxmlformats.org/officeDocument/2006/relationships/oleObject" Target="embeddings/oleObject8.bin"/><Relationship Id="rId26" Type="http://schemas.openxmlformats.org/officeDocument/2006/relationships/image" Target="media/image10.wmf"/><Relationship Id="rId25" Type="http://schemas.openxmlformats.org/officeDocument/2006/relationships/oleObject" Target="embeddings/oleObject7.bin"/><Relationship Id="rId24" Type="http://schemas.openxmlformats.org/officeDocument/2006/relationships/image" Target="media/image9.wmf"/><Relationship Id="rId23" Type="http://schemas.openxmlformats.org/officeDocument/2006/relationships/oleObject" Target="embeddings/oleObject6.bin"/><Relationship Id="rId22" Type="http://schemas.openxmlformats.org/officeDocument/2006/relationships/image" Target="media/image8.wmf"/><Relationship Id="rId21" Type="http://schemas.openxmlformats.org/officeDocument/2006/relationships/oleObject" Target="embeddings/oleObject5.bin"/><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27110</Words>
  <Characters>31639</Characters>
  <Lines>0</Lines>
  <Paragraphs>0</Paragraphs>
  <TotalTime>1</TotalTime>
  <ScaleCrop>false</ScaleCrop>
  <LinksUpToDate>false</LinksUpToDate>
  <CharactersWithSpaces>31997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姜婷婷</cp:lastModifiedBy>
  <cp:lastPrinted>2022-07-27T01:42:00Z</cp:lastPrinted>
  <dcterms:modified xsi:type="dcterms:W3CDTF">2023-04-12T02:30:14Z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A14CD659219F4A578627E042CA508E7A</vt:lpwstr>
  </property>
</Properties>
</file>