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bookmarkStart w:id="0" w:name="_Hlk57883707"/>
    </w:p>
    <w:p>
      <w:pPr>
        <w:rPr>
          <w:rFonts w:eastAsia="仿宋_GB2312"/>
          <w:sz w:val="36"/>
          <w:szCs w:val="36"/>
        </w:rPr>
      </w:pPr>
    </w:p>
    <w:p>
      <w:pPr>
        <w:rPr>
          <w:rFonts w:eastAsia="仿宋_GB2312"/>
          <w:sz w:val="36"/>
          <w:szCs w:val="36"/>
        </w:rPr>
      </w:pPr>
    </w:p>
    <w:bookmarkEnd w:id="0"/>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（生态影响类）</w:t>
      </w:r>
    </w:p>
    <w:p>
      <w:bookmarkStart w:id="1" w:name="_Hlk57883728"/>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1"/>
    <w:p>
      <w:pPr>
        <w:adjustRightInd w:val="0"/>
        <w:snapToGrid w:val="0"/>
        <w:spacing w:line="288" w:lineRule="auto"/>
        <w:ind w:firstLine="720" w:firstLineChars="200"/>
        <w:rPr>
          <w:rFonts w:eastAsia="仿宋_GB2312"/>
          <w:sz w:val="36"/>
          <w:szCs w:val="36"/>
          <w:u w:val="single"/>
        </w:rPr>
      </w:pPr>
      <w:r>
        <w:rPr>
          <w:rFonts w:eastAsia="仿宋_GB2312"/>
          <w:sz w:val="36"/>
          <w:szCs w:val="36"/>
        </w:rPr>
        <w:t>项目名称：</w:t>
      </w:r>
      <w:r>
        <w:rPr>
          <w:rFonts w:hint="eastAsia" w:eastAsia="仿宋_GB2312"/>
          <w:sz w:val="36"/>
          <w:szCs w:val="36"/>
          <w:u w:val="single"/>
        </w:rPr>
        <w:t>巴彦淖尔100万千瓦光储+生态治理项目</w:t>
      </w:r>
    </w:p>
    <w:p>
      <w:pPr>
        <w:adjustRightInd w:val="0"/>
        <w:snapToGrid w:val="0"/>
        <w:spacing w:line="288" w:lineRule="auto"/>
        <w:ind w:firstLine="2520" w:firstLineChars="700"/>
        <w:rPr>
          <w:rFonts w:eastAsia="仿宋_GB2312"/>
          <w:sz w:val="36"/>
          <w:szCs w:val="36"/>
          <w:u w:val="single"/>
        </w:rPr>
      </w:pPr>
      <w:r>
        <w:rPr>
          <w:rFonts w:hint="eastAsia" w:eastAsia="仿宋_GB2312"/>
          <w:sz w:val="36"/>
          <w:szCs w:val="36"/>
          <w:u w:val="single"/>
        </w:rPr>
        <w:t>乌拉特前旗15万千瓦子项目</w:t>
      </w:r>
    </w:p>
    <w:p>
      <w:pPr>
        <w:adjustRightInd w:val="0"/>
        <w:snapToGrid w:val="0"/>
        <w:spacing w:line="288" w:lineRule="auto"/>
        <w:ind w:firstLine="720" w:firstLineChars="200"/>
        <w:rPr>
          <w:rFonts w:eastAsia="仿宋_GB2312"/>
          <w:sz w:val="36"/>
          <w:szCs w:val="36"/>
          <w:u w:val="single"/>
        </w:rPr>
      </w:pPr>
      <w:r>
        <w:rPr>
          <w:rFonts w:eastAsia="仿宋_GB2312"/>
          <w:sz w:val="36"/>
          <w:szCs w:val="36"/>
        </w:rPr>
        <w:t>建设单位（盖章）：</w:t>
      </w:r>
      <w:r>
        <w:rPr>
          <w:rFonts w:hint="eastAsia" w:eastAsia="仿宋_GB2312"/>
          <w:sz w:val="36"/>
          <w:szCs w:val="36"/>
          <w:u w:val="single"/>
        </w:rPr>
        <w:t>内蒙古巴彦淖尔蒙能能源</w:t>
      </w:r>
    </w:p>
    <w:p>
      <w:pPr>
        <w:adjustRightInd w:val="0"/>
        <w:snapToGrid w:val="0"/>
        <w:spacing w:line="288" w:lineRule="auto"/>
        <w:ind w:firstLine="3960" w:firstLineChars="1100"/>
        <w:rPr>
          <w:rFonts w:eastAsia="仿宋_GB2312"/>
          <w:sz w:val="36"/>
          <w:szCs w:val="36"/>
          <w:u w:val="single"/>
        </w:rPr>
      </w:pPr>
      <w:r>
        <w:rPr>
          <w:rFonts w:hint="eastAsia" w:eastAsia="仿宋_GB2312"/>
          <w:sz w:val="36"/>
          <w:szCs w:val="36"/>
          <w:u w:val="single"/>
        </w:rPr>
        <w:t>有限公司</w:t>
      </w:r>
    </w:p>
    <w:p>
      <w:pPr>
        <w:adjustRightInd w:val="0"/>
        <w:snapToGrid w:val="0"/>
        <w:spacing w:line="288" w:lineRule="auto"/>
        <w:ind w:firstLine="720" w:firstLineChars="200"/>
        <w:rPr>
          <w:rFonts w:eastAsia="仿宋_GB2312"/>
          <w:sz w:val="36"/>
          <w:szCs w:val="36"/>
          <w:u w:val="single"/>
        </w:rPr>
      </w:pPr>
      <w:r>
        <w:rPr>
          <w:rFonts w:eastAsia="仿宋_GB2312"/>
          <w:sz w:val="36"/>
          <w:szCs w:val="36"/>
        </w:rPr>
        <w:t>编制日期：</w:t>
      </w:r>
      <w:r>
        <w:rPr>
          <w:rFonts w:eastAsia="仿宋_GB2312"/>
          <w:sz w:val="36"/>
          <w:szCs w:val="36"/>
          <w:u w:val="single"/>
        </w:rPr>
        <w:t>2023年3月</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pPr>
      <w:r>
        <w:rPr>
          <w:rFonts w:eastAsia="仿宋_GB2312"/>
          <w:sz w:val="36"/>
          <w:szCs w:val="36"/>
        </w:rPr>
        <w:br w:type="page"/>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sz w:val="30"/>
          <w:szCs w:val="30"/>
        </w:rPr>
        <w:t>一、建设项目基本情况</w:t>
      </w:r>
    </w:p>
    <w:tbl>
      <w:tblPr>
        <w:tblStyle w:val="16"/>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99"/>
        <w:gridCol w:w="1527"/>
        <w:gridCol w:w="1928"/>
        <w:gridCol w:w="2064"/>
        <w:gridCol w:w="28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36"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建设项目名称</w:t>
            </w:r>
          </w:p>
        </w:tc>
        <w:tc>
          <w:tcPr>
            <w:tcW w:w="6813" w:type="dxa"/>
            <w:gridSpan w:val="3"/>
            <w:vAlign w:val="center"/>
          </w:tcPr>
          <w:p>
            <w:pPr>
              <w:adjustRightInd w:val="0"/>
              <w:snapToGrid w:val="0"/>
              <w:jc w:val="center"/>
              <w:rPr>
                <w:sz w:val="24"/>
              </w:rPr>
            </w:pPr>
            <w:r>
              <w:rPr>
                <w:rFonts w:hint="eastAsia"/>
                <w:sz w:val="24"/>
              </w:rPr>
              <w:t>巴彦淖尔100万千瓦光储+生态治理项目</w:t>
            </w:r>
          </w:p>
          <w:p>
            <w:pPr>
              <w:adjustRightInd w:val="0"/>
              <w:snapToGrid w:val="0"/>
              <w:jc w:val="center"/>
              <w:rPr>
                <w:sz w:val="24"/>
              </w:rPr>
            </w:pPr>
            <w:r>
              <w:rPr>
                <w:rFonts w:hint="eastAsia"/>
                <w:sz w:val="24"/>
              </w:rPr>
              <w:t>乌拉特前旗15万千瓦子项目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6"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项目代码</w:t>
            </w:r>
          </w:p>
        </w:tc>
        <w:tc>
          <w:tcPr>
            <w:tcW w:w="6813" w:type="dxa"/>
            <w:gridSpan w:val="3"/>
            <w:vAlign w:val="center"/>
          </w:tcPr>
          <w:p>
            <w:pPr>
              <w:adjustRightInd w:val="0"/>
              <w:snapToGrid w:val="0"/>
              <w:jc w:val="center"/>
              <w:rPr>
                <w:sz w:val="24"/>
              </w:rPr>
            </w:pPr>
            <w:r>
              <w:rPr>
                <w:sz w:val="24"/>
              </w:rPr>
              <w:t>2212-150822-04-01-789206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1"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建设单位联系人</w:t>
            </w:r>
          </w:p>
        </w:tc>
        <w:tc>
          <w:tcPr>
            <w:tcW w:w="1928" w:type="dxa"/>
            <w:vAlign w:val="center"/>
          </w:tcPr>
          <w:p>
            <w:pPr>
              <w:adjustRightInd w:val="0"/>
              <w:snapToGrid w:val="0"/>
              <w:jc w:val="center"/>
              <w:rPr>
                <w:sz w:val="24"/>
              </w:rPr>
            </w:pPr>
            <w:r>
              <w:rPr>
                <w:rFonts w:hint="eastAsia"/>
                <w:sz w:val="24"/>
              </w:rPr>
              <w:t>王立军</w:t>
            </w:r>
          </w:p>
        </w:tc>
        <w:tc>
          <w:tcPr>
            <w:tcW w:w="2064" w:type="dxa"/>
            <w:vAlign w:val="center"/>
          </w:tcPr>
          <w:p>
            <w:pPr>
              <w:adjustRightInd w:val="0"/>
              <w:snapToGrid w:val="0"/>
              <w:jc w:val="center"/>
              <w:rPr>
                <w:sz w:val="24"/>
              </w:rPr>
            </w:pPr>
            <w:r>
              <w:rPr>
                <w:sz w:val="24"/>
              </w:rPr>
              <w:t>联系方式</w:t>
            </w:r>
          </w:p>
        </w:tc>
        <w:tc>
          <w:tcPr>
            <w:tcW w:w="2821" w:type="dxa"/>
            <w:vAlign w:val="center"/>
          </w:tcPr>
          <w:p>
            <w:pPr>
              <w:adjustRightInd w:val="0"/>
              <w:snapToGrid w:val="0"/>
              <w:jc w:val="center"/>
              <w:rPr>
                <w:sz w:val="24"/>
              </w:rPr>
            </w:pPr>
            <w:r>
              <w:rPr>
                <w:sz w:val="24"/>
              </w:rPr>
              <w:t>18104770475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49"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建设地点</w:t>
            </w:r>
          </w:p>
        </w:tc>
        <w:tc>
          <w:tcPr>
            <w:tcW w:w="6813" w:type="dxa"/>
            <w:gridSpan w:val="3"/>
            <w:vAlign w:val="center"/>
          </w:tcPr>
          <w:p>
            <w:pPr>
              <w:adjustRightInd w:val="0"/>
              <w:snapToGrid w:val="0"/>
              <w:jc w:val="center"/>
              <w:rPr>
                <w:sz w:val="24"/>
              </w:rPr>
            </w:pPr>
            <w:r>
              <w:rPr>
                <w:rFonts w:hint="eastAsia"/>
                <w:sz w:val="24"/>
              </w:rPr>
              <w:t>内蒙古自治区巴彦淖尔市乌拉特前旗额尔登布拉格苏木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30"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地理坐标</w:t>
            </w:r>
          </w:p>
        </w:tc>
        <w:tc>
          <w:tcPr>
            <w:tcW w:w="6813" w:type="dxa"/>
            <w:gridSpan w:val="3"/>
            <w:vAlign w:val="center"/>
          </w:tcPr>
          <w:p>
            <w:pPr>
              <w:adjustRightInd w:val="0"/>
              <w:snapToGrid w:val="0"/>
              <w:jc w:val="center"/>
              <w:rPr>
                <w:sz w:val="24"/>
              </w:rPr>
            </w:pPr>
            <w:r>
              <w:rPr>
                <w:sz w:val="24"/>
              </w:rPr>
              <w:t>光伏场地块</w:t>
            </w:r>
            <w:r>
              <w:rPr>
                <w:rFonts w:hint="eastAsia"/>
                <w:sz w:val="24"/>
              </w:rPr>
              <w:t>1</w:t>
            </w:r>
            <w:r>
              <w:rPr>
                <w:sz w:val="24"/>
              </w:rPr>
              <w:t>中心坐标：（北纬：</w:t>
            </w:r>
            <w:r>
              <w:rPr>
                <w:sz w:val="24"/>
                <w:u w:val="single"/>
              </w:rPr>
              <w:t>40</w:t>
            </w:r>
            <w:r>
              <w:rPr>
                <w:sz w:val="24"/>
              </w:rPr>
              <w:t>度</w:t>
            </w:r>
            <w:r>
              <w:rPr>
                <w:sz w:val="24"/>
                <w:u w:val="single"/>
              </w:rPr>
              <w:t>47</w:t>
            </w:r>
            <w:r>
              <w:rPr>
                <w:sz w:val="24"/>
              </w:rPr>
              <w:t>分</w:t>
            </w:r>
            <w:r>
              <w:rPr>
                <w:sz w:val="24"/>
                <w:u w:val="single"/>
              </w:rPr>
              <w:t>33.11</w:t>
            </w:r>
            <w:r>
              <w:rPr>
                <w:sz w:val="24"/>
              </w:rPr>
              <w:t>秒，东经：</w:t>
            </w:r>
            <w:r>
              <w:rPr>
                <w:sz w:val="24"/>
                <w:u w:val="single"/>
              </w:rPr>
              <w:t>109</w:t>
            </w:r>
            <w:r>
              <w:rPr>
                <w:sz w:val="24"/>
              </w:rPr>
              <w:t>度</w:t>
            </w:r>
            <w:r>
              <w:rPr>
                <w:sz w:val="24"/>
                <w:u w:val="single"/>
              </w:rPr>
              <w:t>5</w:t>
            </w:r>
            <w:r>
              <w:rPr>
                <w:sz w:val="24"/>
              </w:rPr>
              <w:t>分</w:t>
            </w:r>
            <w:r>
              <w:rPr>
                <w:sz w:val="24"/>
                <w:u w:val="single"/>
              </w:rPr>
              <w:t>21.88</w:t>
            </w:r>
            <w:r>
              <w:rPr>
                <w:sz w:val="24"/>
              </w:rPr>
              <w:t>秒）</w:t>
            </w:r>
          </w:p>
          <w:p>
            <w:pPr>
              <w:adjustRightInd w:val="0"/>
              <w:snapToGrid w:val="0"/>
              <w:jc w:val="center"/>
              <w:rPr>
                <w:sz w:val="24"/>
              </w:rPr>
            </w:pPr>
            <w:r>
              <w:rPr>
                <w:sz w:val="24"/>
              </w:rPr>
              <w:t>地块</w:t>
            </w:r>
            <w:r>
              <w:rPr>
                <w:rFonts w:hint="eastAsia"/>
                <w:sz w:val="24"/>
              </w:rPr>
              <w:t>2</w:t>
            </w:r>
            <w:r>
              <w:rPr>
                <w:sz w:val="24"/>
              </w:rPr>
              <w:t>坐标：（北纬：</w:t>
            </w:r>
            <w:r>
              <w:rPr>
                <w:sz w:val="24"/>
                <w:u w:val="single"/>
              </w:rPr>
              <w:t>40</w:t>
            </w:r>
            <w:r>
              <w:rPr>
                <w:sz w:val="24"/>
              </w:rPr>
              <w:t>度</w:t>
            </w:r>
            <w:r>
              <w:rPr>
                <w:sz w:val="24"/>
                <w:u w:val="single"/>
              </w:rPr>
              <w:t>48</w:t>
            </w:r>
            <w:r>
              <w:rPr>
                <w:sz w:val="24"/>
              </w:rPr>
              <w:t>分</w:t>
            </w:r>
            <w:r>
              <w:rPr>
                <w:sz w:val="24"/>
                <w:u w:val="single"/>
              </w:rPr>
              <w:t>49.42</w:t>
            </w:r>
            <w:r>
              <w:rPr>
                <w:sz w:val="24"/>
              </w:rPr>
              <w:t>秒，东经：</w:t>
            </w:r>
            <w:r>
              <w:rPr>
                <w:sz w:val="24"/>
                <w:u w:val="single"/>
              </w:rPr>
              <w:t>109</w:t>
            </w:r>
            <w:r>
              <w:rPr>
                <w:sz w:val="24"/>
              </w:rPr>
              <w:t>度</w:t>
            </w:r>
            <w:r>
              <w:rPr>
                <w:sz w:val="24"/>
                <w:u w:val="single"/>
              </w:rPr>
              <w:t>3</w:t>
            </w:r>
            <w:r>
              <w:rPr>
                <w:sz w:val="24"/>
              </w:rPr>
              <w:t>分</w:t>
            </w:r>
            <w:r>
              <w:rPr>
                <w:sz w:val="24"/>
                <w:u w:val="single"/>
              </w:rPr>
              <w:t>40.99</w:t>
            </w:r>
            <w:r>
              <w:rPr>
                <w:sz w:val="24"/>
              </w:rPr>
              <w:t>秒）</w:t>
            </w:r>
          </w:p>
          <w:p>
            <w:pPr>
              <w:adjustRightInd w:val="0"/>
              <w:snapToGrid w:val="0"/>
              <w:jc w:val="center"/>
              <w:rPr>
                <w:sz w:val="24"/>
              </w:rPr>
            </w:pPr>
            <w:r>
              <w:rPr>
                <w:sz w:val="24"/>
              </w:rPr>
              <w:t>地块3坐标：（北纬：</w:t>
            </w:r>
            <w:r>
              <w:rPr>
                <w:sz w:val="24"/>
                <w:u w:val="single"/>
              </w:rPr>
              <w:t>40</w:t>
            </w:r>
            <w:r>
              <w:rPr>
                <w:sz w:val="24"/>
              </w:rPr>
              <w:t>度</w:t>
            </w:r>
            <w:r>
              <w:rPr>
                <w:sz w:val="24"/>
                <w:u w:val="single"/>
              </w:rPr>
              <w:t>49</w:t>
            </w:r>
            <w:r>
              <w:rPr>
                <w:sz w:val="24"/>
              </w:rPr>
              <w:t>分</w:t>
            </w:r>
            <w:r>
              <w:rPr>
                <w:sz w:val="24"/>
                <w:u w:val="single"/>
              </w:rPr>
              <w:t>2.98</w:t>
            </w:r>
            <w:r>
              <w:rPr>
                <w:sz w:val="24"/>
              </w:rPr>
              <w:t>秒，东经：</w:t>
            </w:r>
            <w:r>
              <w:rPr>
                <w:sz w:val="24"/>
                <w:u w:val="single"/>
              </w:rPr>
              <w:t>109</w:t>
            </w:r>
            <w:r>
              <w:rPr>
                <w:sz w:val="24"/>
              </w:rPr>
              <w:t>度</w:t>
            </w:r>
            <w:r>
              <w:rPr>
                <w:sz w:val="24"/>
                <w:u w:val="single"/>
              </w:rPr>
              <w:t>4</w:t>
            </w:r>
            <w:r>
              <w:rPr>
                <w:sz w:val="24"/>
              </w:rPr>
              <w:t>分</w:t>
            </w:r>
            <w:r>
              <w:rPr>
                <w:sz w:val="24"/>
                <w:u w:val="single"/>
              </w:rPr>
              <w:t>0.69</w:t>
            </w:r>
            <w:r>
              <w:rPr>
                <w:sz w:val="24"/>
              </w:rPr>
              <w:t>秒）</w:t>
            </w:r>
          </w:p>
          <w:p>
            <w:pPr>
              <w:adjustRightInd w:val="0"/>
              <w:snapToGrid w:val="0"/>
              <w:jc w:val="center"/>
              <w:rPr>
                <w:sz w:val="24"/>
              </w:rPr>
            </w:pPr>
            <w:r>
              <w:rPr>
                <w:sz w:val="24"/>
              </w:rPr>
              <w:t>地块4坐标：（北纬：</w:t>
            </w:r>
            <w:r>
              <w:rPr>
                <w:sz w:val="24"/>
                <w:u w:val="single"/>
              </w:rPr>
              <w:t>40</w:t>
            </w:r>
            <w:r>
              <w:rPr>
                <w:sz w:val="24"/>
              </w:rPr>
              <w:t>度</w:t>
            </w:r>
            <w:r>
              <w:rPr>
                <w:sz w:val="24"/>
                <w:u w:val="single"/>
              </w:rPr>
              <w:t>49</w:t>
            </w:r>
            <w:r>
              <w:rPr>
                <w:sz w:val="24"/>
              </w:rPr>
              <w:t>分</w:t>
            </w:r>
            <w:r>
              <w:rPr>
                <w:sz w:val="24"/>
                <w:u w:val="single"/>
              </w:rPr>
              <w:t>37.53</w:t>
            </w:r>
            <w:r>
              <w:rPr>
                <w:sz w:val="24"/>
              </w:rPr>
              <w:t>秒，东经：</w:t>
            </w:r>
            <w:r>
              <w:rPr>
                <w:sz w:val="24"/>
                <w:u w:val="single"/>
              </w:rPr>
              <w:t>109</w:t>
            </w:r>
            <w:r>
              <w:rPr>
                <w:sz w:val="24"/>
              </w:rPr>
              <w:t>度</w:t>
            </w:r>
            <w:r>
              <w:rPr>
                <w:sz w:val="24"/>
                <w:u w:val="single"/>
              </w:rPr>
              <w:t>4</w:t>
            </w:r>
            <w:r>
              <w:rPr>
                <w:sz w:val="24"/>
              </w:rPr>
              <w:t>分</w:t>
            </w:r>
            <w:r>
              <w:rPr>
                <w:sz w:val="24"/>
                <w:u w:val="single"/>
              </w:rPr>
              <w:t>26.57</w:t>
            </w:r>
            <w:r>
              <w:rPr>
                <w:sz w:val="24"/>
              </w:rPr>
              <w:t>秒）</w:t>
            </w:r>
          </w:p>
          <w:p>
            <w:pPr>
              <w:adjustRightInd w:val="0"/>
              <w:snapToGrid w:val="0"/>
              <w:jc w:val="center"/>
              <w:rPr>
                <w:sz w:val="24"/>
              </w:rPr>
            </w:pPr>
            <w:r>
              <w:rPr>
                <w:sz w:val="24"/>
              </w:rPr>
              <w:t>地块5坐标：（北纬：</w:t>
            </w:r>
            <w:r>
              <w:rPr>
                <w:sz w:val="24"/>
                <w:u w:val="single"/>
              </w:rPr>
              <w:t>40</w:t>
            </w:r>
            <w:r>
              <w:rPr>
                <w:sz w:val="24"/>
              </w:rPr>
              <w:t>度</w:t>
            </w:r>
            <w:r>
              <w:rPr>
                <w:sz w:val="24"/>
                <w:u w:val="single"/>
              </w:rPr>
              <w:t>49</w:t>
            </w:r>
            <w:r>
              <w:rPr>
                <w:sz w:val="24"/>
              </w:rPr>
              <w:t>分</w:t>
            </w:r>
            <w:r>
              <w:rPr>
                <w:sz w:val="24"/>
                <w:u w:val="single"/>
              </w:rPr>
              <w:t>43.41</w:t>
            </w:r>
            <w:r>
              <w:rPr>
                <w:sz w:val="24"/>
              </w:rPr>
              <w:t>秒，东经：</w:t>
            </w:r>
            <w:r>
              <w:rPr>
                <w:sz w:val="24"/>
                <w:u w:val="single"/>
              </w:rPr>
              <w:t>109</w:t>
            </w:r>
            <w:r>
              <w:rPr>
                <w:sz w:val="24"/>
              </w:rPr>
              <w:t>度</w:t>
            </w:r>
            <w:r>
              <w:rPr>
                <w:sz w:val="24"/>
                <w:u w:val="single"/>
              </w:rPr>
              <w:t>4</w:t>
            </w:r>
            <w:r>
              <w:rPr>
                <w:sz w:val="24"/>
              </w:rPr>
              <w:t>分</w:t>
            </w:r>
            <w:r>
              <w:rPr>
                <w:sz w:val="24"/>
                <w:u w:val="single"/>
              </w:rPr>
              <w:t>49.12</w:t>
            </w:r>
            <w:r>
              <w:rPr>
                <w:sz w:val="24"/>
              </w:rPr>
              <w:t>秒）</w:t>
            </w:r>
          </w:p>
          <w:p>
            <w:pPr>
              <w:adjustRightInd w:val="0"/>
              <w:snapToGrid w:val="0"/>
              <w:jc w:val="center"/>
              <w:rPr>
                <w:sz w:val="24"/>
              </w:rPr>
            </w:pPr>
            <w:r>
              <w:rPr>
                <w:sz w:val="24"/>
              </w:rPr>
              <w:t>地块6坐标：（北纬：</w:t>
            </w:r>
            <w:r>
              <w:rPr>
                <w:sz w:val="24"/>
                <w:u w:val="single"/>
              </w:rPr>
              <w:t>40</w:t>
            </w:r>
            <w:r>
              <w:rPr>
                <w:sz w:val="24"/>
              </w:rPr>
              <w:t>度</w:t>
            </w:r>
            <w:r>
              <w:rPr>
                <w:sz w:val="24"/>
                <w:u w:val="single"/>
              </w:rPr>
              <w:t>50</w:t>
            </w:r>
            <w:r>
              <w:rPr>
                <w:sz w:val="24"/>
              </w:rPr>
              <w:t>分</w:t>
            </w:r>
            <w:r>
              <w:rPr>
                <w:sz w:val="24"/>
                <w:u w:val="single"/>
              </w:rPr>
              <w:t>7.22</w:t>
            </w:r>
            <w:r>
              <w:rPr>
                <w:sz w:val="24"/>
              </w:rPr>
              <w:t>秒，东经：</w:t>
            </w:r>
            <w:r>
              <w:rPr>
                <w:sz w:val="24"/>
                <w:u w:val="single"/>
              </w:rPr>
              <w:t>109</w:t>
            </w:r>
            <w:r>
              <w:rPr>
                <w:sz w:val="24"/>
              </w:rPr>
              <w:t>度</w:t>
            </w:r>
            <w:r>
              <w:rPr>
                <w:sz w:val="24"/>
                <w:u w:val="single"/>
              </w:rPr>
              <w:t>4</w:t>
            </w:r>
            <w:r>
              <w:rPr>
                <w:sz w:val="24"/>
              </w:rPr>
              <w:t>分</w:t>
            </w:r>
            <w:r>
              <w:rPr>
                <w:sz w:val="24"/>
                <w:u w:val="single"/>
              </w:rPr>
              <w:t>23.71</w:t>
            </w:r>
            <w:r>
              <w:rPr>
                <w:sz w:val="24"/>
              </w:rPr>
              <w:t>秒）</w:t>
            </w:r>
          </w:p>
          <w:p>
            <w:pPr>
              <w:adjustRightInd w:val="0"/>
              <w:snapToGrid w:val="0"/>
              <w:jc w:val="center"/>
              <w:rPr>
                <w:sz w:val="24"/>
              </w:rPr>
            </w:pPr>
            <w:r>
              <w:rPr>
                <w:sz w:val="24"/>
              </w:rPr>
              <w:t>升压站中心坐标：（北纬：</w:t>
            </w:r>
            <w:r>
              <w:rPr>
                <w:sz w:val="24"/>
                <w:u w:val="single"/>
              </w:rPr>
              <w:t>40</w:t>
            </w:r>
            <w:r>
              <w:rPr>
                <w:sz w:val="24"/>
              </w:rPr>
              <w:t>度</w:t>
            </w:r>
            <w:r>
              <w:rPr>
                <w:sz w:val="24"/>
                <w:u w:val="single"/>
              </w:rPr>
              <w:t>48</w:t>
            </w:r>
            <w:r>
              <w:rPr>
                <w:sz w:val="24"/>
              </w:rPr>
              <w:t>分</w:t>
            </w:r>
            <w:r>
              <w:rPr>
                <w:sz w:val="24"/>
                <w:u w:val="single"/>
              </w:rPr>
              <w:t>49.13</w:t>
            </w:r>
            <w:r>
              <w:rPr>
                <w:sz w:val="24"/>
              </w:rPr>
              <w:t>秒，东经：</w:t>
            </w:r>
            <w:r>
              <w:rPr>
                <w:sz w:val="24"/>
                <w:u w:val="single"/>
              </w:rPr>
              <w:t>109</w:t>
            </w:r>
            <w:r>
              <w:rPr>
                <w:sz w:val="24"/>
              </w:rPr>
              <w:t>度</w:t>
            </w:r>
            <w:r>
              <w:rPr>
                <w:sz w:val="24"/>
                <w:u w:val="single"/>
              </w:rPr>
              <w:t>4</w:t>
            </w:r>
            <w:r>
              <w:rPr>
                <w:sz w:val="24"/>
              </w:rPr>
              <w:t>分</w:t>
            </w:r>
            <w:r>
              <w:rPr>
                <w:sz w:val="24"/>
                <w:u w:val="single"/>
              </w:rPr>
              <w:t>9.77</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401"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建设项目</w:t>
            </w:r>
          </w:p>
          <w:p>
            <w:pPr>
              <w:adjustRightInd w:val="0"/>
              <w:snapToGrid w:val="0"/>
              <w:jc w:val="center"/>
              <w:rPr>
                <w:sz w:val="24"/>
              </w:rPr>
            </w:pPr>
            <w:r>
              <w:rPr>
                <w:sz w:val="24"/>
              </w:rPr>
              <w:t>行业类别</w:t>
            </w:r>
          </w:p>
        </w:tc>
        <w:tc>
          <w:tcPr>
            <w:tcW w:w="1928" w:type="dxa"/>
            <w:vAlign w:val="center"/>
          </w:tcPr>
          <w:p>
            <w:pPr>
              <w:adjustRightInd w:val="0"/>
              <w:snapToGrid w:val="0"/>
              <w:rPr>
                <w:sz w:val="24"/>
              </w:rPr>
            </w:pPr>
            <w:r>
              <w:rPr>
                <w:sz w:val="24"/>
              </w:rPr>
              <w:t>四十一、电力、热力生产及供应业90</w:t>
            </w:r>
            <w:r>
              <w:rPr>
                <w:rFonts w:hint="eastAsia"/>
                <w:sz w:val="24"/>
              </w:rPr>
              <w:t>太阳能发电</w:t>
            </w:r>
            <w:r>
              <w:rPr>
                <w:sz w:val="24"/>
              </w:rPr>
              <w:t>4416</w:t>
            </w:r>
            <w:r>
              <w:rPr>
                <w:rFonts w:hint="eastAsia"/>
                <w:sz w:val="24"/>
              </w:rPr>
              <w:t>（不含居民家用光伏发电）</w:t>
            </w:r>
          </w:p>
        </w:tc>
        <w:tc>
          <w:tcPr>
            <w:tcW w:w="2064" w:type="dxa"/>
            <w:vAlign w:val="center"/>
          </w:tcPr>
          <w:p>
            <w:pPr>
              <w:adjustRightInd w:val="0"/>
              <w:snapToGrid w:val="0"/>
              <w:rPr>
                <w:sz w:val="24"/>
              </w:rPr>
            </w:pPr>
            <w:r>
              <w:rPr>
                <w:sz w:val="24"/>
              </w:rPr>
              <w:t>用地（用海）面积（m²）/长度（km）</w:t>
            </w:r>
          </w:p>
        </w:tc>
        <w:tc>
          <w:tcPr>
            <w:tcW w:w="2821" w:type="dxa"/>
            <w:vAlign w:val="center"/>
          </w:tcPr>
          <w:p>
            <w:pPr>
              <w:adjustRightInd w:val="0"/>
              <w:snapToGrid w:val="0"/>
              <w:rPr>
                <w:sz w:val="24"/>
                <w:vertAlign w:val="superscript"/>
              </w:rPr>
            </w:pPr>
            <w:r>
              <w:rPr>
                <w:sz w:val="24"/>
              </w:rPr>
              <w:t>永久占地3.42hm²</w:t>
            </w:r>
          </w:p>
          <w:p>
            <w:pPr>
              <w:adjustRightInd w:val="0"/>
              <w:snapToGrid w:val="0"/>
              <w:rPr>
                <w:sz w:val="24"/>
              </w:rPr>
            </w:pPr>
            <w:r>
              <w:rPr>
                <w:sz w:val="24"/>
              </w:rPr>
              <w:t>光伏区租地329.88hm²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596"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建设性质</w:t>
            </w:r>
          </w:p>
        </w:tc>
        <w:tc>
          <w:tcPr>
            <w:tcW w:w="1928" w:type="dxa"/>
            <w:vAlign w:val="center"/>
          </w:tcPr>
          <w:p>
            <w:pPr>
              <w:adjustRightInd w:val="0"/>
              <w:snapToGrid w:val="0"/>
              <w:jc w:val="left"/>
              <w:rPr>
                <w:sz w:val="24"/>
              </w:rPr>
            </w:pPr>
            <w:r>
              <w:rPr>
                <w:sz w:val="24"/>
              </w:rPr>
              <w:sym w:font="Wingdings 2" w:char="F052"/>
            </w:r>
            <w:r>
              <w:rPr>
                <w:sz w:val="24"/>
              </w:rPr>
              <w:t>新建（迁建）</w:t>
            </w:r>
          </w:p>
          <w:p>
            <w:pPr>
              <w:adjustRightInd w:val="0"/>
              <w:snapToGrid w:val="0"/>
              <w:jc w:val="left"/>
              <w:rPr>
                <w:sz w:val="24"/>
              </w:rPr>
            </w:pPr>
            <w:r>
              <w:rPr>
                <w:sz w:val="24"/>
              </w:rPr>
              <w:sym w:font="Wingdings 2" w:char="F0A3"/>
            </w:r>
            <w:r>
              <w:rPr>
                <w:sz w:val="24"/>
              </w:rPr>
              <w:t>改建</w:t>
            </w:r>
          </w:p>
          <w:p>
            <w:pPr>
              <w:adjustRightInd w:val="0"/>
              <w:snapToGrid w:val="0"/>
              <w:jc w:val="left"/>
              <w:rPr>
                <w:sz w:val="24"/>
              </w:rPr>
            </w:pPr>
            <w:r>
              <w:rPr>
                <w:sz w:val="24"/>
              </w:rPr>
              <w:sym w:font="Wingdings 2" w:char="F0A3"/>
            </w:r>
            <w:r>
              <w:rPr>
                <w:sz w:val="24"/>
              </w:rPr>
              <w:t>扩建</w:t>
            </w:r>
          </w:p>
          <w:p>
            <w:pPr>
              <w:adjustRightInd w:val="0"/>
              <w:snapToGrid w:val="0"/>
              <w:jc w:val="left"/>
              <w:rPr>
                <w:sz w:val="24"/>
              </w:rPr>
            </w:pPr>
            <w:r>
              <w:rPr>
                <w:sz w:val="24"/>
              </w:rPr>
              <w:sym w:font="Wingdings 2" w:char="F0A3"/>
            </w:r>
            <w:r>
              <w:rPr>
                <w:sz w:val="24"/>
              </w:rPr>
              <w:t>技术改造</w:t>
            </w:r>
          </w:p>
        </w:tc>
        <w:tc>
          <w:tcPr>
            <w:tcW w:w="2064"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821" w:type="dxa"/>
            <w:vAlign w:val="center"/>
          </w:tcPr>
          <w:p>
            <w:pPr>
              <w:adjustRightInd w:val="0"/>
              <w:snapToGrid w:val="0"/>
              <w:jc w:val="left"/>
              <w:rPr>
                <w:sz w:val="24"/>
              </w:rPr>
            </w:pPr>
            <w:r>
              <w:rPr>
                <w:sz w:val="24"/>
              </w:rPr>
              <w:sym w:font="Wingdings 2" w:char="F052"/>
            </w:r>
            <w:r>
              <w:rPr>
                <w:sz w:val="24"/>
              </w:rPr>
              <w:t>首次申报项目</w:t>
            </w:r>
          </w:p>
          <w:p>
            <w:pPr>
              <w:adjustRightInd w:val="0"/>
              <w:snapToGrid w:val="0"/>
              <w:jc w:val="left"/>
              <w:rPr>
                <w:sz w:val="24"/>
              </w:rPr>
            </w:pPr>
            <w:r>
              <w:rPr>
                <w:sz w:val="24"/>
              </w:rPr>
              <w:sym w:font="Wingdings 2" w:char="F0A3"/>
            </w:r>
            <w:r>
              <w:rPr>
                <w:sz w:val="24"/>
              </w:rPr>
              <w:t>不予批准后再次申报项目</w:t>
            </w:r>
          </w:p>
          <w:p>
            <w:pPr>
              <w:adjustRightInd w:val="0"/>
              <w:snapToGrid w:val="0"/>
              <w:jc w:val="left"/>
              <w:rPr>
                <w:sz w:val="24"/>
              </w:rPr>
            </w:pPr>
            <w:r>
              <w:rPr>
                <w:sz w:val="24"/>
              </w:rPr>
              <w:sym w:font="Wingdings 2" w:char="F0A3"/>
            </w:r>
            <w:r>
              <w:rPr>
                <w:sz w:val="24"/>
              </w:rPr>
              <w:t>超五年重新审核项目</w:t>
            </w:r>
          </w:p>
          <w:p>
            <w:pPr>
              <w:adjustRightInd w:val="0"/>
              <w:snapToGrid w:val="0"/>
              <w:rPr>
                <w:sz w:val="24"/>
              </w:rPr>
            </w:pPr>
            <w:r>
              <w:rPr>
                <w:sz w:val="24"/>
              </w:rPr>
              <w:sym w:font="Wingdings 2" w:char="F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72"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928" w:type="dxa"/>
            <w:vAlign w:val="center"/>
          </w:tcPr>
          <w:p>
            <w:pPr>
              <w:adjustRightInd w:val="0"/>
              <w:snapToGrid w:val="0"/>
              <w:jc w:val="center"/>
              <w:rPr>
                <w:sz w:val="24"/>
              </w:rPr>
            </w:pPr>
            <w:r>
              <w:rPr>
                <w:rFonts w:hint="eastAsia"/>
                <w:sz w:val="24"/>
              </w:rPr>
              <w:t>巴彦淖尔市发展和改革委</w:t>
            </w:r>
          </w:p>
        </w:tc>
        <w:tc>
          <w:tcPr>
            <w:tcW w:w="2064"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821" w:type="dxa"/>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47"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总投资（万元）</w:t>
            </w:r>
          </w:p>
        </w:tc>
        <w:tc>
          <w:tcPr>
            <w:tcW w:w="1928" w:type="dxa"/>
            <w:vAlign w:val="center"/>
          </w:tcPr>
          <w:p>
            <w:pPr>
              <w:adjustRightInd w:val="0"/>
              <w:snapToGrid w:val="0"/>
              <w:jc w:val="center"/>
              <w:rPr>
                <w:sz w:val="24"/>
              </w:rPr>
            </w:pPr>
            <w:r>
              <w:rPr>
                <w:sz w:val="24"/>
              </w:rPr>
              <w:t>100459.21</w:t>
            </w:r>
          </w:p>
        </w:tc>
        <w:tc>
          <w:tcPr>
            <w:tcW w:w="2064" w:type="dxa"/>
            <w:tcMar>
              <w:top w:w="16" w:type="dxa"/>
              <w:left w:w="16" w:type="dxa"/>
              <w:right w:w="16" w:type="dxa"/>
            </w:tcMar>
            <w:vAlign w:val="center"/>
          </w:tcPr>
          <w:p>
            <w:pPr>
              <w:adjustRightInd w:val="0"/>
              <w:snapToGrid w:val="0"/>
              <w:jc w:val="center"/>
              <w:rPr>
                <w:sz w:val="24"/>
              </w:rPr>
            </w:pPr>
            <w:r>
              <w:rPr>
                <w:sz w:val="24"/>
              </w:rPr>
              <w:t>环保投资（万元）</w:t>
            </w:r>
          </w:p>
        </w:tc>
        <w:tc>
          <w:tcPr>
            <w:tcW w:w="2821" w:type="dxa"/>
            <w:vAlign w:val="center"/>
          </w:tcPr>
          <w:p>
            <w:pPr>
              <w:adjustRightInd w:val="0"/>
              <w:snapToGrid w:val="0"/>
              <w:jc w:val="center"/>
              <w:rPr>
                <w:sz w:val="24"/>
              </w:rPr>
            </w:pPr>
            <w:r>
              <w:rPr>
                <w:sz w:val="24"/>
              </w:rPr>
              <w:t>4355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41"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环保投资占比</w:t>
            </w:r>
          </w:p>
        </w:tc>
        <w:tc>
          <w:tcPr>
            <w:tcW w:w="1928" w:type="dxa"/>
            <w:vAlign w:val="center"/>
          </w:tcPr>
          <w:p>
            <w:pPr>
              <w:adjustRightInd w:val="0"/>
              <w:snapToGrid w:val="0"/>
              <w:jc w:val="center"/>
              <w:rPr>
                <w:sz w:val="24"/>
              </w:rPr>
            </w:pPr>
            <w:r>
              <w:rPr>
                <w:sz w:val="24"/>
              </w:rPr>
              <w:t>4.3%</w:t>
            </w:r>
          </w:p>
        </w:tc>
        <w:tc>
          <w:tcPr>
            <w:tcW w:w="2064" w:type="dxa"/>
            <w:tcMar>
              <w:top w:w="16" w:type="dxa"/>
              <w:left w:w="16" w:type="dxa"/>
              <w:right w:w="16" w:type="dxa"/>
            </w:tcMar>
            <w:vAlign w:val="center"/>
          </w:tcPr>
          <w:p>
            <w:pPr>
              <w:adjustRightInd w:val="0"/>
              <w:snapToGrid w:val="0"/>
              <w:jc w:val="center"/>
              <w:rPr>
                <w:sz w:val="24"/>
              </w:rPr>
            </w:pPr>
            <w:r>
              <w:rPr>
                <w:sz w:val="24"/>
              </w:rPr>
              <w:t>施工工期</w:t>
            </w:r>
          </w:p>
        </w:tc>
        <w:tc>
          <w:tcPr>
            <w:tcW w:w="2821" w:type="dxa"/>
            <w:vAlign w:val="center"/>
          </w:tcPr>
          <w:p>
            <w:pPr>
              <w:adjustRightInd w:val="0"/>
              <w:snapToGrid w:val="0"/>
              <w:jc w:val="center"/>
              <w:rPr>
                <w:sz w:val="24"/>
              </w:rPr>
            </w:pPr>
            <w:r>
              <w:rPr>
                <w:sz w:val="24"/>
              </w:rPr>
              <w:t>9个月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19" w:hRule="atLeast"/>
          <w:jc w:val="center"/>
        </w:trPr>
        <w:tc>
          <w:tcPr>
            <w:tcW w:w="2226" w:type="dxa"/>
            <w:gridSpan w:val="2"/>
            <w:tcMar>
              <w:top w:w="16" w:type="dxa"/>
              <w:left w:w="16" w:type="dxa"/>
              <w:right w:w="16" w:type="dxa"/>
            </w:tcMar>
            <w:vAlign w:val="center"/>
          </w:tcPr>
          <w:p>
            <w:pPr>
              <w:adjustRightInd w:val="0"/>
              <w:snapToGrid w:val="0"/>
              <w:jc w:val="center"/>
              <w:rPr>
                <w:sz w:val="24"/>
              </w:rPr>
            </w:pPr>
            <w:r>
              <w:rPr>
                <w:sz w:val="24"/>
              </w:rPr>
              <w:t>是否开工建设</w:t>
            </w:r>
          </w:p>
        </w:tc>
        <w:tc>
          <w:tcPr>
            <w:tcW w:w="6813" w:type="dxa"/>
            <w:gridSpan w:val="3"/>
            <w:vAlign w:val="center"/>
          </w:tcPr>
          <w:p>
            <w:pPr>
              <w:adjustRightInd w:val="0"/>
              <w:snapToGrid w:val="0"/>
              <w:ind w:firstLine="105"/>
              <w:jc w:val="left"/>
              <w:rPr>
                <w:sz w:val="24"/>
              </w:rPr>
            </w:pPr>
            <w:r>
              <w:rPr>
                <w:sz w:val="24"/>
              </w:rPr>
              <w:sym w:font="Wingdings 2" w:char="F052"/>
            </w:r>
            <w:r>
              <w:rPr>
                <w:sz w:val="24"/>
              </w:rPr>
              <w:t>否</w:t>
            </w:r>
          </w:p>
          <w:p>
            <w:pPr>
              <w:adjustRightInd w:val="0"/>
              <w:snapToGrid w:val="0"/>
              <w:ind w:firstLine="92"/>
              <w:jc w:val="left"/>
              <w:rPr>
                <w:sz w:val="24"/>
              </w:rPr>
            </w:pPr>
            <w:r>
              <w:rPr>
                <w:sz w:val="24"/>
              </w:rPr>
              <w:sym w:font="Wingdings 2" w:char="F0A3"/>
            </w:r>
            <w:r>
              <w:rPr>
                <w:sz w:val="24"/>
              </w:rPr>
              <w:t>是：</w:t>
            </w:r>
            <w:r>
              <w:rPr>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44" w:hRule="atLeast"/>
          <w:jc w:val="center"/>
        </w:trPr>
        <w:tc>
          <w:tcPr>
            <w:tcW w:w="2226" w:type="dxa"/>
            <w:gridSpan w:val="2"/>
            <w:tcMar>
              <w:top w:w="16" w:type="dxa"/>
              <w:left w:w="16" w:type="dxa"/>
              <w:right w:w="16" w:type="dxa"/>
            </w:tcMar>
            <w:vAlign w:val="center"/>
          </w:tcPr>
          <w:p>
            <w:pPr>
              <w:autoSpaceDE w:val="0"/>
              <w:autoSpaceDN w:val="0"/>
              <w:adjustRightInd w:val="0"/>
              <w:snapToGrid w:val="0"/>
              <w:jc w:val="center"/>
              <w:rPr>
                <w:kern w:val="0"/>
                <w:sz w:val="24"/>
              </w:rPr>
            </w:pPr>
            <w:r>
              <w:rPr>
                <w:kern w:val="0"/>
                <w:sz w:val="24"/>
              </w:rPr>
              <w:t>专项评价设置情况</w:t>
            </w:r>
          </w:p>
        </w:tc>
        <w:tc>
          <w:tcPr>
            <w:tcW w:w="6813" w:type="dxa"/>
            <w:gridSpan w:val="3"/>
            <w:tcMar>
              <w:top w:w="16" w:type="dxa"/>
              <w:left w:w="16" w:type="dxa"/>
              <w:right w:w="16" w:type="dxa"/>
            </w:tcMar>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1" w:hRule="atLeast"/>
          <w:jc w:val="center"/>
        </w:trPr>
        <w:tc>
          <w:tcPr>
            <w:tcW w:w="2226" w:type="dxa"/>
            <w:gridSpan w:val="2"/>
            <w:tcMar>
              <w:top w:w="16" w:type="dxa"/>
              <w:left w:w="16" w:type="dxa"/>
              <w:right w:w="16" w:type="dxa"/>
            </w:tcMar>
            <w:vAlign w:val="center"/>
          </w:tcPr>
          <w:p>
            <w:pPr>
              <w:autoSpaceDE w:val="0"/>
              <w:autoSpaceDN w:val="0"/>
              <w:adjustRightInd w:val="0"/>
              <w:snapToGrid w:val="0"/>
              <w:jc w:val="center"/>
              <w:rPr>
                <w:kern w:val="0"/>
                <w:sz w:val="24"/>
              </w:rPr>
            </w:pPr>
            <w:r>
              <w:rPr>
                <w:sz w:val="24"/>
              </w:rPr>
              <w:t>规划情况</w:t>
            </w:r>
          </w:p>
        </w:tc>
        <w:tc>
          <w:tcPr>
            <w:tcW w:w="6813" w:type="dxa"/>
            <w:gridSpan w:val="3"/>
            <w:tcMar>
              <w:top w:w="16" w:type="dxa"/>
              <w:left w:w="16" w:type="dxa"/>
              <w:right w:w="16" w:type="dxa"/>
            </w:tcMar>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81" w:hRule="atLeast"/>
          <w:jc w:val="center"/>
        </w:trPr>
        <w:tc>
          <w:tcPr>
            <w:tcW w:w="2226" w:type="dxa"/>
            <w:gridSpan w:val="2"/>
            <w:tcMar>
              <w:top w:w="16" w:type="dxa"/>
              <w:left w:w="16" w:type="dxa"/>
              <w:right w:w="16" w:type="dxa"/>
            </w:tcMar>
            <w:vAlign w:val="center"/>
          </w:tcPr>
          <w:p>
            <w:pPr>
              <w:autoSpaceDE w:val="0"/>
              <w:autoSpaceDN w:val="0"/>
              <w:adjustRightInd w:val="0"/>
              <w:snapToGrid w:val="0"/>
              <w:jc w:val="center"/>
              <w:rPr>
                <w:sz w:val="24"/>
              </w:rPr>
            </w:pPr>
            <w:r>
              <w:rPr>
                <w:sz w:val="24"/>
              </w:rPr>
              <w:t>规划环境影响</w:t>
            </w:r>
          </w:p>
          <w:p>
            <w:pPr>
              <w:autoSpaceDE w:val="0"/>
              <w:autoSpaceDN w:val="0"/>
              <w:adjustRightInd w:val="0"/>
              <w:snapToGrid w:val="0"/>
              <w:jc w:val="center"/>
              <w:rPr>
                <w:kern w:val="0"/>
                <w:sz w:val="24"/>
              </w:rPr>
            </w:pPr>
            <w:r>
              <w:rPr>
                <w:sz w:val="24"/>
              </w:rPr>
              <w:t>评价情况</w:t>
            </w:r>
          </w:p>
        </w:tc>
        <w:tc>
          <w:tcPr>
            <w:tcW w:w="6813" w:type="dxa"/>
            <w:gridSpan w:val="3"/>
            <w:tcMar>
              <w:top w:w="16" w:type="dxa"/>
              <w:left w:w="16" w:type="dxa"/>
              <w:right w:w="16" w:type="dxa"/>
            </w:tcMar>
            <w:vAlign w:val="center"/>
          </w:tcPr>
          <w:p>
            <w:pPr>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25" w:hRule="atLeast"/>
          <w:jc w:val="center"/>
        </w:trPr>
        <w:tc>
          <w:tcPr>
            <w:tcW w:w="2226" w:type="dxa"/>
            <w:gridSpan w:val="2"/>
            <w:tcMar>
              <w:top w:w="16" w:type="dxa"/>
              <w:left w:w="16" w:type="dxa"/>
              <w:right w:w="16" w:type="dxa"/>
            </w:tcMar>
            <w:vAlign w:val="center"/>
          </w:tcPr>
          <w:p>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6813" w:type="dxa"/>
            <w:gridSpan w:val="3"/>
            <w:tcMar>
              <w:top w:w="16" w:type="dxa"/>
              <w:left w:w="16" w:type="dxa"/>
              <w:right w:w="16" w:type="dxa"/>
            </w:tcMar>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3303" w:hRule="atLeast"/>
          <w:jc w:val="center"/>
        </w:trPr>
        <w:tc>
          <w:tcPr>
            <w:tcW w:w="699" w:type="dxa"/>
            <w:tcMar>
              <w:top w:w="16" w:type="dxa"/>
              <w:left w:w="16" w:type="dxa"/>
              <w:right w:w="16" w:type="dxa"/>
            </w:tcMar>
            <w:vAlign w:val="center"/>
          </w:tcPr>
          <w:p>
            <w:pPr>
              <w:autoSpaceDE w:val="0"/>
              <w:autoSpaceDN w:val="0"/>
              <w:adjustRightInd w:val="0"/>
              <w:snapToGrid w:val="0"/>
              <w:jc w:val="center"/>
              <w:rPr>
                <w:kern w:val="0"/>
                <w:sz w:val="24"/>
              </w:rPr>
            </w:pPr>
            <w:bookmarkStart w:id="2" w:name="_Hlk56690880"/>
            <w:r>
              <w:rPr>
                <w:kern w:val="0"/>
                <w:sz w:val="24"/>
              </w:rPr>
              <w:t>其他符合性分析</w:t>
            </w:r>
            <w:bookmarkEnd w:id="2"/>
          </w:p>
        </w:tc>
        <w:tc>
          <w:tcPr>
            <w:tcW w:w="8340" w:type="dxa"/>
            <w:gridSpan w:val="4"/>
            <w:tcMar>
              <w:top w:w="16" w:type="dxa"/>
              <w:left w:w="16" w:type="dxa"/>
              <w:right w:w="16" w:type="dxa"/>
            </w:tcMar>
          </w:tcPr>
          <w:p>
            <w:pPr>
              <w:pStyle w:val="44"/>
              <w:spacing w:before="120"/>
              <w:rPr>
                <w:rFonts w:cs="Times New Roman"/>
                <w:color w:val="auto"/>
              </w:rPr>
            </w:pPr>
            <w:r>
              <w:rPr>
                <w:rFonts w:cs="Times New Roman"/>
                <w:color w:val="auto"/>
              </w:rPr>
              <w:t>1、规划与产业政策符合性</w:t>
            </w:r>
          </w:p>
          <w:p>
            <w:pPr>
              <w:pStyle w:val="24"/>
              <w:ind w:firstLine="482"/>
              <w:rPr>
                <w:rFonts w:cs="Times New Roman"/>
              </w:rPr>
            </w:pPr>
            <w:r>
              <w:rPr>
                <w:rFonts w:cs="Times New Roman"/>
              </w:rPr>
              <w:t>（1）产业政策符合性分析</w:t>
            </w:r>
          </w:p>
          <w:p>
            <w:pPr>
              <w:pStyle w:val="46"/>
              <w:ind w:firstLine="480"/>
            </w:pPr>
            <w:r>
              <w:t>本项目属于</w:t>
            </w:r>
            <w:r>
              <w:rPr>
                <w:rFonts w:hint="eastAsia"/>
              </w:rPr>
              <w:t>光伏</w:t>
            </w:r>
            <w:r>
              <w:t>发电项目，光伏发电是可再生能源技术发展的重点，是电源结构调整、节能减排的有效措施之一，是我国《可再生能源产业发展指导目录》中明确的</w:t>
            </w:r>
            <w:r>
              <w:rPr>
                <w:rFonts w:ascii="宋体" w:hAnsi="宋体"/>
              </w:rPr>
              <w:t>“</w:t>
            </w:r>
            <w:r>
              <w:rPr>
                <w:rFonts w:hint="eastAsia"/>
              </w:rPr>
              <w:t>并网型太阳能光伏发电</w:t>
            </w:r>
            <w:r>
              <w:rPr>
                <w:rFonts w:ascii="宋体" w:hAnsi="宋体"/>
                <w:snapToGrid/>
              </w:rPr>
              <w:t>”</w:t>
            </w:r>
            <w:r>
              <w:t>，根据《产业结构调整指导目录（2021年修订）》中的规定，本项目</w:t>
            </w:r>
            <w:r>
              <w:rPr>
                <w:rFonts w:hint="eastAsia"/>
              </w:rPr>
              <w:t>为光伏发电项目，</w:t>
            </w:r>
            <w:r>
              <w:t>属于</w:t>
            </w:r>
            <w:r>
              <w:rPr>
                <w:rFonts w:hint="eastAsia"/>
              </w:rPr>
              <w:t>鼓励</w:t>
            </w:r>
            <w:r>
              <w:t>类中的五、新能源。因此本项目符合产业政策要求。</w:t>
            </w:r>
          </w:p>
          <w:p>
            <w:pPr>
              <w:pStyle w:val="24"/>
              <w:ind w:firstLine="482"/>
              <w:rPr>
                <w:rFonts w:cs="Times New Roman"/>
                <w:snapToGrid/>
              </w:rPr>
            </w:pPr>
            <w:r>
              <w:rPr>
                <w:rFonts w:cs="Times New Roman"/>
                <w:snapToGrid/>
              </w:rPr>
              <w:t>（2）内蒙古自治区</w:t>
            </w:r>
            <w:r>
              <w:rPr>
                <w:rFonts w:ascii="宋体" w:hAnsi="宋体" w:cs="Times New Roman"/>
              </w:rPr>
              <w:t>“</w:t>
            </w:r>
            <w:r>
              <w:rPr>
                <w:rFonts w:cs="Times New Roman"/>
                <w:snapToGrid/>
              </w:rPr>
              <w:t>十四五</w:t>
            </w:r>
            <w:r>
              <w:rPr>
                <w:rFonts w:ascii="宋体" w:hAnsi="宋体" w:cs="Times New Roman"/>
                <w:snapToGrid/>
              </w:rPr>
              <w:t>”</w:t>
            </w:r>
            <w:r>
              <w:rPr>
                <w:rFonts w:cs="Times New Roman"/>
                <w:snapToGrid/>
              </w:rPr>
              <w:t>发展规划的符合性分析</w:t>
            </w:r>
          </w:p>
          <w:p>
            <w:pPr>
              <w:pStyle w:val="46"/>
              <w:ind w:firstLine="480"/>
              <w:rPr>
                <w:rFonts w:cs="Times New Roman"/>
                <w:snapToGrid/>
                <w:szCs w:val="24"/>
              </w:rPr>
            </w:pPr>
            <w:r>
              <w:rPr>
                <w:rFonts w:cs="Times New Roman"/>
                <w:snapToGrid/>
                <w:szCs w:val="24"/>
              </w:rPr>
              <w:t>根据《内蒙古自治区党委关于制定国民经济和社会发展第十四个五年规划和二〇三五年远景目标纲要》中推进能源和战略资源基地优化升级，大力发展新能源。本项目为光伏发电项目，因此符合《内蒙古自治区党委关于制定国民经济和社会发展第十四个五年规划和二〇三五年远景目标纲要》。</w:t>
            </w:r>
          </w:p>
          <w:p>
            <w:pPr>
              <w:pStyle w:val="46"/>
              <w:ind w:firstLine="480"/>
              <w:rPr>
                <w:rFonts w:cs="Times New Roman"/>
                <w:snapToGrid/>
                <w:szCs w:val="24"/>
              </w:rPr>
            </w:pPr>
            <w:r>
              <w:rPr>
                <w:rFonts w:hint="eastAsia" w:cs="Times New Roman"/>
                <w:snapToGrid/>
                <w:szCs w:val="24"/>
              </w:rPr>
              <w:t>根据《内蒙古自治区“十四五”电力发展规划》“十四五”时期，自治区电力“双碳”发展战略加速构建以新能源为主体的新型电力系统。加快新能源大规模发展。本工程为新能源发电项目，符合《内蒙古自治区“十四五”电力发展规划》的要求。</w:t>
            </w:r>
          </w:p>
          <w:p>
            <w:pPr>
              <w:pStyle w:val="46"/>
              <w:ind w:firstLine="480"/>
              <w:rPr>
                <w:rFonts w:cs="Times New Roman"/>
                <w:snapToGrid/>
                <w:szCs w:val="24"/>
              </w:rPr>
            </w:pPr>
            <w:r>
              <w:rPr>
                <w:rFonts w:cs="Times New Roman"/>
                <w:snapToGrid/>
                <w:szCs w:val="24"/>
              </w:rPr>
              <w:t>根据</w:t>
            </w:r>
            <w:r>
              <w:rPr>
                <w:rFonts w:hint="eastAsia" w:cs="Times New Roman"/>
                <w:snapToGrid/>
                <w:szCs w:val="24"/>
              </w:rPr>
              <w:t>《内蒙古自治区“十四五”可再生能源发展规划》自治区因地制宜发展战略性新兴产业和先进制造业，推动相关产业迈向高端化、智能化、绿色化，调结构、转功能、提质量。大力发展新能源装备制造业和运维服务业，壮大风光氢储四大产业集群，推动新能源产业从单一发电卖电向全产业链转变，把内蒙古打造成为全国新能源产业高地。本项目为光储加生态治理项目，满足《内蒙古自治区“十四五”可再生能源发展规划》。</w:t>
            </w:r>
          </w:p>
          <w:p>
            <w:pPr>
              <w:pStyle w:val="24"/>
              <w:ind w:firstLine="482"/>
              <w:rPr>
                <w:rFonts w:cs="Times New Roman"/>
                <w:snapToGrid/>
              </w:rPr>
            </w:pPr>
            <w:r>
              <w:rPr>
                <w:rFonts w:hint="eastAsia" w:cs="Times New Roman"/>
                <w:snapToGrid/>
                <w:szCs w:val="24"/>
              </w:rPr>
              <w:t>（3）《内蒙古自治区人民政府办公厅关于推动全区风电光伏新能源产业高质量发展的意见》</w:t>
            </w:r>
            <w:r>
              <w:rPr>
                <w:rFonts w:cs="Times New Roman"/>
                <w:snapToGrid/>
              </w:rPr>
              <w:t>的符合性分析</w:t>
            </w:r>
          </w:p>
          <w:p>
            <w:pPr>
              <w:pStyle w:val="46"/>
              <w:ind w:firstLine="480"/>
              <w:rPr>
                <w:rFonts w:cs="Times New Roman"/>
                <w:snapToGrid/>
                <w:szCs w:val="24"/>
              </w:rPr>
            </w:pPr>
            <w:r>
              <w:rPr>
                <w:rFonts w:hint="eastAsia" w:cs="Times New Roman"/>
                <w:snapToGrid/>
                <w:szCs w:val="24"/>
              </w:rPr>
              <w:t>根据内蒙古自治区人民政府办公厅2</w:t>
            </w:r>
            <w:r>
              <w:rPr>
                <w:rFonts w:cs="Times New Roman"/>
                <w:snapToGrid/>
                <w:szCs w:val="24"/>
              </w:rPr>
              <w:t>022</w:t>
            </w:r>
            <w:r>
              <w:rPr>
                <w:rFonts w:hint="eastAsia" w:cs="Times New Roman"/>
                <w:snapToGrid/>
                <w:szCs w:val="24"/>
              </w:rPr>
              <w:t>年3月7日发布的《内蒙古自治区人民政府办公厅关于推动全区风电光伏新能源产业高质量发展的意见》，加快优化调整能源结构，构建清洁低碳安全高效的能源体系，提升可再生能源开发水平和利用效率，集中式光伏发电项目重点布局在沙漠地区、采煤沉陷区、露天煤矿排土场等区域。本项目为光储+生态治理项目，以板上发电、板下种植、治沙改土、产业扶贫、生态旅游相结合，在获取太阳能清洁能源的同时，实现尾矿与沙地治理改良，绿化治沙能减少风沙侵袭，降低光伏项目的管护成本，可进一步推动种植业与林草业等产业进行深度融合，项目建成后局部生态环境得到改善，提高项目区林草覆盖度。因此，项目建设符合《内蒙古自治区人民政府办公厅关于推动全区风电光伏新能源产业高质量发展的意见》要求。</w:t>
            </w:r>
          </w:p>
          <w:p>
            <w:pPr>
              <w:pStyle w:val="24"/>
              <w:ind w:firstLine="482"/>
              <w:rPr>
                <w:rFonts w:cs="Times New Roman"/>
                <w:snapToGrid/>
              </w:rPr>
            </w:pPr>
            <w:r>
              <w:rPr>
                <w:rFonts w:hint="eastAsia" w:cs="Times New Roman"/>
                <w:snapToGrid/>
                <w:szCs w:val="24"/>
              </w:rPr>
              <w:t>（</w:t>
            </w:r>
            <w:r>
              <w:rPr>
                <w:rFonts w:cs="Times New Roman"/>
                <w:snapToGrid/>
                <w:szCs w:val="24"/>
              </w:rPr>
              <w:t>4</w:t>
            </w:r>
            <w:r>
              <w:rPr>
                <w:rFonts w:hint="eastAsia" w:cs="Times New Roman"/>
                <w:snapToGrid/>
                <w:szCs w:val="24"/>
              </w:rPr>
              <w:t>）《巴彦淖尔市“十四五”生态环境保护规划》</w:t>
            </w:r>
            <w:r>
              <w:rPr>
                <w:rFonts w:cs="Times New Roman"/>
                <w:snapToGrid/>
              </w:rPr>
              <w:t>的符合性分析</w:t>
            </w:r>
          </w:p>
          <w:p>
            <w:pPr>
              <w:pStyle w:val="46"/>
              <w:ind w:firstLine="480"/>
              <w:rPr>
                <w:rFonts w:cs="Times New Roman"/>
                <w:snapToGrid/>
                <w:szCs w:val="24"/>
              </w:rPr>
            </w:pPr>
            <w:r>
              <w:rPr>
                <w:rFonts w:hint="eastAsia" w:cs="Times New Roman"/>
                <w:snapToGrid/>
                <w:szCs w:val="24"/>
              </w:rPr>
              <w:t>根据《巴彦淖尔市“十四五”生态环境保护规划》，构建绿色低碳能源供给体系，推动新能源发展建设。建成千万千瓦级国家清洁能源基地、可再生能源外送基地和乌兰布和沙漠生态治理光伏发电综合示范基地，加强黄河“几”字弯风电基地、“光伏+生态治理”等基地规划设计，开展农牧区“农光互补”、“林光互补”、“牧光互补”等互补综合能源建设，推进大规模储能示范应用。优先开发利用可再生能源，大力发展风电、太阳能，不断扩大可再生能源装机规模和比例，利用河套地区农林生物质丰富优势，推进生物质热电联产，积极促进可再生能源消纳，推动可再生能源与电网建设协调发展。</w:t>
            </w:r>
          </w:p>
          <w:p>
            <w:pPr>
              <w:pStyle w:val="46"/>
              <w:ind w:firstLine="480"/>
              <w:rPr>
                <w:rFonts w:cs="Times New Roman"/>
                <w:b/>
                <w:snapToGrid/>
                <w:szCs w:val="24"/>
              </w:rPr>
            </w:pPr>
            <w:r>
              <w:rPr>
                <w:rFonts w:hint="eastAsia" w:cs="Times New Roman"/>
                <w:snapToGrid/>
                <w:szCs w:val="24"/>
              </w:rPr>
              <w:t>本工程为光伏+生态治理项目，采用林光互补和草光互补的模式进行生态治理，属于推动发展的建设项目，符合《巴彦淖尔市“十四五”生态环境保护规划》。</w:t>
            </w:r>
          </w:p>
          <w:p>
            <w:pPr>
              <w:pStyle w:val="44"/>
              <w:spacing w:before="120"/>
              <w:rPr>
                <w:rFonts w:cs="Times New Roman"/>
                <w:color w:val="auto"/>
              </w:rPr>
            </w:pPr>
            <w:r>
              <w:rPr>
                <w:rFonts w:cs="Times New Roman"/>
                <w:color w:val="auto"/>
              </w:rPr>
              <w:t>2、与</w:t>
            </w:r>
            <w:r>
              <w:rPr>
                <w:rFonts w:ascii="宋体" w:hAnsi="宋体" w:cs="Times New Roman"/>
                <w:color w:val="auto"/>
              </w:rPr>
              <w:t>“</w:t>
            </w:r>
            <w:r>
              <w:rPr>
                <w:rFonts w:cs="Times New Roman"/>
                <w:color w:val="auto"/>
              </w:rPr>
              <w:t>三线一单</w:t>
            </w:r>
            <w:r>
              <w:rPr>
                <w:rFonts w:ascii="宋体" w:hAnsi="宋体" w:cs="Times New Roman"/>
                <w:color w:val="auto"/>
              </w:rPr>
              <w:t>”</w:t>
            </w:r>
            <w:r>
              <w:rPr>
                <w:rFonts w:cs="Times New Roman"/>
                <w:color w:val="auto"/>
              </w:rPr>
              <w:t>符合性分析</w:t>
            </w:r>
          </w:p>
          <w:p>
            <w:pPr>
              <w:pStyle w:val="46"/>
              <w:ind w:firstLine="480"/>
              <w:rPr>
                <w:rFonts w:cs="Times New Roman"/>
                <w:snapToGrid/>
                <w:szCs w:val="24"/>
              </w:rPr>
            </w:pPr>
            <w:r>
              <w:rPr>
                <w:rFonts w:ascii="宋体" w:hAnsi="宋体" w:cs="Times New Roman"/>
              </w:rPr>
              <w:t>“</w:t>
            </w:r>
            <w:r>
              <w:rPr>
                <w:rFonts w:cs="Times New Roman"/>
                <w:snapToGrid/>
                <w:szCs w:val="24"/>
              </w:rPr>
              <w:t>三线一单</w:t>
            </w:r>
            <w:r>
              <w:rPr>
                <w:rFonts w:ascii="宋体" w:hAnsi="宋体" w:cs="Times New Roman"/>
                <w:snapToGrid/>
              </w:rPr>
              <w:t>”</w:t>
            </w:r>
            <w:r>
              <w:rPr>
                <w:rFonts w:cs="Times New Roman"/>
                <w:snapToGrid/>
                <w:szCs w:val="24"/>
              </w:rPr>
              <w:t>指生态保护红线、环境质量底线、资源利用上线及环境准入负面清单。本项目与</w:t>
            </w:r>
            <w:r>
              <w:rPr>
                <w:rFonts w:ascii="宋体" w:hAnsi="宋体" w:cs="Times New Roman"/>
              </w:rPr>
              <w:t>“</w:t>
            </w:r>
            <w:r>
              <w:rPr>
                <w:rFonts w:cs="Times New Roman"/>
                <w:snapToGrid/>
                <w:szCs w:val="24"/>
              </w:rPr>
              <w:t>三线一单</w:t>
            </w:r>
            <w:r>
              <w:rPr>
                <w:rFonts w:ascii="宋体" w:hAnsi="宋体" w:cs="Times New Roman"/>
                <w:snapToGrid/>
              </w:rPr>
              <w:t>”</w:t>
            </w:r>
            <w:r>
              <w:rPr>
                <w:rFonts w:cs="Times New Roman"/>
                <w:snapToGrid/>
                <w:szCs w:val="24"/>
              </w:rPr>
              <w:t>的符合性分析如下：</w:t>
            </w:r>
          </w:p>
          <w:p>
            <w:pPr>
              <w:pStyle w:val="24"/>
              <w:ind w:firstLine="482"/>
              <w:rPr>
                <w:rFonts w:cs="Times New Roman"/>
                <w:snapToGrid/>
              </w:rPr>
            </w:pPr>
            <w:r>
              <w:rPr>
                <w:rFonts w:cs="Times New Roman"/>
                <w:snapToGrid/>
              </w:rPr>
              <w:t>（1）生态红线</w:t>
            </w:r>
          </w:p>
          <w:p>
            <w:pPr>
              <w:pStyle w:val="46"/>
              <w:ind w:firstLine="480"/>
              <w:rPr>
                <w:rFonts w:cs="Times New Roman"/>
                <w:snapToGrid/>
                <w:szCs w:val="24"/>
              </w:rPr>
            </w:pPr>
            <w:r>
              <w:rPr>
                <w:rFonts w:hint="eastAsia" w:cs="Times New Roman"/>
                <w:snapToGrid/>
                <w:szCs w:val="24"/>
              </w:rPr>
              <w:t>巴彦淖尔市共划定环境管控单元249个，其中优先保护单元137个、重点管控单元111个、一般管控单元1个，实施分类管控。</w:t>
            </w:r>
          </w:p>
          <w:p>
            <w:r>
              <mc:AlternateContent>
                <mc:Choice Requires="wps">
                  <w:drawing>
                    <wp:anchor distT="0" distB="0" distL="114300" distR="114300" simplePos="0" relativeHeight="251667456" behindDoc="0" locked="0" layoutInCell="1" allowOverlap="1">
                      <wp:simplePos x="0" y="0"/>
                      <wp:positionH relativeFrom="column">
                        <wp:posOffset>3418205</wp:posOffset>
                      </wp:positionH>
                      <wp:positionV relativeFrom="paragraph">
                        <wp:posOffset>2530475</wp:posOffset>
                      </wp:positionV>
                      <wp:extent cx="45085" cy="45085"/>
                      <wp:effectExtent l="0" t="0" r="12065" b="12065"/>
                      <wp:wrapNone/>
                      <wp:docPr id="33" name="矩形 33"/>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15pt;margin-top:199.25pt;height:3.55pt;width:3.55pt;z-index:251667456;v-text-anchor:middle;mso-width-relative:page;mso-height-relative:page;" fillcolor="#FFFF00" filled="t" stroked="t" coordsize="21600,21600" o:gfxdata="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VOCPDaAAAACwEAAA8AAAAAAAAAAQAgAAAAIgAAAGRycy9kb3ducmV2Lnht&#10;bFBLAQIUABQAAAAIAIdO4kAaJqciaQIAAPMEAAAOAAAAAAAAAAEAIAAAACkBAABkcnMvZTJvRG9j&#10;LnhtbFBLBQYAAAAABgAGAFkBAAAEBgAAAAA=&#10;">
                      <v:fill on="t" focussize="0,0"/>
                      <v:stroke weight="1pt" color="#FFFF00 [3204]" miterlimit="8" joinstyle="miter"/>
                      <v:imagedata o:title=""/>
                      <o:lock v:ext="edit" aspectratio="f"/>
                    </v:rect>
                  </w:pict>
                </mc:Fallback>
              </mc:AlternateContent>
            </w:r>
            <w:r>
              <w:rPr>
                <w:b/>
              </w:rPr>
              <mc:AlternateContent>
                <mc:Choice Requires="wps">
                  <w:drawing>
                    <wp:anchor distT="0" distB="0" distL="114300" distR="114300" simplePos="0" relativeHeight="251659264" behindDoc="0" locked="0" layoutInCell="1" allowOverlap="1">
                      <wp:simplePos x="0" y="0"/>
                      <wp:positionH relativeFrom="column">
                        <wp:posOffset>2820035</wp:posOffset>
                      </wp:positionH>
                      <wp:positionV relativeFrom="paragraph">
                        <wp:posOffset>443865</wp:posOffset>
                      </wp:positionV>
                      <wp:extent cx="1035050" cy="327660"/>
                      <wp:effectExtent l="0" t="0" r="12700" b="1767840"/>
                      <wp:wrapNone/>
                      <wp:docPr id="44" name="圆角矩形标注 44"/>
                      <wp:cNvGraphicFramePr/>
                      <a:graphic xmlns:a="http://schemas.openxmlformats.org/drawingml/2006/main">
                        <a:graphicData uri="http://schemas.microsoft.com/office/word/2010/wordprocessingShape">
                          <wps:wsp>
                            <wps:cNvSpPr/>
                            <wps:spPr>
                              <a:xfrm>
                                <a:off x="0" y="0"/>
                                <a:ext cx="1035050" cy="327660"/>
                              </a:xfrm>
                              <a:prstGeom prst="wedgeRoundRectCallout">
                                <a:avLst>
                                  <a:gd name="adj1" fmla="val 10856"/>
                                  <a:gd name="adj2" fmla="val 575884"/>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本工程</w:t>
                                  </w:r>
                                  <w: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2.05pt;margin-top:34.95pt;height:25.8pt;width:81.5pt;z-index:251659264;v-text-anchor:middle;mso-width-relative:page;mso-height-relative:page;" fillcolor="#CCE8CF [3201]" filled="t" stroked="t" coordsize="21600,21600" o:gfxdata="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UP/PZAAAACgEAAA8AAAAAAAAAAQAgAAAAIgAAAGRycy9kb3ducmV2LnhtbFBLAQIUABQAAAAI&#10;AIdO4kBmS34+0AIAAJQFAAAOAAAAAAAAAAEAIAAAACgBAABkcnMvZTJvRG9jLnhtbFBLBQYAAAAA&#10;BgAGAFkBAABqBgAAAAA=&#10;" adj="13145,135191,14400">
                      <v:fill on="t" focussize="0,0"/>
                      <v:stroke weight="1pt" color="#70AD47 [3209]" miterlimit="8" joinstyle="miter"/>
                      <v:imagedata o:title=""/>
                      <o:lock v:ext="edit" aspectratio="f"/>
                      <v:textbox>
                        <w:txbxContent>
                          <w:p>
                            <w:pPr>
                              <w:jc w:val="center"/>
                            </w:pPr>
                            <w:r>
                              <w:rPr>
                                <w:rFonts w:hint="eastAsia"/>
                              </w:rPr>
                              <w:t>本工程</w:t>
                            </w:r>
                            <w:r>
                              <w:t>位置</w:t>
                            </w:r>
                          </w:p>
                        </w:txbxContent>
                      </v:textbox>
                    </v:shape>
                  </w:pict>
                </mc:Fallback>
              </mc:AlternateContent>
            </w:r>
            <w:r>
              <w:drawing>
                <wp:inline distT="0" distB="0" distL="0" distR="0">
                  <wp:extent cx="5227955" cy="3124200"/>
                  <wp:effectExtent l="0" t="0" r="0" b="0"/>
                  <wp:docPr id="27" name="图片 27" descr="C:\资料\巴彦淖尔市“三线一单”\JPG\巴彦淖尔市“三线一单”成果图集_页面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资料\巴彦淖尔市“三线一单”\JPG\巴彦淖尔市“三线一单”成果图集_页面_34.jpg"/>
                          <pic:cNvPicPr>
                            <a:picLocks noChangeAspect="1" noChangeArrowheads="1"/>
                          </pic:cNvPicPr>
                        </pic:nvPicPr>
                        <pic:blipFill>
                          <a:blip r:embed="rId8" cstate="print">
                            <a:extLst>
                              <a:ext uri="{28A0092B-C50C-407E-A947-70E740481C1C}">
                                <a14:useLocalDpi xmlns:a14="http://schemas.microsoft.com/office/drawing/2010/main" val="0"/>
                              </a:ext>
                            </a:extLst>
                          </a:blip>
                          <a:srcRect l="2475" t="9851" r="1890" b="9409"/>
                          <a:stretch>
                            <a:fillRect/>
                          </a:stretch>
                        </pic:blipFill>
                        <pic:spPr>
                          <a:xfrm>
                            <a:off x="0" y="0"/>
                            <a:ext cx="5243898" cy="3133531"/>
                          </a:xfrm>
                          <a:prstGeom prst="rect">
                            <a:avLst/>
                          </a:prstGeom>
                          <a:noFill/>
                          <a:ln>
                            <a:noFill/>
                          </a:ln>
                        </pic:spPr>
                      </pic:pic>
                    </a:graphicData>
                  </a:graphic>
                </wp:inline>
              </w:drawing>
            </w:r>
          </w:p>
          <w:p>
            <w:pPr>
              <w:pStyle w:val="46"/>
              <w:spacing w:after="120" w:afterLines="50"/>
              <w:ind w:firstLine="0" w:firstLineChars="0"/>
              <w:jc w:val="center"/>
              <w:rPr>
                <w:rFonts w:cs="Times New Roman"/>
                <w:b/>
                <w:snapToGrid/>
                <w:szCs w:val="24"/>
              </w:rPr>
            </w:pPr>
            <w:r>
              <w:rPr>
                <w:rFonts w:cs="Times New Roman"/>
                <w:b/>
                <w:snapToGrid/>
                <w:szCs w:val="24"/>
              </w:rPr>
              <w:t xml:space="preserve">图1.1 </w:t>
            </w:r>
            <w:r>
              <w:rPr>
                <w:rFonts w:hint="eastAsia" w:cs="Times New Roman"/>
                <w:b/>
                <w:snapToGrid/>
                <w:szCs w:val="24"/>
              </w:rPr>
              <w:t>巴彦淖尔市</w:t>
            </w:r>
            <w:r>
              <w:rPr>
                <w:rFonts w:cs="Times New Roman"/>
                <w:b/>
                <w:snapToGrid/>
                <w:szCs w:val="24"/>
              </w:rPr>
              <w:t>环境管控单元图</w:t>
            </w:r>
          </w:p>
          <w:p>
            <w:pPr>
              <w:pStyle w:val="46"/>
              <w:ind w:firstLine="480"/>
              <w:rPr>
                <w:rFonts w:cs="Times New Roman"/>
                <w:snapToGrid/>
                <w:szCs w:val="24"/>
              </w:rPr>
            </w:pPr>
            <w:r>
              <w:rPr>
                <w:rFonts w:hint="eastAsia" w:cs="Times New Roman"/>
                <w:snapToGrid/>
                <w:szCs w:val="24"/>
              </w:rPr>
              <w:t>本项目位于巴彦淖尔市乌拉特前旗额尔登布拉格苏木境内，位于优先保护单元与重点管控单元。光伏场地块1、地块2、升压站位于乌拉特前旗一般生态空间-水土保持优先保护单元ZH15082310030，地块3、地块4、地块5、地块6位于额尔登布拉格苏木采矿用地重点管控单元ZH15082320010。项目不在划定的生态红线范围内。</w:t>
            </w:r>
          </w:p>
          <w:p>
            <w:pPr>
              <w:pStyle w:val="46"/>
              <w:ind w:firstLine="480"/>
              <w:rPr>
                <w:rFonts w:cs="Times New Roman"/>
                <w:snapToGrid/>
                <w:szCs w:val="24"/>
              </w:rPr>
            </w:pPr>
            <w:r>
              <w:rPr>
                <w:rFonts w:cs="Times New Roman"/>
                <w:snapToGrid/>
                <w:szCs w:val="24"/>
              </w:rPr>
              <w:t>本项目是光伏发电项目，属于清洁能源，项目的建设有利于改变地区能源结构，减少污染物排放，降低生态风险。对于实现碳达峰和碳中和的发展目标具有积极作用。因此，本项目符合</w:t>
            </w:r>
            <w:r>
              <w:rPr>
                <w:rFonts w:hint="eastAsia" w:cs="Times New Roman"/>
                <w:snapToGrid/>
                <w:szCs w:val="24"/>
              </w:rPr>
              <w:t>优先保护单元与重点管控单元</w:t>
            </w:r>
            <w:r>
              <w:rPr>
                <w:rFonts w:cs="Times New Roman"/>
                <w:snapToGrid/>
                <w:szCs w:val="24"/>
              </w:rPr>
              <w:t>的管控要求。</w:t>
            </w:r>
          </w:p>
          <w:p>
            <w:pPr>
              <w:pStyle w:val="24"/>
              <w:ind w:firstLine="482"/>
              <w:rPr>
                <w:rFonts w:cs="Times New Roman"/>
              </w:rPr>
            </w:pPr>
            <w:r>
              <w:rPr>
                <w:rFonts w:cs="Times New Roman"/>
              </w:rPr>
              <w:t>（2）环境质量底线</w:t>
            </w:r>
          </w:p>
          <w:p>
            <w:pPr>
              <w:pStyle w:val="46"/>
              <w:ind w:firstLine="480"/>
              <w:rPr>
                <w:rFonts w:cs="Times New Roman"/>
              </w:rPr>
            </w:pPr>
            <w:r>
              <w:rPr>
                <w:rFonts w:ascii="宋体" w:hAnsi="宋体" w:cs="Times New Roman"/>
              </w:rPr>
              <w:t>“</w:t>
            </w:r>
            <w:r>
              <w:rPr>
                <w:rFonts w:cs="Times New Roman"/>
              </w:rPr>
              <w:t>环境质量底线</w:t>
            </w:r>
            <w:r>
              <w:rPr>
                <w:rFonts w:ascii="宋体" w:hAnsi="宋体" w:cs="Times New Roman"/>
                <w:snapToGrid/>
              </w:rPr>
              <w:t>”</w:t>
            </w:r>
            <w:r>
              <w:rPr>
                <w:rFonts w:cs="Times New Roman"/>
              </w:rPr>
              <w:t>是国家和地方设置的大气、水和土壤环境质量目标，也是改善环境质量的基准线。</w:t>
            </w:r>
          </w:p>
          <w:p>
            <w:pPr>
              <w:pStyle w:val="46"/>
              <w:ind w:firstLine="480"/>
              <w:rPr>
                <w:rFonts w:cs="Times New Roman"/>
              </w:rPr>
            </w:pPr>
            <w:r>
              <w:rPr>
                <w:rFonts w:hint="eastAsia" w:cs="Times New Roman"/>
              </w:rPr>
              <w:t>本项目建成无废气产生，</w:t>
            </w:r>
            <w:r>
              <w:rPr>
                <w:rFonts w:cs="Times New Roman"/>
              </w:rPr>
              <w:t>项目施工建设过程会生产一定量的废气、废水、噪声和固体废物；项目建成后，光伏场没有生产废水和工业废气排放。本项目</w:t>
            </w:r>
            <w:r>
              <w:rPr>
                <w:rFonts w:hint="eastAsia" w:cs="Times New Roman"/>
              </w:rPr>
              <w:t>升压站</w:t>
            </w:r>
            <w:r>
              <w:rPr>
                <w:rFonts w:cs="Times New Roman"/>
              </w:rPr>
              <w:t>生活污水经一体化处理设施处理后</w:t>
            </w:r>
            <w:r>
              <w:rPr>
                <w:rFonts w:hint="eastAsia" w:cs="Times New Roman"/>
              </w:rPr>
              <w:t>贮存于集水井中，用于升压站绿化，冬季由环卫部门清运，不外排。</w:t>
            </w:r>
            <w:r>
              <w:rPr>
                <w:rFonts w:cs="Times New Roman"/>
              </w:rPr>
              <w:t>施工期对植被的破坏经过后期的植被恢复措施进行恢复。采取相应的防治措施后，各类污染物均可满足相应的排放标准，达标排放。</w:t>
            </w:r>
          </w:p>
          <w:p>
            <w:pPr>
              <w:pStyle w:val="46"/>
              <w:ind w:firstLine="480"/>
              <w:rPr>
                <w:rFonts w:cs="Times New Roman"/>
              </w:rPr>
            </w:pPr>
            <w:r>
              <w:rPr>
                <w:rFonts w:cs="Times New Roman"/>
              </w:rPr>
              <w:t>综上，本项目建设符合环境质量底线要求。</w:t>
            </w:r>
          </w:p>
          <w:p>
            <w:pPr>
              <w:pStyle w:val="24"/>
              <w:ind w:firstLine="482"/>
              <w:rPr>
                <w:rFonts w:cs="Times New Roman"/>
              </w:rPr>
            </w:pPr>
            <w:r>
              <w:rPr>
                <w:rFonts w:cs="Times New Roman"/>
              </w:rPr>
              <w:t>（3）资源利用上线</w:t>
            </w:r>
          </w:p>
          <w:p>
            <w:pPr>
              <w:pStyle w:val="46"/>
              <w:ind w:firstLine="480"/>
              <w:rPr>
                <w:rFonts w:cs="Times New Roman"/>
              </w:rPr>
            </w:pPr>
            <w:r>
              <w:rPr>
                <w:rFonts w:cs="Times New Roman"/>
              </w:rPr>
              <w:t>本项目不属于高能耗、高污染、资源型项目</w:t>
            </w:r>
            <w:r>
              <w:rPr>
                <w:rFonts w:hint="eastAsia" w:cs="Times New Roman"/>
              </w:rPr>
              <w:t>。</w:t>
            </w:r>
            <w:r>
              <w:rPr>
                <w:rFonts w:cs="Times New Roman"/>
              </w:rPr>
              <w:t>本项目</w:t>
            </w:r>
            <w:r>
              <w:rPr>
                <w:rFonts w:hint="eastAsia" w:cs="Times New Roman"/>
              </w:rPr>
              <w:t>是</w:t>
            </w:r>
            <w:r>
              <w:rPr>
                <w:rFonts w:cs="Times New Roman"/>
              </w:rPr>
              <w:t>将太阳能转化为电能，其中太阳能资源为可再生清洁能源，项目营运过程中会消耗一定的电资源和水资源，项目资源消耗量相对区域资源利用总量较少，因此，符合资源利用上线要求。</w:t>
            </w:r>
          </w:p>
          <w:p>
            <w:pPr>
              <w:pStyle w:val="24"/>
              <w:ind w:firstLine="482"/>
              <w:rPr>
                <w:rFonts w:cs="Times New Roman"/>
              </w:rPr>
            </w:pPr>
            <w:r>
              <w:rPr>
                <w:rFonts w:cs="Times New Roman"/>
              </w:rPr>
              <w:t>（4）环境准入清单</w:t>
            </w:r>
          </w:p>
          <w:p>
            <w:pPr>
              <w:pStyle w:val="46"/>
              <w:ind w:firstLine="480"/>
              <w:rPr>
                <w:rFonts w:cs="Times New Roman"/>
              </w:rPr>
            </w:pPr>
            <w:r>
              <w:rPr>
                <w:rFonts w:hint="eastAsia" w:cs="Times New Roman"/>
              </w:rPr>
              <w:t>根据《巴彦淖尔市生态环境准入清单》项目所在地为重点开发城镇。本项目位于乌拉特前旗优先保护单元与重点管控单元，不属于清单所列限制类与禁止类，不属于高污染项目。</w:t>
            </w:r>
          </w:p>
          <w:p>
            <w:pPr>
              <w:pStyle w:val="46"/>
              <w:tabs>
                <w:tab w:val="left" w:pos="7300"/>
              </w:tabs>
              <w:ind w:firstLine="480"/>
              <w:rPr>
                <w:rFonts w:cs="Times New Roman"/>
              </w:rPr>
            </w:pPr>
            <w:r>
              <w:rPr>
                <w:rFonts w:hint="eastAsia" w:cs="Times New Roman"/>
              </w:rPr>
              <w:t>本工程采用“光储+生态治理”立体化治理新模式，以板上发电、板下种植、治沙改土、产业扶贫、生态旅游相结合，在获取太阳能清洁能源的同时，实现尾矿与沙地治理改良，一方面，基桩固沙，光伏板遮阴，为植物生长明显改善环境条件，治沙效果事半功倍；另一方面，绿化治沙能减少风沙侵袭，降低光伏项目的管护成本，可进一步推动种植业与林草业等产业进行深度融合。并利用现代科技手段和创新要素，突破传统经济发展束缚，变劣势为优势，实现新技术供给和新经济需求条件下的跨越式发展，为当地荒漠化环境改善和建设国家“绿色北疆”做出积极贡献。项目建成后可改善局部生态系统。本项目不存在过度消耗地表水和超采地下水的情况。因此本项目符合内蒙古自治区环境准入要求。</w:t>
            </w:r>
          </w:p>
          <w:p>
            <w:pPr>
              <w:pStyle w:val="46"/>
              <w:ind w:firstLine="480"/>
              <w:rPr>
                <w:rFonts w:cs="Times New Roman"/>
                <w:snapToGrid/>
              </w:rPr>
            </w:pPr>
            <w:r>
              <w:rPr>
                <w:rFonts w:hint="eastAsia" w:cs="Times New Roman"/>
                <w:snapToGrid/>
              </w:rPr>
              <w:t>光伏场地块1、地块2、升压站位于优先保护单元</w:t>
            </w:r>
            <w:r>
              <w:rPr>
                <w:rFonts w:cs="Times New Roman"/>
                <w:snapToGrid/>
              </w:rPr>
              <w:t>ZH15082310030</w:t>
            </w:r>
            <w:r>
              <w:rPr>
                <w:rFonts w:hint="eastAsia" w:cs="Times New Roman"/>
                <w:snapToGrid/>
              </w:rPr>
              <w:t>，地块</w:t>
            </w:r>
            <w:r>
              <w:rPr>
                <w:rFonts w:cs="Times New Roman"/>
                <w:snapToGrid/>
              </w:rPr>
              <w:t>3、</w:t>
            </w:r>
            <w:r>
              <w:rPr>
                <w:rFonts w:hint="eastAsia" w:cs="Times New Roman"/>
                <w:snapToGrid/>
              </w:rPr>
              <w:t>地块</w:t>
            </w:r>
            <w:r>
              <w:rPr>
                <w:rFonts w:cs="Times New Roman"/>
                <w:snapToGrid/>
              </w:rPr>
              <w:t>4</w:t>
            </w:r>
            <w:r>
              <w:rPr>
                <w:rFonts w:hint="eastAsia" w:cs="Times New Roman"/>
                <w:snapToGrid/>
              </w:rPr>
              <w:t>、地块</w:t>
            </w:r>
            <w:r>
              <w:rPr>
                <w:rFonts w:cs="Times New Roman"/>
                <w:snapToGrid/>
              </w:rPr>
              <w:t>5</w:t>
            </w:r>
            <w:r>
              <w:rPr>
                <w:rFonts w:hint="eastAsia" w:cs="Times New Roman"/>
                <w:snapToGrid/>
              </w:rPr>
              <w:t>、地块</w:t>
            </w:r>
            <w:r>
              <w:rPr>
                <w:rFonts w:cs="Times New Roman"/>
                <w:snapToGrid/>
              </w:rPr>
              <w:t>6</w:t>
            </w:r>
            <w:r>
              <w:rPr>
                <w:rFonts w:hint="eastAsia" w:cs="Times New Roman"/>
                <w:snapToGrid/>
              </w:rPr>
              <w:t>位于重点管控单元</w:t>
            </w:r>
            <w:r>
              <w:rPr>
                <w:rFonts w:cs="Times New Roman"/>
                <w:snapToGrid/>
              </w:rPr>
              <w:t>ZH15082320010。具体管控要求及本项目符合性见下表。</w:t>
            </w:r>
          </w:p>
          <w:p>
            <w:pPr>
              <w:pStyle w:val="22"/>
              <w:spacing w:before="240" w:after="120"/>
            </w:pPr>
            <w:r>
              <w:t>表1.1                   项目所在区</w:t>
            </w:r>
            <w:r>
              <w:rPr>
                <w:rFonts w:hint="eastAsia"/>
              </w:rPr>
              <w:t>环境管控要求</w:t>
            </w:r>
          </w:p>
          <w:tbl>
            <w:tblPr>
              <w:tblStyle w:val="16"/>
              <w:tblW w:w="81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679"/>
              <w:gridCol w:w="568"/>
              <w:gridCol w:w="246"/>
              <w:gridCol w:w="1173"/>
              <w:gridCol w:w="1279"/>
              <w:gridCol w:w="850"/>
              <w:gridCol w:w="708"/>
              <w:gridCol w:w="127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11" w:type="pct"/>
                  <w:gridSpan w:val="3"/>
                  <w:vMerge w:val="restart"/>
                  <w:tcBorders>
                    <w:top w:val="single" w:color="auto" w:sz="12" w:space="0"/>
                    <w:left w:val="single" w:color="auto" w:sz="12"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环境管控单元编码</w:t>
                  </w:r>
                </w:p>
              </w:tc>
              <w:tc>
                <w:tcPr>
                  <w:tcW w:w="716" w:type="pct"/>
                  <w:vMerge w:val="restart"/>
                  <w:tcBorders>
                    <w:top w:val="single" w:color="auto" w:sz="12"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环境管控单元名称</w:t>
                  </w:r>
                </w:p>
              </w:tc>
              <w:tc>
                <w:tcPr>
                  <w:tcW w:w="1732" w:type="pct"/>
                  <w:gridSpan w:val="3"/>
                  <w:tcBorders>
                    <w:top w:val="single" w:color="auto" w:sz="12"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行政区划</w:t>
                  </w:r>
                </w:p>
              </w:tc>
              <w:tc>
                <w:tcPr>
                  <w:tcW w:w="781" w:type="pct"/>
                  <w:vMerge w:val="restart"/>
                  <w:tcBorders>
                    <w:top w:val="single" w:color="auto" w:sz="12"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管控单元分类</w:t>
                  </w:r>
                </w:p>
              </w:tc>
              <w:tc>
                <w:tcPr>
                  <w:tcW w:w="861" w:type="pct"/>
                  <w:vMerge w:val="restart"/>
                  <w:tcBorders>
                    <w:top w:val="single" w:color="auto" w:sz="12" w:space="0"/>
                    <w:left w:val="single" w:color="auto" w:sz="4" w:space="0"/>
                    <w:bottom w:val="single" w:color="auto" w:sz="4" w:space="0"/>
                    <w:right w:val="single" w:color="auto" w:sz="12" w:space="0"/>
                  </w:tcBorders>
                  <w:vAlign w:val="center"/>
                </w:tcPr>
                <w:p>
                  <w:pPr>
                    <w:spacing w:line="280" w:lineRule="exact"/>
                    <w:jc w:val="center"/>
                    <w:rPr>
                      <w:b/>
                      <w:bCs/>
                      <w:sz w:val="18"/>
                      <w:szCs w:val="18"/>
                    </w:rPr>
                  </w:pPr>
                  <w:r>
                    <w:rPr>
                      <w:b/>
                      <w:bCs/>
                      <w:sz w:val="18"/>
                      <w:szCs w:val="18"/>
                      <w:lang w:bidi="ar"/>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911" w:type="pct"/>
                  <w:gridSpan w:val="3"/>
                  <w:vMerge w:val="continue"/>
                  <w:tcBorders>
                    <w:top w:val="single" w:color="auto" w:sz="12" w:space="0"/>
                    <w:left w:val="single" w:color="auto" w:sz="12" w:space="0"/>
                    <w:bottom w:val="single" w:color="auto" w:sz="4" w:space="0"/>
                    <w:right w:val="single" w:color="auto" w:sz="4" w:space="0"/>
                  </w:tcBorders>
                  <w:vAlign w:val="center"/>
                </w:tcPr>
                <w:p>
                  <w:pPr>
                    <w:spacing w:line="280" w:lineRule="exact"/>
                    <w:jc w:val="center"/>
                    <w:rPr>
                      <w:sz w:val="20"/>
                      <w:szCs w:val="20"/>
                    </w:rPr>
                  </w:pPr>
                </w:p>
              </w:tc>
              <w:tc>
                <w:tcPr>
                  <w:tcW w:w="716" w:type="pct"/>
                  <w:vMerge w:val="continue"/>
                  <w:tcBorders>
                    <w:top w:val="single" w:color="auto" w:sz="12" w:space="0"/>
                    <w:left w:val="single" w:color="auto" w:sz="4" w:space="0"/>
                    <w:bottom w:val="single" w:color="auto" w:sz="4" w:space="0"/>
                    <w:right w:val="single" w:color="auto" w:sz="4" w:space="0"/>
                  </w:tcBorders>
                  <w:vAlign w:val="center"/>
                </w:tcPr>
                <w:p>
                  <w:pPr>
                    <w:spacing w:line="280" w:lineRule="exact"/>
                    <w:jc w:val="center"/>
                    <w:rPr>
                      <w:sz w:val="20"/>
                      <w:szCs w:val="20"/>
                    </w:rPr>
                  </w:pP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省</w:t>
                  </w:r>
                </w:p>
              </w:tc>
              <w:tc>
                <w:tcPr>
                  <w:tcW w:w="519"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市</w:t>
                  </w:r>
                </w:p>
              </w:tc>
              <w:tc>
                <w:tcPr>
                  <w:tcW w:w="43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b/>
                      <w:bCs/>
                      <w:sz w:val="18"/>
                      <w:szCs w:val="18"/>
                      <w:lang w:bidi="ar"/>
                    </w:rPr>
                    <w:t>区</w:t>
                  </w:r>
                </w:p>
              </w:tc>
              <w:tc>
                <w:tcPr>
                  <w:tcW w:w="781" w:type="pct"/>
                  <w:vMerge w:val="continue"/>
                  <w:tcBorders>
                    <w:top w:val="single" w:color="auto" w:sz="12" w:space="0"/>
                    <w:left w:val="single" w:color="auto" w:sz="4" w:space="0"/>
                    <w:bottom w:val="single" w:color="auto" w:sz="4" w:space="0"/>
                    <w:right w:val="single" w:color="auto" w:sz="4" w:space="0"/>
                  </w:tcBorders>
                  <w:vAlign w:val="center"/>
                </w:tcPr>
                <w:p>
                  <w:pPr>
                    <w:spacing w:line="280" w:lineRule="exact"/>
                    <w:jc w:val="center"/>
                    <w:rPr>
                      <w:sz w:val="20"/>
                      <w:szCs w:val="20"/>
                    </w:rPr>
                  </w:pP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911" w:type="pct"/>
                  <w:gridSpan w:val="3"/>
                  <w:tcBorders>
                    <w:top w:val="single" w:color="auto" w:sz="4" w:space="0"/>
                    <w:left w:val="single" w:color="auto" w:sz="12" w:space="0"/>
                    <w:bottom w:val="single" w:color="auto" w:sz="4" w:space="0"/>
                    <w:right w:val="single" w:color="auto" w:sz="4" w:space="0"/>
                  </w:tcBorders>
                  <w:vAlign w:val="center"/>
                </w:tcPr>
                <w:p>
                  <w:pPr>
                    <w:spacing w:line="280" w:lineRule="exact"/>
                    <w:jc w:val="center"/>
                    <w:rPr>
                      <w:sz w:val="18"/>
                      <w:szCs w:val="18"/>
                      <w:lang w:bidi="ar"/>
                    </w:rPr>
                  </w:pPr>
                  <w:r>
                    <w:rPr>
                      <w:sz w:val="18"/>
                      <w:szCs w:val="18"/>
                      <w:lang w:bidi="ar"/>
                    </w:rPr>
                    <w:t>ZH15082310030</w:t>
                  </w:r>
                </w:p>
              </w:tc>
              <w:tc>
                <w:tcPr>
                  <w:tcW w:w="716"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rFonts w:hint="eastAsia"/>
                      <w:sz w:val="18"/>
                      <w:szCs w:val="18"/>
                      <w:lang w:bidi="ar"/>
                    </w:rPr>
                    <w:t>乌拉特前旗一般生态空间-水土保持</w:t>
                  </w: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sz w:val="18"/>
                      <w:szCs w:val="18"/>
                      <w:lang w:bidi="ar"/>
                    </w:rPr>
                    <w:t>内蒙古自治区</w:t>
                  </w:r>
                </w:p>
              </w:tc>
              <w:tc>
                <w:tcPr>
                  <w:tcW w:w="519"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rFonts w:hint="eastAsia"/>
                      <w:sz w:val="18"/>
                      <w:szCs w:val="18"/>
                      <w:lang w:bidi="ar"/>
                    </w:rPr>
                    <w:t>巴彦淖尔市</w:t>
                  </w:r>
                </w:p>
              </w:tc>
              <w:tc>
                <w:tcPr>
                  <w:tcW w:w="43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乌拉特前旗</w:t>
                  </w: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rFonts w:hint="eastAsia"/>
                      <w:sz w:val="18"/>
                      <w:szCs w:val="18"/>
                      <w:lang w:bidi="ar"/>
                    </w:rPr>
                    <w:t>优先保护单元</w:t>
                  </w: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414" w:type="pct"/>
                  <w:tcBorders>
                    <w:top w:val="single" w:color="auto" w:sz="4" w:space="0"/>
                    <w:left w:val="single" w:color="auto" w:sz="12" w:space="0"/>
                    <w:bottom w:val="single" w:color="auto" w:sz="4" w:space="0"/>
                    <w:right w:val="single" w:color="auto" w:sz="4" w:space="0"/>
                  </w:tcBorders>
                  <w:vAlign w:val="center"/>
                </w:tcPr>
                <w:p>
                  <w:pPr>
                    <w:spacing w:line="280" w:lineRule="exact"/>
                    <w:jc w:val="center"/>
                    <w:rPr>
                      <w:sz w:val="18"/>
                      <w:szCs w:val="18"/>
                      <w:lang w:bidi="ar"/>
                    </w:rPr>
                  </w:pPr>
                  <w:r>
                    <w:rPr>
                      <w:sz w:val="18"/>
                      <w:szCs w:val="18"/>
                    </w:rPr>
                    <w:t>生态保护重点</w:t>
                  </w:r>
                </w:p>
              </w:tc>
              <w:tc>
                <w:tcPr>
                  <w:tcW w:w="3725" w:type="pct"/>
                  <w:gridSpan w:val="7"/>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b/>
                      <w:bCs/>
                      <w:sz w:val="18"/>
                      <w:szCs w:val="18"/>
                      <w:lang w:bidi="ar"/>
                    </w:rPr>
                    <w:t>管控要求</w:t>
                  </w: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414" w:type="pct"/>
                  <w:tcBorders>
                    <w:top w:val="single" w:color="auto" w:sz="4" w:space="0"/>
                    <w:left w:val="single" w:color="auto" w:sz="12" w:space="0"/>
                    <w:bottom w:val="single" w:color="auto" w:sz="4" w:space="0"/>
                    <w:right w:val="single" w:color="auto" w:sz="4" w:space="0"/>
                  </w:tcBorders>
                  <w:vAlign w:val="center"/>
                </w:tcPr>
                <w:p>
                  <w:pPr>
                    <w:spacing w:line="280" w:lineRule="exact"/>
                    <w:jc w:val="center"/>
                    <w:rPr>
                      <w:sz w:val="18"/>
                      <w:szCs w:val="18"/>
                      <w:lang w:bidi="ar"/>
                    </w:rPr>
                  </w:pPr>
                  <w:r>
                    <w:rPr>
                      <w:sz w:val="18"/>
                      <w:szCs w:val="18"/>
                      <w:lang w:bidi="ar"/>
                    </w:rPr>
                    <w:t>一般生态空间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rFonts w:hint="eastAsia"/>
                      <w:sz w:val="18"/>
                      <w:szCs w:val="18"/>
                      <w:lang w:bidi="ar"/>
                    </w:rPr>
                    <w:t>空间布局约束</w:t>
                  </w:r>
                </w:p>
              </w:tc>
              <w:tc>
                <w:tcPr>
                  <w:tcW w:w="3377" w:type="pct"/>
                  <w:gridSpan w:val="6"/>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lang w:bidi="ar"/>
                    </w:rPr>
                  </w:pPr>
                  <w:r>
                    <w:rPr>
                      <w:rFonts w:hint="eastAsia"/>
                      <w:sz w:val="18"/>
                      <w:szCs w:val="18"/>
                      <w:lang w:bidi="ar"/>
                    </w:rPr>
                    <w:t>全面实施保护天然林、退耕还林还牧工程，严禁陡坡垦殖，禁止在二十五度以上陡坡地开垦种植农作物，禁止开垦的范围由旗县级人民政府划定并公告；已经开垦种植农作物的应当按照国家有关规定逐步退耕还林还草；耕地短缺或者已经签订农村土地承包合同、退耕确有困难的，应当根据实际采取相应的水土保持措施。禁止毁林开荒、烧山开荒，合理开发自然资源，保护和恢复自然生态系统，增强区域水土保持能力；禁止在崩塌、滑坡危险区和泥石流易发区从事取土、挖砂、采石等可能造成水土流失的活动。禁止在水土流失重点预防区和重点治理区铲草皮、挖树兜等。</w:t>
                  </w:r>
                </w:p>
              </w:tc>
              <w:tc>
                <w:tcPr>
                  <w:tcW w:w="861" w:type="pct"/>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r>
                    <w:rPr>
                      <w:sz w:val="20"/>
                      <w:szCs w:val="20"/>
                    </w:rPr>
                    <w:t>本工程为光储</w:t>
                  </w:r>
                  <w:r>
                    <w:rPr>
                      <w:rFonts w:hint="eastAsia"/>
                      <w:sz w:val="20"/>
                      <w:szCs w:val="20"/>
                    </w:rPr>
                    <w:t>+生态治理工程采用草光互补的模式进行生态治理，可改善局部生态环境</w:t>
                  </w:r>
                  <w:r>
                    <w:rPr>
                      <w:sz w:val="20"/>
                      <w:szCs w:val="2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78" w:hRule="atLeast"/>
              </w:trPr>
              <w:tc>
                <w:tcPr>
                  <w:tcW w:w="911" w:type="pct"/>
                  <w:gridSpan w:val="3"/>
                  <w:vMerge w:val="restart"/>
                  <w:tcBorders>
                    <w:top w:val="single" w:color="auto" w:sz="4" w:space="0"/>
                    <w:left w:val="single" w:color="auto" w:sz="12" w:space="0"/>
                    <w:right w:val="single" w:color="auto" w:sz="4" w:space="0"/>
                  </w:tcBorders>
                  <w:vAlign w:val="center"/>
                </w:tcPr>
                <w:p>
                  <w:pPr>
                    <w:spacing w:line="280" w:lineRule="exact"/>
                    <w:jc w:val="center"/>
                    <w:rPr>
                      <w:sz w:val="18"/>
                      <w:szCs w:val="18"/>
                      <w:lang w:bidi="ar"/>
                    </w:rPr>
                  </w:pPr>
                  <w:r>
                    <w:rPr>
                      <w:b/>
                      <w:bCs/>
                      <w:sz w:val="18"/>
                      <w:szCs w:val="18"/>
                      <w:lang w:bidi="ar"/>
                    </w:rPr>
                    <w:t>环境管控单元编码</w:t>
                  </w:r>
                </w:p>
              </w:tc>
              <w:tc>
                <w:tcPr>
                  <w:tcW w:w="716" w:type="pct"/>
                  <w:vMerge w:val="restart"/>
                  <w:tcBorders>
                    <w:top w:val="single" w:color="auto" w:sz="4" w:space="0"/>
                    <w:left w:val="single" w:color="auto" w:sz="4" w:space="0"/>
                    <w:right w:val="single" w:color="auto" w:sz="4" w:space="0"/>
                  </w:tcBorders>
                  <w:vAlign w:val="center"/>
                </w:tcPr>
                <w:p>
                  <w:pPr>
                    <w:spacing w:line="280" w:lineRule="exact"/>
                    <w:jc w:val="center"/>
                    <w:rPr>
                      <w:sz w:val="18"/>
                      <w:szCs w:val="18"/>
                      <w:lang w:bidi="ar"/>
                    </w:rPr>
                  </w:pPr>
                  <w:r>
                    <w:rPr>
                      <w:b/>
                      <w:bCs/>
                      <w:sz w:val="18"/>
                      <w:szCs w:val="18"/>
                      <w:lang w:bidi="ar"/>
                    </w:rPr>
                    <w:t>环境管控单元名称</w:t>
                  </w:r>
                </w:p>
              </w:tc>
              <w:tc>
                <w:tcPr>
                  <w:tcW w:w="1732" w:type="pct"/>
                  <w:gridSpan w:val="3"/>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lang w:bidi="ar"/>
                    </w:rPr>
                    <w:t>行政区划</w:t>
                  </w:r>
                </w:p>
              </w:tc>
              <w:tc>
                <w:tcPr>
                  <w:tcW w:w="781" w:type="pct"/>
                  <w:vMerge w:val="restart"/>
                  <w:tcBorders>
                    <w:top w:val="single" w:color="auto" w:sz="4" w:space="0"/>
                    <w:left w:val="single" w:color="auto" w:sz="4" w:space="0"/>
                    <w:right w:val="single" w:color="auto" w:sz="4" w:space="0"/>
                  </w:tcBorders>
                  <w:vAlign w:val="center"/>
                </w:tcPr>
                <w:p>
                  <w:pPr>
                    <w:spacing w:line="280" w:lineRule="exact"/>
                    <w:jc w:val="center"/>
                    <w:rPr>
                      <w:sz w:val="18"/>
                      <w:szCs w:val="18"/>
                      <w:lang w:bidi="ar"/>
                    </w:rPr>
                  </w:pPr>
                  <w:r>
                    <w:rPr>
                      <w:b/>
                      <w:bCs/>
                      <w:sz w:val="18"/>
                      <w:szCs w:val="18"/>
                      <w:lang w:bidi="ar"/>
                    </w:rPr>
                    <w:t>管控单元分类</w:t>
                  </w:r>
                </w:p>
              </w:tc>
              <w:tc>
                <w:tcPr>
                  <w:tcW w:w="861" w:type="pct"/>
                  <w:vMerge w:val="restart"/>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r>
                    <w:rPr>
                      <w:b/>
                      <w:bCs/>
                      <w:sz w:val="18"/>
                      <w:szCs w:val="18"/>
                      <w:lang w:bidi="ar"/>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54" w:hRule="atLeast"/>
              </w:trPr>
              <w:tc>
                <w:tcPr>
                  <w:tcW w:w="911" w:type="pct"/>
                  <w:gridSpan w:val="3"/>
                  <w:vMerge w:val="continue"/>
                  <w:tcBorders>
                    <w:left w:val="single" w:color="auto" w:sz="12" w:space="0"/>
                    <w:bottom w:val="single" w:color="auto" w:sz="4" w:space="0"/>
                    <w:right w:val="single" w:color="auto" w:sz="4" w:space="0"/>
                  </w:tcBorders>
                  <w:vAlign w:val="center"/>
                </w:tcPr>
                <w:p>
                  <w:pPr>
                    <w:spacing w:line="280" w:lineRule="exact"/>
                    <w:jc w:val="center"/>
                    <w:rPr>
                      <w:sz w:val="18"/>
                      <w:szCs w:val="18"/>
                      <w:lang w:bidi="ar"/>
                    </w:rPr>
                  </w:pPr>
                </w:p>
              </w:tc>
              <w:tc>
                <w:tcPr>
                  <w:tcW w:w="716" w:type="pct"/>
                  <w:vMerge w:val="continue"/>
                  <w:tcBorders>
                    <w:left w:val="single" w:color="auto" w:sz="4" w:space="0"/>
                    <w:bottom w:val="single" w:color="auto" w:sz="4" w:space="0"/>
                    <w:right w:val="single" w:color="auto" w:sz="4" w:space="0"/>
                  </w:tcBorders>
                  <w:vAlign w:val="center"/>
                </w:tcPr>
                <w:p>
                  <w:pPr>
                    <w:spacing w:line="280" w:lineRule="exact"/>
                    <w:jc w:val="center"/>
                    <w:rPr>
                      <w:sz w:val="18"/>
                      <w:szCs w:val="18"/>
                      <w:lang w:bidi="ar"/>
                    </w:rPr>
                  </w:pP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b/>
                      <w:bCs/>
                      <w:sz w:val="18"/>
                      <w:szCs w:val="18"/>
                      <w:lang w:bidi="ar"/>
                    </w:rPr>
                    <w:t>省</w:t>
                  </w:r>
                </w:p>
              </w:tc>
              <w:tc>
                <w:tcPr>
                  <w:tcW w:w="519"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lang w:bidi="ar"/>
                    </w:rPr>
                  </w:pPr>
                  <w:r>
                    <w:rPr>
                      <w:b/>
                      <w:bCs/>
                      <w:sz w:val="18"/>
                      <w:szCs w:val="18"/>
                      <w:lang w:bidi="ar"/>
                    </w:rPr>
                    <w:t>市</w:t>
                  </w:r>
                </w:p>
              </w:tc>
              <w:tc>
                <w:tcPr>
                  <w:tcW w:w="43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lang w:bidi="ar"/>
                    </w:rPr>
                    <w:t>区</w:t>
                  </w:r>
                </w:p>
              </w:tc>
              <w:tc>
                <w:tcPr>
                  <w:tcW w:w="781" w:type="pct"/>
                  <w:vMerge w:val="continue"/>
                  <w:tcBorders>
                    <w:left w:val="single" w:color="auto" w:sz="4" w:space="0"/>
                    <w:bottom w:val="single" w:color="auto" w:sz="4" w:space="0"/>
                    <w:right w:val="single" w:color="auto" w:sz="4" w:space="0"/>
                  </w:tcBorders>
                  <w:vAlign w:val="center"/>
                </w:tcPr>
                <w:p>
                  <w:pPr>
                    <w:spacing w:line="280" w:lineRule="exact"/>
                    <w:jc w:val="center"/>
                    <w:rPr>
                      <w:sz w:val="18"/>
                      <w:szCs w:val="18"/>
                      <w:lang w:bidi="ar"/>
                    </w:rPr>
                  </w:pP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911" w:type="pct"/>
                  <w:gridSpan w:val="3"/>
                  <w:tcBorders>
                    <w:top w:val="single" w:color="auto" w:sz="4" w:space="0"/>
                    <w:left w:val="single" w:color="auto" w:sz="12" w:space="0"/>
                    <w:bottom w:val="single" w:color="auto" w:sz="4" w:space="0"/>
                    <w:right w:val="single" w:color="auto" w:sz="4" w:space="0"/>
                  </w:tcBorders>
                  <w:vAlign w:val="center"/>
                </w:tcPr>
                <w:p>
                  <w:pPr>
                    <w:spacing w:line="280" w:lineRule="exact"/>
                    <w:jc w:val="center"/>
                    <w:rPr>
                      <w:sz w:val="18"/>
                      <w:szCs w:val="18"/>
                    </w:rPr>
                  </w:pPr>
                  <w:r>
                    <w:rPr>
                      <w:sz w:val="18"/>
                      <w:szCs w:val="18"/>
                      <w:lang w:bidi="ar"/>
                    </w:rPr>
                    <w:t>ZH15082320010</w:t>
                  </w:r>
                </w:p>
              </w:tc>
              <w:tc>
                <w:tcPr>
                  <w:tcW w:w="716"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额尔登布拉格苏木采矿用地</w:t>
                  </w: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lang w:bidi="ar"/>
                    </w:rPr>
                    <w:t>内蒙古自治区</w:t>
                  </w:r>
                </w:p>
              </w:tc>
              <w:tc>
                <w:tcPr>
                  <w:tcW w:w="519"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lang w:bidi="ar"/>
                    </w:rPr>
                    <w:t>巴彦淖尔市</w:t>
                  </w:r>
                </w:p>
              </w:tc>
              <w:tc>
                <w:tcPr>
                  <w:tcW w:w="43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乌拉特前旗</w:t>
                  </w:r>
                </w:p>
              </w:tc>
              <w:tc>
                <w:tcPr>
                  <w:tcW w:w="78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lang w:bidi="ar"/>
                    </w:rPr>
                    <w:t>重点管控单元</w:t>
                  </w: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414"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生态保护重点</w:t>
                  </w:r>
                </w:p>
              </w:tc>
              <w:tc>
                <w:tcPr>
                  <w:tcW w:w="3725" w:type="pct"/>
                  <w:gridSpan w:val="7"/>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lang w:bidi="ar"/>
                    </w:rPr>
                    <w:t>管控要求</w:t>
                  </w:r>
                </w:p>
              </w:tc>
              <w:tc>
                <w:tcPr>
                  <w:tcW w:w="861" w:type="pct"/>
                  <w:vMerge w:val="continue"/>
                  <w:tcBorders>
                    <w:top w:val="single" w:color="auto" w:sz="4" w:space="0"/>
                    <w:left w:val="single" w:color="auto" w:sz="4" w:space="0"/>
                    <w:bottom w:val="single" w:color="auto" w:sz="4" w:space="0"/>
                    <w:right w:val="single" w:color="auto" w:sz="12" w:space="0"/>
                  </w:tcBorders>
                  <w:vAlign w:val="center"/>
                </w:tcPr>
                <w:p>
                  <w:pPr>
                    <w:spacing w:line="280" w:lineRule="exact"/>
                    <w:jc w:val="center"/>
                    <w:rPr>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00" w:hRule="atLeast"/>
              </w:trPr>
              <w:tc>
                <w:tcPr>
                  <w:tcW w:w="414" w:type="pct"/>
                  <w:vMerge w:val="restart"/>
                  <w:tcBorders>
                    <w:top w:val="single" w:color="auto" w:sz="4" w:space="0"/>
                    <w:left w:val="single" w:color="auto" w:sz="4" w:space="0"/>
                    <w:right w:val="single" w:color="auto" w:sz="4" w:space="0"/>
                  </w:tcBorders>
                  <w:vAlign w:val="center"/>
                </w:tcPr>
                <w:p>
                  <w:pPr>
                    <w:spacing w:line="280" w:lineRule="exact"/>
                    <w:jc w:val="left"/>
                    <w:rPr>
                      <w:sz w:val="18"/>
                      <w:szCs w:val="18"/>
                    </w:rPr>
                  </w:pPr>
                  <w:r>
                    <w:rPr>
                      <w:sz w:val="18"/>
                      <w:szCs w:val="18"/>
                    </w:rPr>
                    <w:t>地下水开采重点管控区、土地资源重点管控区</w:t>
                  </w:r>
                </w:p>
              </w:tc>
              <w:tc>
                <w:tcPr>
                  <w:tcW w:w="347" w:type="pct"/>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sz w:val="18"/>
                      <w:szCs w:val="18"/>
                    </w:rPr>
                    <w:t>空间</w:t>
                  </w:r>
                  <w:r>
                    <w:rPr>
                      <w:rFonts w:hint="eastAsia"/>
                      <w:sz w:val="18"/>
                      <w:szCs w:val="18"/>
                      <w:lang w:bidi="ar"/>
                    </w:rPr>
                    <w:t>布局约束</w:t>
                  </w:r>
                </w:p>
              </w:tc>
              <w:tc>
                <w:tcPr>
                  <w:tcW w:w="3377" w:type="pct"/>
                  <w:gridSpan w:val="6"/>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rFonts w:hint="eastAsia"/>
                      <w:sz w:val="18"/>
                      <w:szCs w:val="18"/>
                    </w:rPr>
                    <w:t>1、非经国务院授权的有关主管部门同意，不得在以下地区开采矿产资源：（1）港口、机场、国防工程建设设施圈定地区以内；（2）重要工业区、大型水利工程设施、城镇市政工程设施附近一定距离以内；（3）铁路、重要公路两侧一定距离以内；（4）重要河流、堤坝两侧一定距离以内；（5）国家划定的自然保护区、重要风景名胜区，国家重点保护的不能移动的历史文物和名胜古迹所在地；（6）国家规定不得开采矿产资源的其他地区。</w:t>
                  </w:r>
                </w:p>
                <w:p>
                  <w:pPr>
                    <w:spacing w:line="280" w:lineRule="exact"/>
                    <w:jc w:val="left"/>
                    <w:rPr>
                      <w:sz w:val="18"/>
                      <w:szCs w:val="18"/>
                    </w:rPr>
                  </w:pPr>
                  <w:r>
                    <w:rPr>
                      <w:rFonts w:hint="eastAsia"/>
                      <w:sz w:val="18"/>
                      <w:szCs w:val="18"/>
                    </w:rPr>
                    <w:t>2、矿产资源开发布局应符合矿产资源总体规划要求。严格限制矿产资源开发项目，确需开采的矿产资源及必须就地开展矿产加工的新建、改建、扩建项目，应严格控制区域开发规模。到202</w:t>
                  </w:r>
                  <w:r>
                    <w:rPr>
                      <w:sz w:val="18"/>
                      <w:szCs w:val="18"/>
                    </w:rPr>
                    <w:t>9</w:t>
                  </w:r>
                  <w:r>
                    <w:rPr>
                      <w:rFonts w:hint="eastAsia"/>
                      <w:sz w:val="18"/>
                      <w:szCs w:val="18"/>
                    </w:rPr>
                    <w:t>年，已建矿山要达到绿色矿山建设标准，不符合绿色矿山建设标准要求的生产矿山要限期退出。</w:t>
                  </w:r>
                </w:p>
              </w:tc>
              <w:tc>
                <w:tcPr>
                  <w:tcW w:w="861" w:type="pct"/>
                  <w:tcBorders>
                    <w:top w:val="single" w:color="auto" w:sz="4" w:space="0"/>
                    <w:left w:val="single" w:color="auto" w:sz="4" w:space="0"/>
                    <w:bottom w:val="single" w:color="auto" w:sz="4" w:space="0"/>
                    <w:right w:val="single" w:color="auto" w:sz="12" w:space="0"/>
                  </w:tcBorders>
                  <w:vAlign w:val="center"/>
                </w:tcPr>
                <w:p>
                  <w:pPr>
                    <w:spacing w:line="280" w:lineRule="exact"/>
                    <w:jc w:val="left"/>
                    <w:rPr>
                      <w:sz w:val="18"/>
                      <w:szCs w:val="18"/>
                    </w:rPr>
                  </w:pPr>
                  <w:r>
                    <w:rPr>
                      <w:rFonts w:hint="eastAsia"/>
                      <w:sz w:val="18"/>
                      <w:szCs w:val="18"/>
                      <w:lang w:bidi="ar"/>
                    </w:rPr>
                    <w:t>本工程不涉及矿山、港口、铁路，不属于矿产资源开发项目</w:t>
                  </w:r>
                  <w:r>
                    <w:rPr>
                      <w:sz w:val="18"/>
                      <w:szCs w:val="18"/>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243" w:hRule="atLeast"/>
              </w:trPr>
              <w:tc>
                <w:tcPr>
                  <w:tcW w:w="414" w:type="pct"/>
                  <w:vMerge w:val="continue"/>
                  <w:tcBorders>
                    <w:left w:val="single" w:color="auto" w:sz="4" w:space="0"/>
                    <w:right w:val="single" w:color="auto" w:sz="4" w:space="0"/>
                  </w:tcBorders>
                  <w:vAlign w:val="center"/>
                </w:tcPr>
                <w:p>
                  <w:pPr>
                    <w:spacing w:line="280" w:lineRule="exact"/>
                    <w:jc w:val="left"/>
                    <w:rPr>
                      <w:sz w:val="18"/>
                      <w:szCs w:val="18"/>
                    </w:rPr>
                  </w:pPr>
                </w:p>
              </w:tc>
              <w:tc>
                <w:tcPr>
                  <w:tcW w:w="347" w:type="pct"/>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rFonts w:hint="eastAsia"/>
                      <w:sz w:val="18"/>
                      <w:szCs w:val="18"/>
                    </w:rPr>
                    <w:t>污染物排放管控</w:t>
                  </w:r>
                </w:p>
              </w:tc>
              <w:tc>
                <w:tcPr>
                  <w:tcW w:w="3377" w:type="pct"/>
                  <w:gridSpan w:val="6"/>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rFonts w:hint="eastAsia"/>
                      <w:sz w:val="18"/>
                      <w:szCs w:val="18"/>
                    </w:rPr>
                    <w:t>1、</w:t>
                  </w:r>
                  <w:r>
                    <w:rPr>
                      <w:rFonts w:hint="eastAsia"/>
                      <w:sz w:val="18"/>
                      <w:szCs w:val="18"/>
                    </w:rPr>
                    <w:tab/>
                  </w:r>
                  <w:r>
                    <w:rPr>
                      <w:rFonts w:hint="eastAsia"/>
                      <w:sz w:val="18"/>
                      <w:szCs w:val="18"/>
                    </w:rPr>
                    <w:t xml:space="preserve">矿产资源勘查以及采选过程中排土场、露天采场、尾矿库、矿区专用道路、矿山工业场地、沉陷区、矸石场、矿山污染场地等的生态环境保护与治理恢复工作须满足《矿山生态环境保护与治理恢复技术规范（试行）》（HJ651-2013）要求。 </w:t>
                  </w:r>
                </w:p>
                <w:p>
                  <w:pPr>
                    <w:spacing w:line="280" w:lineRule="exact"/>
                    <w:jc w:val="left"/>
                    <w:rPr>
                      <w:sz w:val="18"/>
                      <w:szCs w:val="18"/>
                    </w:rPr>
                  </w:pPr>
                  <w:r>
                    <w:rPr>
                      <w:rFonts w:hint="eastAsia"/>
                      <w:sz w:val="18"/>
                      <w:szCs w:val="18"/>
                    </w:rPr>
                    <w:t>2、</w:t>
                  </w:r>
                  <w:r>
                    <w:rPr>
                      <w:rFonts w:hint="eastAsia"/>
                      <w:sz w:val="18"/>
                      <w:szCs w:val="18"/>
                    </w:rPr>
                    <w:tab/>
                  </w:r>
                  <w:r>
                    <w:rPr>
                      <w:rFonts w:hint="eastAsia"/>
                      <w:sz w:val="18"/>
                      <w:szCs w:val="18"/>
                    </w:rPr>
                    <w:t xml:space="preserve">落实边开采、边治理要求，要求新建、在建矿山损毁土地严格按照《矿山地质环境保护与土地复垦方案》做到应治尽治。 </w:t>
                  </w:r>
                </w:p>
                <w:p>
                  <w:pPr>
                    <w:spacing w:line="280" w:lineRule="exact"/>
                    <w:jc w:val="left"/>
                    <w:rPr>
                      <w:sz w:val="18"/>
                      <w:szCs w:val="18"/>
                    </w:rPr>
                  </w:pPr>
                  <w:r>
                    <w:rPr>
                      <w:rFonts w:hint="eastAsia"/>
                      <w:sz w:val="18"/>
                      <w:szCs w:val="18"/>
                    </w:rPr>
                    <w:t>3、</w:t>
                  </w:r>
                  <w:r>
                    <w:rPr>
                      <w:rFonts w:hint="eastAsia"/>
                      <w:sz w:val="18"/>
                      <w:szCs w:val="18"/>
                    </w:rPr>
                    <w:tab/>
                  </w:r>
                  <w:r>
                    <w:rPr>
                      <w:rFonts w:hint="eastAsia"/>
                      <w:sz w:val="18"/>
                      <w:szCs w:val="18"/>
                    </w:rPr>
                    <w:t xml:space="preserve">禁止采用污染和破坏矿山环境的方法开采矿产资源。矿山“三废”得到有效处理，污染物排放达标。矿山服务到期闭坑前，要按方案要求对矿区内破坏单元进行相应治理，加强矿山环境监测。 </w:t>
                  </w:r>
                </w:p>
                <w:p>
                  <w:pPr>
                    <w:spacing w:line="280" w:lineRule="exact"/>
                    <w:jc w:val="left"/>
                    <w:rPr>
                      <w:sz w:val="18"/>
                      <w:szCs w:val="18"/>
                    </w:rPr>
                  </w:pPr>
                  <w:r>
                    <w:rPr>
                      <w:rFonts w:hint="eastAsia"/>
                      <w:sz w:val="18"/>
                      <w:szCs w:val="18"/>
                    </w:rPr>
                    <w:t>4、</w:t>
                  </w:r>
                  <w:r>
                    <w:rPr>
                      <w:rFonts w:hint="eastAsia"/>
                      <w:sz w:val="18"/>
                      <w:szCs w:val="18"/>
                    </w:rPr>
                    <w:tab/>
                  </w:r>
                  <w:r>
                    <w:rPr>
                      <w:rFonts w:hint="eastAsia"/>
                      <w:sz w:val="18"/>
                      <w:szCs w:val="18"/>
                    </w:rPr>
                    <w:t xml:space="preserve">新建排放重金属污染物的重点行业建设项目全面执行重点重金属污染物特别排放限值。 </w:t>
                  </w:r>
                </w:p>
                <w:p>
                  <w:pPr>
                    <w:spacing w:line="280" w:lineRule="exact"/>
                    <w:jc w:val="left"/>
                    <w:rPr>
                      <w:sz w:val="18"/>
                      <w:szCs w:val="18"/>
                    </w:rPr>
                  </w:pPr>
                  <w:r>
                    <w:rPr>
                      <w:rFonts w:hint="eastAsia"/>
                      <w:sz w:val="18"/>
                      <w:szCs w:val="18"/>
                    </w:rPr>
                    <w:t>5、</w:t>
                  </w:r>
                  <w:r>
                    <w:rPr>
                      <w:rFonts w:hint="eastAsia"/>
                      <w:sz w:val="18"/>
                      <w:szCs w:val="18"/>
                    </w:rPr>
                    <w:tab/>
                  </w:r>
                  <w:r>
                    <w:rPr>
                      <w:rFonts w:hint="eastAsia"/>
                      <w:sz w:val="18"/>
                      <w:szCs w:val="18"/>
                    </w:rPr>
                    <w:t xml:space="preserve">全市重点行业重点重金属污染物实行排放总量控制制度，新建、改建、扩建涉重金属重点行业建设项目必须遵循重点重金属污染物排放“减量置换”或“等量替换”的原则，严格把重金属污染物排放总量指标作为排放重金属污染物建设项目环境影响评价审批的前置条件，无明确具体总量来源的，不得批准相关环境影响评价文件。 </w:t>
                  </w:r>
                </w:p>
                <w:p>
                  <w:pPr>
                    <w:spacing w:line="280" w:lineRule="exact"/>
                    <w:jc w:val="left"/>
                    <w:rPr>
                      <w:sz w:val="18"/>
                      <w:szCs w:val="18"/>
                    </w:rPr>
                  </w:pPr>
                  <w:r>
                    <w:rPr>
                      <w:rFonts w:hint="eastAsia"/>
                      <w:sz w:val="18"/>
                      <w:szCs w:val="18"/>
                    </w:rPr>
                    <w:t>6、</w:t>
                  </w:r>
                  <w:r>
                    <w:rPr>
                      <w:rFonts w:hint="eastAsia"/>
                      <w:sz w:val="18"/>
                      <w:szCs w:val="18"/>
                    </w:rPr>
                    <w:tab/>
                  </w:r>
                  <w:r>
                    <w:rPr>
                      <w:rFonts w:hint="eastAsia"/>
                      <w:sz w:val="18"/>
                      <w:szCs w:val="18"/>
                    </w:rPr>
                    <w:t>重点重金属污染物包括铅、汞、镉、铬和类金属砷。</w:t>
                  </w:r>
                </w:p>
              </w:tc>
              <w:tc>
                <w:tcPr>
                  <w:tcW w:w="861" w:type="pct"/>
                  <w:tcBorders>
                    <w:top w:val="single" w:color="auto" w:sz="4" w:space="0"/>
                    <w:left w:val="single" w:color="auto" w:sz="4" w:space="0"/>
                    <w:bottom w:val="single" w:color="auto" w:sz="4" w:space="0"/>
                    <w:right w:val="single" w:color="auto" w:sz="12" w:space="0"/>
                  </w:tcBorders>
                  <w:vAlign w:val="center"/>
                </w:tcPr>
                <w:p>
                  <w:pPr>
                    <w:spacing w:line="280" w:lineRule="exact"/>
                    <w:jc w:val="left"/>
                    <w:rPr>
                      <w:sz w:val="18"/>
                      <w:szCs w:val="18"/>
                      <w:lang w:bidi="ar"/>
                    </w:rPr>
                  </w:pPr>
                  <w:r>
                    <w:rPr>
                      <w:rFonts w:hint="eastAsia"/>
                      <w:sz w:val="18"/>
                      <w:szCs w:val="18"/>
                      <w:lang w:bidi="ar"/>
                    </w:rPr>
                    <w:t>本工程不属于采矿项目，无重金属污染物排放。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00" w:hRule="atLeast"/>
              </w:trPr>
              <w:tc>
                <w:tcPr>
                  <w:tcW w:w="414" w:type="pct"/>
                  <w:vMerge w:val="continue"/>
                  <w:tcBorders>
                    <w:left w:val="single" w:color="auto" w:sz="4" w:space="0"/>
                    <w:right w:val="single" w:color="auto" w:sz="4" w:space="0"/>
                  </w:tcBorders>
                  <w:vAlign w:val="center"/>
                </w:tcPr>
                <w:p>
                  <w:pPr>
                    <w:spacing w:line="280" w:lineRule="exact"/>
                    <w:jc w:val="left"/>
                    <w:rPr>
                      <w:sz w:val="18"/>
                      <w:szCs w:val="18"/>
                    </w:rPr>
                  </w:pPr>
                </w:p>
              </w:tc>
              <w:tc>
                <w:tcPr>
                  <w:tcW w:w="347" w:type="pct"/>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rFonts w:hint="eastAsia"/>
                      <w:sz w:val="18"/>
                      <w:szCs w:val="18"/>
                    </w:rPr>
                    <w:t>环境风险防控</w:t>
                  </w:r>
                </w:p>
              </w:tc>
              <w:tc>
                <w:tcPr>
                  <w:tcW w:w="3377" w:type="pct"/>
                  <w:gridSpan w:val="6"/>
                  <w:tcBorders>
                    <w:top w:val="single" w:color="auto" w:sz="4" w:space="0"/>
                    <w:left w:val="single" w:color="auto" w:sz="4" w:space="0"/>
                    <w:bottom w:val="single" w:color="auto" w:sz="4" w:space="0"/>
                    <w:right w:val="single" w:color="auto" w:sz="4" w:space="0"/>
                  </w:tcBorders>
                  <w:vAlign w:val="center"/>
                </w:tcPr>
                <w:p>
                  <w:pPr>
                    <w:spacing w:line="280" w:lineRule="exact"/>
                    <w:jc w:val="left"/>
                    <w:rPr>
                      <w:sz w:val="18"/>
                      <w:szCs w:val="18"/>
                    </w:rPr>
                  </w:pPr>
                  <w:r>
                    <w:rPr>
                      <w:rFonts w:hint="eastAsia"/>
                      <w:sz w:val="18"/>
                      <w:szCs w:val="18"/>
                    </w:rPr>
                    <w:t>1、</w:t>
                  </w:r>
                  <w:r>
                    <w:rPr>
                      <w:rFonts w:hint="eastAsia"/>
                      <w:sz w:val="18"/>
                      <w:szCs w:val="18"/>
                    </w:rPr>
                    <w:tab/>
                  </w:r>
                  <w:r>
                    <w:rPr>
                      <w:rFonts w:hint="eastAsia"/>
                      <w:sz w:val="18"/>
                      <w:szCs w:val="18"/>
                    </w:rPr>
                    <w:t xml:space="preserve">制定环境风险应急预案，成立应急组织机构，配备必要的应急设施和应急物资，定期开展环境风险应急演练。 </w:t>
                  </w:r>
                </w:p>
                <w:p>
                  <w:pPr>
                    <w:spacing w:line="280" w:lineRule="exact"/>
                    <w:jc w:val="left"/>
                    <w:rPr>
                      <w:sz w:val="18"/>
                      <w:szCs w:val="18"/>
                    </w:rPr>
                  </w:pPr>
                  <w:r>
                    <w:rPr>
                      <w:rFonts w:hint="eastAsia"/>
                      <w:sz w:val="18"/>
                      <w:szCs w:val="18"/>
                    </w:rPr>
                    <w:t>2、</w:t>
                  </w:r>
                  <w:r>
                    <w:rPr>
                      <w:rFonts w:hint="eastAsia"/>
                      <w:sz w:val="18"/>
                      <w:szCs w:val="18"/>
                    </w:rPr>
                    <w:tab/>
                  </w:r>
                  <w:r>
                    <w:rPr>
                      <w:rFonts w:hint="eastAsia"/>
                      <w:sz w:val="18"/>
                      <w:szCs w:val="18"/>
                    </w:rPr>
                    <w:t xml:space="preserve">全面整治历史遗留尾矿库，完善覆膜、压土、排洪、堤坝加固等隐患治理和闭库措施。有重点监管尾矿库的企业要开展环境风险评估，完善污染治理设施，储备应急物资。加强对矿产资源开发利用活动的辐射安全监管，有关企业每年要对本矿区土壤进行辐射环境监测。 </w:t>
                  </w:r>
                </w:p>
                <w:p>
                  <w:pPr>
                    <w:spacing w:line="280" w:lineRule="exact"/>
                    <w:jc w:val="left"/>
                    <w:rPr>
                      <w:sz w:val="18"/>
                      <w:szCs w:val="18"/>
                    </w:rPr>
                  </w:pPr>
                  <w:r>
                    <w:rPr>
                      <w:rFonts w:hint="eastAsia"/>
                      <w:sz w:val="18"/>
                      <w:szCs w:val="18"/>
                    </w:rPr>
                    <w:t>3、</w:t>
                  </w:r>
                  <w:r>
                    <w:rPr>
                      <w:rFonts w:hint="eastAsia"/>
                      <w:sz w:val="18"/>
                      <w:szCs w:val="18"/>
                    </w:rPr>
                    <w:tab/>
                  </w:r>
                  <w:r>
                    <w:rPr>
                      <w:rFonts w:hint="eastAsia"/>
                      <w:sz w:val="18"/>
                      <w:szCs w:val="18"/>
                    </w:rPr>
                    <w:t>禁止在行洪的河床、滩地和岸坡堆放贮存矿石、废碴或者尾矿，防止造成行洪不畅或者堤岸破坏。边坡的开挖和矿石、废碴的堆放，应当符合边坡稳定的要求。禁止开采或者毁坏预留安全矿柱或者岩柱，防止造成滑坡、崩塌、泥石流以及地面开裂、塌陷、沉降等地质灾害。</w:t>
                  </w:r>
                </w:p>
              </w:tc>
              <w:tc>
                <w:tcPr>
                  <w:tcW w:w="861" w:type="pct"/>
                  <w:tcBorders>
                    <w:top w:val="single" w:color="auto" w:sz="4" w:space="0"/>
                    <w:left w:val="single" w:color="auto" w:sz="4" w:space="0"/>
                    <w:bottom w:val="single" w:color="auto" w:sz="4" w:space="0"/>
                    <w:right w:val="single" w:color="auto" w:sz="12" w:space="0"/>
                  </w:tcBorders>
                  <w:vAlign w:val="center"/>
                </w:tcPr>
                <w:p>
                  <w:pPr>
                    <w:spacing w:line="280" w:lineRule="exact"/>
                    <w:jc w:val="left"/>
                    <w:rPr>
                      <w:sz w:val="18"/>
                      <w:szCs w:val="18"/>
                      <w:lang w:bidi="ar"/>
                    </w:rPr>
                  </w:pPr>
                  <w:r>
                    <w:rPr>
                      <w:rFonts w:hint="eastAsia"/>
                      <w:sz w:val="18"/>
                      <w:szCs w:val="18"/>
                      <w:lang w:bidi="ar"/>
                    </w:rPr>
                    <w:t>本项目对尾矿库排土场进行生态治理，尾矿库均已闭库，地块4、地块5已覆土，地块5已有植被生长，本工程施肥改良土壤、植被重建，设置环境管理部门，成立应急组织机构。符合管控单元要求。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00" w:hRule="atLeast"/>
              </w:trPr>
              <w:tc>
                <w:tcPr>
                  <w:tcW w:w="414" w:type="pct"/>
                  <w:vMerge w:val="continue"/>
                  <w:tcBorders>
                    <w:left w:val="single" w:color="auto" w:sz="4" w:space="0"/>
                    <w:right w:val="single" w:color="auto" w:sz="4" w:space="0"/>
                  </w:tcBorders>
                  <w:vAlign w:val="center"/>
                </w:tcPr>
                <w:p>
                  <w:pPr>
                    <w:spacing w:line="280" w:lineRule="exact"/>
                    <w:jc w:val="left"/>
                    <w:rPr>
                      <w:sz w:val="18"/>
                      <w:szCs w:val="18"/>
                    </w:rPr>
                  </w:pPr>
                </w:p>
              </w:tc>
              <w:tc>
                <w:tcPr>
                  <w:tcW w:w="347" w:type="pct"/>
                  <w:tcBorders>
                    <w:top w:val="single" w:color="auto" w:sz="4" w:space="0"/>
                    <w:left w:val="single" w:color="auto" w:sz="4" w:space="0"/>
                    <w:bottom w:val="single" w:color="auto" w:sz="12" w:space="0"/>
                    <w:right w:val="single" w:color="auto" w:sz="4" w:space="0"/>
                  </w:tcBorders>
                  <w:vAlign w:val="center"/>
                </w:tcPr>
                <w:p>
                  <w:pPr>
                    <w:spacing w:line="280" w:lineRule="exact"/>
                    <w:jc w:val="left"/>
                    <w:rPr>
                      <w:sz w:val="18"/>
                      <w:szCs w:val="18"/>
                    </w:rPr>
                  </w:pPr>
                  <w:r>
                    <w:rPr>
                      <w:rFonts w:hint="eastAsia"/>
                      <w:sz w:val="18"/>
                      <w:szCs w:val="18"/>
                    </w:rPr>
                    <w:t>资源利用效率要求</w:t>
                  </w:r>
                </w:p>
              </w:tc>
              <w:tc>
                <w:tcPr>
                  <w:tcW w:w="3377" w:type="pct"/>
                  <w:gridSpan w:val="6"/>
                  <w:tcBorders>
                    <w:top w:val="single" w:color="auto" w:sz="4" w:space="0"/>
                    <w:left w:val="single" w:color="auto" w:sz="4" w:space="0"/>
                    <w:bottom w:val="single" w:color="auto" w:sz="12" w:space="0"/>
                    <w:right w:val="single" w:color="auto" w:sz="4" w:space="0"/>
                  </w:tcBorders>
                  <w:vAlign w:val="center"/>
                </w:tcPr>
                <w:p>
                  <w:pPr>
                    <w:spacing w:line="280" w:lineRule="exact"/>
                    <w:jc w:val="left"/>
                    <w:rPr>
                      <w:sz w:val="18"/>
                      <w:szCs w:val="18"/>
                    </w:rPr>
                  </w:pPr>
                  <w:r>
                    <w:rPr>
                      <w:rFonts w:hint="eastAsia"/>
                      <w:sz w:val="18"/>
                      <w:szCs w:val="18"/>
                    </w:rPr>
                    <w:t>1、</w:t>
                  </w:r>
                  <w:r>
                    <w:rPr>
                      <w:rFonts w:hint="eastAsia"/>
                      <w:sz w:val="18"/>
                      <w:szCs w:val="18"/>
                    </w:rPr>
                    <w:tab/>
                  </w:r>
                  <w:r>
                    <w:rPr>
                      <w:rFonts w:hint="eastAsia"/>
                      <w:sz w:val="18"/>
                      <w:szCs w:val="18"/>
                    </w:rPr>
                    <w:t xml:space="preserve">矿山“三率”水平达到国内同行业先进水平，矿山“三率”水平达标率达 85%以上，尾矿排放重金属残留水平进一步降低。 </w:t>
                  </w:r>
                </w:p>
                <w:p>
                  <w:pPr>
                    <w:spacing w:line="280" w:lineRule="exact"/>
                    <w:jc w:val="left"/>
                    <w:rPr>
                      <w:sz w:val="18"/>
                      <w:szCs w:val="18"/>
                    </w:rPr>
                  </w:pPr>
                  <w:r>
                    <w:rPr>
                      <w:rFonts w:hint="eastAsia"/>
                      <w:sz w:val="18"/>
                      <w:szCs w:val="18"/>
                    </w:rPr>
                    <w:t>2、</w:t>
                  </w:r>
                  <w:r>
                    <w:rPr>
                      <w:rFonts w:hint="eastAsia"/>
                      <w:sz w:val="18"/>
                      <w:szCs w:val="18"/>
                    </w:rPr>
                    <w:tab/>
                  </w:r>
                  <w:r>
                    <w:rPr>
                      <w:rFonts w:hint="eastAsia"/>
                      <w:sz w:val="18"/>
                      <w:szCs w:val="18"/>
                    </w:rPr>
                    <w:t xml:space="preserve">禁止新建对生态环境产生不可恢复利用的、产生破坏性影响的矿产资源开发项目。 </w:t>
                  </w:r>
                </w:p>
                <w:p>
                  <w:pPr>
                    <w:spacing w:line="280" w:lineRule="exact"/>
                    <w:jc w:val="left"/>
                    <w:rPr>
                      <w:sz w:val="18"/>
                      <w:szCs w:val="18"/>
                    </w:rPr>
                  </w:pPr>
                  <w:r>
                    <w:rPr>
                      <w:rFonts w:hint="eastAsia"/>
                      <w:sz w:val="18"/>
                      <w:szCs w:val="18"/>
                    </w:rPr>
                    <w:t>3、</w:t>
                  </w:r>
                  <w:r>
                    <w:rPr>
                      <w:rFonts w:hint="eastAsia"/>
                      <w:sz w:val="18"/>
                      <w:szCs w:val="18"/>
                    </w:rPr>
                    <w:tab/>
                  </w:r>
                  <w:r>
                    <w:rPr>
                      <w:rFonts w:hint="eastAsia"/>
                      <w:sz w:val="18"/>
                      <w:szCs w:val="18"/>
                    </w:rPr>
                    <w:t xml:space="preserve">严控地下水超采。禁止私自开采地下水。新建、改建、扩建的高耗水工业项目，禁止擅自使用地下水。食品、制药等项目取用地下水，须经有管理权限的水行政主管部门批准。 </w:t>
                  </w:r>
                </w:p>
                <w:p>
                  <w:pPr>
                    <w:spacing w:line="280" w:lineRule="exact"/>
                    <w:jc w:val="left"/>
                    <w:rPr>
                      <w:sz w:val="18"/>
                      <w:szCs w:val="18"/>
                    </w:rPr>
                  </w:pPr>
                  <w:r>
                    <w:rPr>
                      <w:rFonts w:hint="eastAsia"/>
                      <w:sz w:val="18"/>
                      <w:szCs w:val="18"/>
                    </w:rPr>
                    <w:t>4、</w:t>
                  </w:r>
                  <w:r>
                    <w:rPr>
                      <w:rFonts w:hint="eastAsia"/>
                      <w:sz w:val="18"/>
                      <w:szCs w:val="18"/>
                    </w:rPr>
                    <w:tab/>
                  </w:r>
                  <w:r>
                    <w:rPr>
                      <w:rFonts w:hint="eastAsia"/>
                      <w:sz w:val="18"/>
                      <w:szCs w:val="18"/>
                    </w:rPr>
                    <w:t xml:space="preserve">提高工业企业用水用能效率。 </w:t>
                  </w:r>
                </w:p>
                <w:p>
                  <w:pPr>
                    <w:spacing w:line="280" w:lineRule="exact"/>
                    <w:jc w:val="left"/>
                    <w:rPr>
                      <w:sz w:val="18"/>
                      <w:szCs w:val="18"/>
                    </w:rPr>
                  </w:pPr>
                  <w:r>
                    <w:rPr>
                      <w:rFonts w:hint="eastAsia"/>
                      <w:sz w:val="18"/>
                      <w:szCs w:val="18"/>
                    </w:rPr>
                    <w:t>5、</w:t>
                  </w:r>
                  <w:r>
                    <w:rPr>
                      <w:rFonts w:hint="eastAsia"/>
                      <w:sz w:val="18"/>
                      <w:szCs w:val="18"/>
                    </w:rPr>
                    <w:tab/>
                  </w:r>
                  <w:r>
                    <w:rPr>
                      <w:rFonts w:hint="eastAsia"/>
                      <w:sz w:val="18"/>
                      <w:szCs w:val="18"/>
                    </w:rPr>
                    <w:t xml:space="preserve">矿山企业要严格落实矿产资源开发利用方案、环境影响评价文件，水土保持方案、矿山地质环境保护与土地复垦方案等要求，提高资源利用效率水平。 </w:t>
                  </w:r>
                </w:p>
                <w:p>
                  <w:pPr>
                    <w:spacing w:line="280" w:lineRule="exact"/>
                    <w:jc w:val="left"/>
                    <w:rPr>
                      <w:sz w:val="18"/>
                      <w:szCs w:val="18"/>
                    </w:rPr>
                  </w:pPr>
                  <w:r>
                    <w:rPr>
                      <w:rFonts w:hint="eastAsia"/>
                      <w:sz w:val="18"/>
                      <w:szCs w:val="18"/>
                    </w:rPr>
                    <w:t>6、</w:t>
                  </w:r>
                  <w:r>
                    <w:rPr>
                      <w:rFonts w:hint="eastAsia"/>
                      <w:sz w:val="18"/>
                      <w:szCs w:val="18"/>
                    </w:rPr>
                    <w:tab/>
                  </w:r>
                  <w:r>
                    <w:rPr>
                      <w:rFonts w:hint="eastAsia"/>
                      <w:sz w:val="18"/>
                      <w:szCs w:val="18"/>
                    </w:rPr>
                    <w:t>新建有色金属、非金属矿采选业项目生产工艺应达到国内先进水平，清洁生产水平应达到《清洁生产审核办法》规定范围之内，水耗控制在《内蒙古自治区地方标准行业用水定额》（DB15/T385-2020）规定范围之内，现有企业 3 年内生产工艺应进行改造升级，清洁生产必须按照《清洁生产审核办法》进行审核，水耗控制在《内蒙古自治区地方标准行业用水定额》（DB15/T385-2020）规定范围之内。</w:t>
                  </w:r>
                </w:p>
              </w:tc>
              <w:tc>
                <w:tcPr>
                  <w:tcW w:w="861" w:type="pct"/>
                  <w:tcBorders>
                    <w:top w:val="single" w:color="auto" w:sz="4" w:space="0"/>
                    <w:left w:val="single" w:color="auto" w:sz="4" w:space="0"/>
                    <w:bottom w:val="single" w:color="auto" w:sz="12" w:space="0"/>
                    <w:right w:val="single" w:color="auto" w:sz="12" w:space="0"/>
                  </w:tcBorders>
                  <w:vAlign w:val="center"/>
                </w:tcPr>
                <w:p>
                  <w:pPr>
                    <w:spacing w:line="280" w:lineRule="exact"/>
                    <w:jc w:val="left"/>
                    <w:rPr>
                      <w:sz w:val="18"/>
                      <w:szCs w:val="18"/>
                      <w:lang w:bidi="ar"/>
                    </w:rPr>
                  </w:pPr>
                  <w:r>
                    <w:rPr>
                      <w:rFonts w:hint="eastAsia"/>
                      <w:sz w:val="18"/>
                      <w:szCs w:val="18"/>
                      <w:lang w:bidi="ar"/>
                    </w:rPr>
                    <w:t>本工程不涉及矿产资源开发、有色金属等工程，建设及运营期落实环境影响评价文件，水土保持方案等文件要求，提高资源利用效率水平。</w:t>
                  </w:r>
                </w:p>
              </w:tc>
            </w:tr>
          </w:tbl>
          <w:p>
            <w:pPr>
              <w:pStyle w:val="46"/>
              <w:ind w:firstLine="480"/>
              <w:rPr>
                <w:rFonts w:cs="Times New Roman"/>
                <w:snapToGrid/>
              </w:rPr>
            </w:pPr>
            <w:r>
              <w:rPr>
                <w:rFonts w:hint="eastAsia" w:cs="Times New Roman"/>
                <w:snapToGrid/>
              </w:rPr>
              <w:t>本工程不涉及矿产资源开发、有色金属等工程，无重金属污染物排放。本项目为光伏发电项目，属于清洁能源，项目的建设有利于改变地区能源结构，减少污染物排放，降低生态风险；本工程为光储+生态治理工程采用草光互补的模式进行生态治理，可改善局部生态环境。本项目位于重点管控单元与优先保护单元。本项目满足其规定的空间布局约束的准入要求、污染物排放管控的准入要求、环境风险防控的准入要求、资源开发效率的准入要求。综上，本项目符合环境准入要求。</w:t>
            </w:r>
          </w:p>
        </w:tc>
      </w:tr>
    </w:tbl>
    <w:p>
      <w:pPr>
        <w:spacing w:line="360" w:lineRule="auto"/>
        <w:outlineLvl w:val="0"/>
        <w:rPr>
          <w:sz w:val="30"/>
        </w:rPr>
        <w:sectPr>
          <w:footerReference r:id="rId5" w:type="default"/>
          <w:pgSz w:w="11906" w:h="16838"/>
          <w:pgMar w:top="1701" w:right="1531" w:bottom="1701" w:left="1531" w:header="851" w:footer="1077" w:gutter="0"/>
          <w:pgNumType w:start="1"/>
          <w:cols w:space="720" w:num="1"/>
          <w:docGrid w:linePitch="312" w:charSpace="0"/>
        </w:sectPr>
      </w:pPr>
    </w:p>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sz w:val="30"/>
          <w:szCs w:val="30"/>
        </w:rPr>
        <w:t>二、建设内容</w:t>
      </w:r>
    </w:p>
    <w:tbl>
      <w:tblPr>
        <w:tblStyle w:val="16"/>
        <w:tblW w:w="89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
      <w:tblGrid>
        <w:gridCol w:w="466"/>
        <w:gridCol w:w="84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1497" w:hRule="atLeast"/>
          <w:jc w:val="center"/>
        </w:trPr>
        <w:tc>
          <w:tcPr>
            <w:tcW w:w="466" w:type="dxa"/>
            <w:vAlign w:val="center"/>
          </w:tcPr>
          <w:p>
            <w:pPr>
              <w:adjustRightInd w:val="0"/>
              <w:snapToGrid w:val="0"/>
              <w:jc w:val="center"/>
              <w:rPr>
                <w:kern w:val="0"/>
                <w:sz w:val="24"/>
              </w:rPr>
            </w:pPr>
            <w:r>
              <w:rPr>
                <w:kern w:val="0"/>
                <w:sz w:val="24"/>
              </w:rPr>
              <w:t>地理位置</w:t>
            </w:r>
          </w:p>
        </w:tc>
        <w:tc>
          <w:tcPr>
            <w:tcW w:w="8455" w:type="dxa"/>
          </w:tcPr>
          <w:p>
            <w:pPr>
              <w:pStyle w:val="46"/>
              <w:ind w:firstLine="480"/>
              <w:rPr>
                <w:rFonts w:cs="Times New Roman"/>
              </w:rPr>
            </w:pPr>
            <w:r>
              <w:rPr>
                <w:rFonts w:hint="eastAsia" w:cs="Times New Roman"/>
              </w:rPr>
              <w:t>巴彦淖尔100万千瓦光储+生态治理项目乌拉特前旗15万千瓦子项目场址位于内蒙古自治区巴彦淖尔市乌拉特前旗，场址土地以天然牧草地、工业用地为主，现状均属沙地，荒漠化土地、工业用地，零星分布小针茅、骆驼蓬等沙生植物，地形开阔平坦。场址可通过已有道路与附近县道或省道相连，交通较便利。</w:t>
            </w:r>
          </w:p>
          <w:p>
            <w:pPr>
              <w:pStyle w:val="46"/>
              <w:ind w:firstLine="480"/>
              <w:rPr>
                <w:rFonts w:cs="Times New Roman"/>
              </w:rPr>
            </w:pPr>
            <w:r>
              <w:rPr>
                <w:rFonts w:cs="Times New Roman"/>
              </w:rPr>
              <w:t>光伏场地块1中心坐标：北纬40°47′33.11″，东经109°5′21.88″，地块2中心坐标：北纬40°48′49.42″，东经109°3′40.99″，地块3中心坐标：北纬40°49′2.98″，东经109°4′0.69″，地块4中心坐标：北纬40°49′37.53″，东经109°4′26.57″，地块5中心坐标：北纬40°49′43.41″，东经109°4′49.12″，地块6中心坐标：北纬40°50′7.22″，东经109°4′23.71″。升压站中心坐标：北纬40°48′49.13″，东经109°4′9.77″。</w:t>
            </w:r>
          </w:p>
          <w:p>
            <w:pPr>
              <w:pStyle w:val="46"/>
              <w:ind w:firstLine="480"/>
              <w:rPr>
                <w:rFonts w:cs="Times New Roman"/>
              </w:rPr>
            </w:pPr>
            <w:r>
              <w:rPr>
                <w:rFonts w:cs="Times New Roman"/>
              </w:rPr>
              <w:t>项目地理位置见附图1。</w:t>
            </w:r>
          </w:p>
          <w:p>
            <w:pPr>
              <w:pStyle w:val="46"/>
              <w:ind w:firstLine="480"/>
            </w:pPr>
            <w:r>
              <w:rPr>
                <w:rFonts w:hint="eastAsia"/>
              </w:rPr>
              <w:t>光伏场</w:t>
            </w:r>
            <w:r>
              <w:t>各地块现状</w:t>
            </w:r>
            <w:r>
              <w:rPr>
                <w:rFonts w:hint="eastAsia"/>
              </w:rPr>
              <w:t>表2</w:t>
            </w:r>
            <w:r>
              <w:t>.1，</w:t>
            </w:r>
            <w:r>
              <w:rPr>
                <w:rFonts w:hint="eastAsia"/>
              </w:rPr>
              <w:t>拐点坐标见表2</w:t>
            </w:r>
            <w:r>
              <w:t>.2</w:t>
            </w:r>
            <w:r>
              <w:rPr>
                <w:rFonts w:hint="eastAsia"/>
              </w:rPr>
              <w:t>。</w:t>
            </w:r>
          </w:p>
          <w:p>
            <w:pPr>
              <w:pStyle w:val="22"/>
              <w:spacing w:before="240" w:after="120"/>
            </w:pPr>
            <w:r>
              <w:t>表2.1                      各地块现状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417"/>
              <w:gridCol w:w="1559"/>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12" w:space="0"/>
                    <w:left w:val="single" w:color="auto" w:sz="12" w:space="0"/>
                  </w:tcBorders>
                  <w:vAlign w:val="center"/>
                </w:tcPr>
                <w:p>
                  <w:pPr>
                    <w:pStyle w:val="53"/>
                    <w:ind w:firstLine="0" w:firstLineChars="0"/>
                    <w:jc w:val="left"/>
                  </w:pPr>
                  <w:r>
                    <w:t>地块</w:t>
                  </w:r>
                </w:p>
              </w:tc>
              <w:tc>
                <w:tcPr>
                  <w:tcW w:w="1417" w:type="dxa"/>
                  <w:tcBorders>
                    <w:top w:val="single" w:color="auto" w:sz="12" w:space="0"/>
                  </w:tcBorders>
                  <w:vAlign w:val="center"/>
                </w:tcPr>
                <w:p>
                  <w:pPr>
                    <w:pStyle w:val="53"/>
                    <w:ind w:firstLine="0" w:firstLineChars="0"/>
                    <w:jc w:val="left"/>
                  </w:pPr>
                  <w:r>
                    <w:t>面积（hm²）</w:t>
                  </w:r>
                </w:p>
              </w:tc>
              <w:tc>
                <w:tcPr>
                  <w:tcW w:w="1559" w:type="dxa"/>
                  <w:tcBorders>
                    <w:top w:val="single" w:color="auto" w:sz="12" w:space="0"/>
                  </w:tcBorders>
                  <w:vAlign w:val="center"/>
                </w:tcPr>
                <w:p>
                  <w:pPr>
                    <w:pStyle w:val="53"/>
                    <w:ind w:firstLine="0" w:firstLineChars="0"/>
                    <w:jc w:val="left"/>
                  </w:pPr>
                  <w:r>
                    <w:t>土地利用类型</w:t>
                  </w:r>
                </w:p>
              </w:tc>
              <w:tc>
                <w:tcPr>
                  <w:tcW w:w="4253" w:type="dxa"/>
                  <w:tcBorders>
                    <w:top w:val="single" w:color="auto" w:sz="12" w:space="0"/>
                    <w:right w:val="single" w:color="auto" w:sz="12" w:space="0"/>
                  </w:tcBorders>
                  <w:vAlign w:val="center"/>
                </w:tcPr>
                <w:p>
                  <w:pPr>
                    <w:pStyle w:val="53"/>
                    <w:ind w:firstLine="420"/>
                    <w:jc w:val="left"/>
                  </w:pPr>
                  <w: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66" w:type="dxa"/>
                  <w:tcBorders>
                    <w:left w:val="single" w:color="auto" w:sz="12" w:space="0"/>
                  </w:tcBorders>
                  <w:vAlign w:val="center"/>
                </w:tcPr>
                <w:p>
                  <w:pPr>
                    <w:pStyle w:val="53"/>
                    <w:ind w:firstLine="0" w:firstLineChars="0"/>
                    <w:jc w:val="left"/>
                  </w:pPr>
                  <w:r>
                    <w:t>地块1</w:t>
                  </w:r>
                </w:p>
              </w:tc>
              <w:tc>
                <w:tcPr>
                  <w:tcW w:w="1417" w:type="dxa"/>
                  <w:vAlign w:val="center"/>
                </w:tcPr>
                <w:p>
                  <w:pPr>
                    <w:pStyle w:val="53"/>
                    <w:ind w:firstLine="420"/>
                    <w:jc w:val="left"/>
                  </w:pPr>
                  <w:r>
                    <w:t>25.67</w:t>
                  </w:r>
                </w:p>
              </w:tc>
              <w:tc>
                <w:tcPr>
                  <w:tcW w:w="1559" w:type="dxa"/>
                  <w:vAlign w:val="center"/>
                </w:tcPr>
                <w:p>
                  <w:pPr>
                    <w:pStyle w:val="53"/>
                    <w:ind w:firstLine="0" w:firstLineChars="0"/>
                    <w:jc w:val="left"/>
                  </w:pPr>
                  <w:r>
                    <w:rPr>
                      <w:rFonts w:hint="eastAsia"/>
                    </w:rPr>
                    <w:t>采矿用地</w:t>
                  </w:r>
                </w:p>
              </w:tc>
              <w:tc>
                <w:tcPr>
                  <w:tcW w:w="4253" w:type="dxa"/>
                  <w:tcBorders>
                    <w:right w:val="single" w:color="auto" w:sz="12" w:space="0"/>
                  </w:tcBorders>
                  <w:vAlign w:val="center"/>
                </w:tcPr>
                <w:p>
                  <w:pPr>
                    <w:pStyle w:val="53"/>
                    <w:ind w:firstLine="0" w:firstLineChars="0"/>
                    <w:jc w:val="left"/>
                  </w:pPr>
                  <w:r>
                    <w:rPr>
                      <w:rFonts w:hint="eastAsia"/>
                    </w:rPr>
                    <w:t>位于华拓矿业公司尾矿库排土场，现已闭库，地块1西南角留有少量尾砂，其余尾砂均已运走，现状为沙地。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66" w:type="dxa"/>
                  <w:tcBorders>
                    <w:left w:val="single" w:color="auto" w:sz="12" w:space="0"/>
                  </w:tcBorders>
                  <w:vAlign w:val="center"/>
                </w:tcPr>
                <w:p>
                  <w:pPr>
                    <w:pStyle w:val="53"/>
                    <w:ind w:firstLine="0" w:firstLineChars="0"/>
                    <w:jc w:val="left"/>
                  </w:pPr>
                  <w:r>
                    <w:t>地块2</w:t>
                  </w:r>
                </w:p>
              </w:tc>
              <w:tc>
                <w:tcPr>
                  <w:tcW w:w="1417" w:type="dxa"/>
                  <w:vAlign w:val="center"/>
                </w:tcPr>
                <w:p>
                  <w:pPr>
                    <w:pStyle w:val="53"/>
                    <w:ind w:firstLine="420"/>
                    <w:jc w:val="left"/>
                  </w:pPr>
                  <w:r>
                    <w:t>3.98</w:t>
                  </w:r>
                </w:p>
              </w:tc>
              <w:tc>
                <w:tcPr>
                  <w:tcW w:w="1559" w:type="dxa"/>
                  <w:vAlign w:val="center"/>
                </w:tcPr>
                <w:p>
                  <w:pPr>
                    <w:pStyle w:val="53"/>
                    <w:ind w:firstLine="0" w:firstLineChars="0"/>
                    <w:jc w:val="left"/>
                  </w:pPr>
                  <w:r>
                    <w:rPr>
                      <w:rFonts w:hint="eastAsia"/>
                    </w:rPr>
                    <w:t>采矿用地</w:t>
                  </w:r>
                </w:p>
              </w:tc>
              <w:tc>
                <w:tcPr>
                  <w:tcW w:w="4253" w:type="dxa"/>
                  <w:tcBorders>
                    <w:right w:val="single" w:color="auto" w:sz="12" w:space="0"/>
                  </w:tcBorders>
                  <w:vAlign w:val="center"/>
                </w:tcPr>
                <w:p>
                  <w:pPr>
                    <w:pStyle w:val="53"/>
                    <w:ind w:right="-250" w:rightChars="-119" w:firstLine="0" w:firstLineChars="0"/>
                    <w:jc w:val="left"/>
                  </w:pPr>
                  <w:r>
                    <w:rPr>
                      <w:rFonts w:hint="eastAsia"/>
                    </w:rPr>
                    <w:t>位于沙公线路边，为金龙矿业尾矿库排土场，现已闭库，现状为尾细砂土堆。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left w:val="single" w:color="auto" w:sz="12" w:space="0"/>
                  </w:tcBorders>
                  <w:vAlign w:val="center"/>
                </w:tcPr>
                <w:p>
                  <w:pPr>
                    <w:pStyle w:val="53"/>
                    <w:ind w:firstLine="0" w:firstLineChars="0"/>
                    <w:jc w:val="left"/>
                  </w:pPr>
                  <w:r>
                    <w:t>地块3</w:t>
                  </w:r>
                </w:p>
              </w:tc>
              <w:tc>
                <w:tcPr>
                  <w:tcW w:w="1417" w:type="dxa"/>
                  <w:vAlign w:val="center"/>
                </w:tcPr>
                <w:p>
                  <w:pPr>
                    <w:pStyle w:val="53"/>
                    <w:ind w:firstLine="420"/>
                    <w:jc w:val="left"/>
                  </w:pPr>
                  <w:r>
                    <w:rPr>
                      <w:rFonts w:hint="eastAsia"/>
                    </w:rPr>
                    <w:t>4</w:t>
                  </w:r>
                  <w:r>
                    <w:t>4.87</w:t>
                  </w:r>
                </w:p>
              </w:tc>
              <w:tc>
                <w:tcPr>
                  <w:tcW w:w="1559" w:type="dxa"/>
                  <w:vAlign w:val="center"/>
                </w:tcPr>
                <w:p>
                  <w:pPr>
                    <w:pStyle w:val="53"/>
                    <w:ind w:firstLine="0" w:firstLineChars="0"/>
                    <w:jc w:val="left"/>
                  </w:pPr>
                  <w:r>
                    <w:rPr>
                      <w:rFonts w:hint="eastAsia"/>
                    </w:rPr>
                    <w:t>林地、草地</w:t>
                  </w:r>
                </w:p>
              </w:tc>
              <w:tc>
                <w:tcPr>
                  <w:tcW w:w="4253" w:type="dxa"/>
                  <w:tcBorders>
                    <w:right w:val="single" w:color="auto" w:sz="12" w:space="0"/>
                  </w:tcBorders>
                  <w:vAlign w:val="center"/>
                </w:tcPr>
                <w:p>
                  <w:pPr>
                    <w:pStyle w:val="53"/>
                    <w:ind w:firstLine="0" w:firstLineChars="0"/>
                    <w:jc w:val="left"/>
                  </w:pPr>
                  <w:r>
                    <w:rPr>
                      <w:rFonts w:hint="eastAsia"/>
                    </w:rPr>
                    <w:t>位于金龙矿业尾矿库东侧，为沙地，有少量柠条与小针茅群落。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left w:val="single" w:color="auto" w:sz="12" w:space="0"/>
                  </w:tcBorders>
                  <w:vAlign w:val="center"/>
                </w:tcPr>
                <w:p>
                  <w:pPr>
                    <w:pStyle w:val="53"/>
                    <w:ind w:firstLine="0" w:firstLineChars="0"/>
                    <w:jc w:val="left"/>
                  </w:pPr>
                  <w:r>
                    <w:t>地块4</w:t>
                  </w:r>
                </w:p>
              </w:tc>
              <w:tc>
                <w:tcPr>
                  <w:tcW w:w="1417" w:type="dxa"/>
                  <w:vAlign w:val="center"/>
                </w:tcPr>
                <w:p>
                  <w:pPr>
                    <w:pStyle w:val="53"/>
                    <w:ind w:firstLine="420"/>
                    <w:jc w:val="left"/>
                  </w:pPr>
                  <w:r>
                    <w:rPr>
                      <w:rFonts w:hint="eastAsia"/>
                    </w:rPr>
                    <w:t>1</w:t>
                  </w:r>
                  <w:r>
                    <w:t>.99</w:t>
                  </w:r>
                </w:p>
              </w:tc>
              <w:tc>
                <w:tcPr>
                  <w:tcW w:w="1559" w:type="dxa"/>
                  <w:vAlign w:val="center"/>
                </w:tcPr>
                <w:p>
                  <w:pPr>
                    <w:pStyle w:val="53"/>
                    <w:ind w:firstLine="0" w:firstLineChars="0"/>
                    <w:jc w:val="left"/>
                  </w:pPr>
                  <w:r>
                    <w:rPr>
                      <w:rFonts w:hint="eastAsia"/>
                    </w:rPr>
                    <w:t>裸土地</w:t>
                  </w:r>
                </w:p>
              </w:tc>
              <w:tc>
                <w:tcPr>
                  <w:tcW w:w="4253" w:type="dxa"/>
                  <w:tcBorders>
                    <w:right w:val="single" w:color="auto" w:sz="12" w:space="0"/>
                  </w:tcBorders>
                  <w:vAlign w:val="center"/>
                </w:tcPr>
                <w:p>
                  <w:pPr>
                    <w:pStyle w:val="53"/>
                    <w:ind w:firstLine="0" w:firstLineChars="0"/>
                    <w:jc w:val="left"/>
                  </w:pPr>
                  <w:r>
                    <w:rPr>
                      <w:rFonts w:hint="eastAsia"/>
                    </w:rPr>
                    <w:t>位于金龙矿业修复区，地表已覆土，准备重建。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left w:val="single" w:color="auto" w:sz="12" w:space="0"/>
                  </w:tcBorders>
                  <w:vAlign w:val="center"/>
                </w:tcPr>
                <w:p>
                  <w:pPr>
                    <w:pStyle w:val="53"/>
                    <w:ind w:firstLine="0" w:firstLineChars="0"/>
                    <w:jc w:val="left"/>
                  </w:pPr>
                  <w:r>
                    <w:t>地块5</w:t>
                  </w:r>
                </w:p>
              </w:tc>
              <w:tc>
                <w:tcPr>
                  <w:tcW w:w="1417" w:type="dxa"/>
                  <w:vAlign w:val="center"/>
                </w:tcPr>
                <w:p>
                  <w:pPr>
                    <w:pStyle w:val="53"/>
                    <w:ind w:firstLine="420"/>
                    <w:jc w:val="left"/>
                  </w:pPr>
                  <w:r>
                    <w:rPr>
                      <w:rFonts w:hint="eastAsia"/>
                    </w:rPr>
                    <w:t>1</w:t>
                  </w:r>
                  <w:r>
                    <w:t>.30</w:t>
                  </w:r>
                </w:p>
              </w:tc>
              <w:tc>
                <w:tcPr>
                  <w:tcW w:w="1559" w:type="dxa"/>
                  <w:vAlign w:val="center"/>
                </w:tcPr>
                <w:p>
                  <w:pPr>
                    <w:pStyle w:val="53"/>
                    <w:ind w:firstLine="0" w:firstLineChars="0"/>
                    <w:jc w:val="left"/>
                  </w:pPr>
                  <w:r>
                    <w:rPr>
                      <w:rFonts w:hint="eastAsia"/>
                    </w:rPr>
                    <w:t>天然牧草地</w:t>
                  </w:r>
                </w:p>
              </w:tc>
              <w:tc>
                <w:tcPr>
                  <w:tcW w:w="4253" w:type="dxa"/>
                  <w:tcBorders>
                    <w:right w:val="single" w:color="auto" w:sz="12" w:space="0"/>
                  </w:tcBorders>
                  <w:vAlign w:val="center"/>
                </w:tcPr>
                <w:p>
                  <w:pPr>
                    <w:pStyle w:val="53"/>
                    <w:ind w:firstLine="0" w:firstLineChars="0"/>
                    <w:jc w:val="left"/>
                  </w:pPr>
                  <w:r>
                    <w:rPr>
                      <w:rFonts w:hint="eastAsia"/>
                    </w:rPr>
                    <w:t>位于金龙矿业修复区，地表已覆土，已有小针茅群落生长。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left w:val="single" w:color="auto" w:sz="12" w:space="0"/>
                    <w:bottom w:val="single" w:color="auto" w:sz="4" w:space="0"/>
                  </w:tcBorders>
                  <w:vAlign w:val="center"/>
                </w:tcPr>
                <w:p>
                  <w:pPr>
                    <w:pStyle w:val="53"/>
                    <w:ind w:firstLine="0" w:firstLineChars="0"/>
                    <w:jc w:val="left"/>
                  </w:pPr>
                  <w:r>
                    <w:t>地块6</w:t>
                  </w:r>
                </w:p>
              </w:tc>
              <w:tc>
                <w:tcPr>
                  <w:tcW w:w="1417" w:type="dxa"/>
                  <w:tcBorders>
                    <w:bottom w:val="single" w:color="auto" w:sz="4" w:space="0"/>
                  </w:tcBorders>
                  <w:vAlign w:val="center"/>
                </w:tcPr>
                <w:p>
                  <w:pPr>
                    <w:pStyle w:val="53"/>
                    <w:ind w:firstLine="420"/>
                    <w:jc w:val="left"/>
                  </w:pPr>
                  <w:r>
                    <w:rPr>
                      <w:rFonts w:hint="eastAsia"/>
                    </w:rPr>
                    <w:t>2</w:t>
                  </w:r>
                  <w:r>
                    <w:t>51.79</w:t>
                  </w:r>
                </w:p>
              </w:tc>
              <w:tc>
                <w:tcPr>
                  <w:tcW w:w="1559" w:type="dxa"/>
                  <w:tcBorders>
                    <w:bottom w:val="single" w:color="auto" w:sz="4" w:space="0"/>
                  </w:tcBorders>
                  <w:vAlign w:val="center"/>
                </w:tcPr>
                <w:p>
                  <w:pPr>
                    <w:pStyle w:val="53"/>
                    <w:ind w:firstLine="0" w:firstLineChars="0"/>
                    <w:jc w:val="left"/>
                  </w:pPr>
                  <w:r>
                    <w:rPr>
                      <w:rFonts w:hint="eastAsia"/>
                    </w:rPr>
                    <w:t>天然牧草地</w:t>
                  </w:r>
                </w:p>
              </w:tc>
              <w:tc>
                <w:tcPr>
                  <w:tcW w:w="4253" w:type="dxa"/>
                  <w:tcBorders>
                    <w:bottom w:val="single" w:color="auto" w:sz="4" w:space="0"/>
                    <w:right w:val="single" w:color="auto" w:sz="12" w:space="0"/>
                  </w:tcBorders>
                  <w:vAlign w:val="center"/>
                </w:tcPr>
                <w:p>
                  <w:pPr>
                    <w:pStyle w:val="53"/>
                    <w:ind w:firstLine="0" w:firstLineChars="0"/>
                    <w:jc w:val="left"/>
                  </w:pPr>
                  <w:r>
                    <w:rPr>
                      <w:rFonts w:hint="eastAsia"/>
                    </w:rPr>
                    <w:t>位于金龙矿业修复区北侧，现状为天然牧草地，有小针茅群落生长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left w:val="single" w:color="auto" w:sz="12" w:space="0"/>
                    <w:bottom w:val="single" w:color="auto" w:sz="12" w:space="0"/>
                  </w:tcBorders>
                  <w:vAlign w:val="center"/>
                </w:tcPr>
                <w:p>
                  <w:pPr>
                    <w:pStyle w:val="53"/>
                    <w:ind w:firstLine="0" w:firstLineChars="0"/>
                    <w:jc w:val="left"/>
                  </w:pPr>
                  <w:r>
                    <w:t>升压站</w:t>
                  </w:r>
                </w:p>
              </w:tc>
              <w:tc>
                <w:tcPr>
                  <w:tcW w:w="1417" w:type="dxa"/>
                  <w:tcBorders>
                    <w:bottom w:val="single" w:color="auto" w:sz="12" w:space="0"/>
                  </w:tcBorders>
                  <w:vAlign w:val="center"/>
                </w:tcPr>
                <w:p>
                  <w:pPr>
                    <w:pStyle w:val="53"/>
                    <w:ind w:firstLine="420"/>
                    <w:jc w:val="left"/>
                  </w:pPr>
                  <w:r>
                    <w:rPr>
                      <w:rFonts w:hint="eastAsia"/>
                    </w:rPr>
                    <w:t>1</w:t>
                  </w:r>
                  <w:r>
                    <w:t>.45</w:t>
                  </w:r>
                </w:p>
              </w:tc>
              <w:tc>
                <w:tcPr>
                  <w:tcW w:w="1559" w:type="dxa"/>
                  <w:tcBorders>
                    <w:bottom w:val="single" w:color="auto" w:sz="12" w:space="0"/>
                  </w:tcBorders>
                  <w:vAlign w:val="center"/>
                </w:tcPr>
                <w:p>
                  <w:pPr>
                    <w:pStyle w:val="53"/>
                    <w:ind w:firstLine="0" w:firstLineChars="0"/>
                    <w:jc w:val="left"/>
                  </w:pPr>
                  <w:r>
                    <w:rPr>
                      <w:rFonts w:hint="eastAsia"/>
                    </w:rPr>
                    <w:t>天然牧草地</w:t>
                  </w:r>
                </w:p>
              </w:tc>
              <w:tc>
                <w:tcPr>
                  <w:tcW w:w="4253" w:type="dxa"/>
                  <w:tcBorders>
                    <w:bottom w:val="single" w:color="auto" w:sz="12" w:space="0"/>
                    <w:right w:val="single" w:color="auto" w:sz="12" w:space="0"/>
                  </w:tcBorders>
                  <w:vAlign w:val="center"/>
                </w:tcPr>
                <w:p>
                  <w:pPr>
                    <w:pStyle w:val="53"/>
                    <w:ind w:firstLine="0" w:firstLineChars="0"/>
                    <w:jc w:val="left"/>
                  </w:pPr>
                  <w:r>
                    <w:rPr>
                      <w:rFonts w:hint="eastAsia"/>
                    </w:rPr>
                    <w:t>位于</w:t>
                  </w:r>
                  <w:r>
                    <w:t>地块3东侧，</w:t>
                  </w:r>
                  <w:r>
                    <w:rPr>
                      <w:rFonts w:hint="eastAsia"/>
                    </w:rPr>
                    <w:t>现状为天然牧草地，有小针茅群落生长</w:t>
                  </w:r>
                  <w:r>
                    <w:t>。</w:t>
                  </w:r>
                </w:p>
              </w:tc>
            </w:tr>
          </w:tbl>
          <w:p>
            <w:pPr>
              <w:pStyle w:val="22"/>
              <w:spacing w:before="240" w:after="120"/>
            </w:pPr>
            <w:r>
              <w:t xml:space="preserve">表2.2                     </w:t>
            </w:r>
            <w:r>
              <w:rPr>
                <w:rFonts w:hint="eastAsia"/>
              </w:rPr>
              <w:t>光伏场</w:t>
            </w:r>
            <w:r>
              <w:t>范围拐点坐标</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656"/>
              <w:gridCol w:w="1530"/>
              <w:gridCol w:w="256"/>
              <w:gridCol w:w="636"/>
              <w:gridCol w:w="1659"/>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b/>
                      <w:szCs w:val="21"/>
                    </w:rPr>
                  </w:pPr>
                  <w:r>
                    <w:rPr>
                      <w:b/>
                      <w:szCs w:val="21"/>
                    </w:rPr>
                    <w:t>序号</w:t>
                  </w:r>
                </w:p>
              </w:tc>
              <w:tc>
                <w:tcPr>
                  <w:tcW w:w="1010" w:type="pct"/>
                  <w:vAlign w:val="center"/>
                </w:tcPr>
                <w:p>
                  <w:pPr>
                    <w:jc w:val="center"/>
                    <w:rPr>
                      <w:b/>
                      <w:szCs w:val="21"/>
                    </w:rPr>
                  </w:pPr>
                  <w:r>
                    <w:rPr>
                      <w:rFonts w:hint="eastAsia"/>
                      <w:b/>
                      <w:szCs w:val="21"/>
                    </w:rPr>
                    <w:t>东经</w:t>
                  </w:r>
                </w:p>
              </w:tc>
              <w:tc>
                <w:tcPr>
                  <w:tcW w:w="933" w:type="pct"/>
                  <w:vAlign w:val="center"/>
                </w:tcPr>
                <w:p>
                  <w:pPr>
                    <w:jc w:val="center"/>
                    <w:rPr>
                      <w:b/>
                      <w:szCs w:val="21"/>
                    </w:rPr>
                  </w:pPr>
                  <w:r>
                    <w:rPr>
                      <w:rFonts w:hint="eastAsia"/>
                      <w:b/>
                      <w:szCs w:val="21"/>
                    </w:rPr>
                    <w:t>北纬</w:t>
                  </w:r>
                </w:p>
              </w:tc>
              <w:tc>
                <w:tcPr>
                  <w:tcW w:w="156" w:type="pct"/>
                  <w:vMerge w:val="restart"/>
                </w:tcPr>
                <w:p>
                  <w:pPr>
                    <w:jc w:val="center"/>
                    <w:rPr>
                      <w:b/>
                      <w:szCs w:val="21"/>
                    </w:rPr>
                  </w:pPr>
                </w:p>
              </w:tc>
              <w:tc>
                <w:tcPr>
                  <w:tcW w:w="388" w:type="pct"/>
                  <w:vAlign w:val="center"/>
                </w:tcPr>
                <w:p>
                  <w:pPr>
                    <w:jc w:val="center"/>
                    <w:rPr>
                      <w:b/>
                      <w:szCs w:val="21"/>
                    </w:rPr>
                  </w:pPr>
                  <w:r>
                    <w:rPr>
                      <w:b/>
                      <w:szCs w:val="21"/>
                    </w:rPr>
                    <w:t>序号</w:t>
                  </w:r>
                </w:p>
              </w:tc>
              <w:tc>
                <w:tcPr>
                  <w:tcW w:w="1012" w:type="pct"/>
                  <w:vAlign w:val="center"/>
                </w:tcPr>
                <w:p>
                  <w:pPr>
                    <w:jc w:val="center"/>
                    <w:rPr>
                      <w:b/>
                      <w:szCs w:val="21"/>
                    </w:rPr>
                  </w:pPr>
                  <w:r>
                    <w:rPr>
                      <w:rFonts w:hint="eastAsia"/>
                      <w:b/>
                      <w:szCs w:val="21"/>
                    </w:rPr>
                    <w:t>东经</w:t>
                  </w:r>
                </w:p>
              </w:tc>
              <w:tc>
                <w:tcPr>
                  <w:tcW w:w="1079" w:type="pct"/>
                  <w:vAlign w:val="center"/>
                </w:tcPr>
                <w:p>
                  <w:pPr>
                    <w:jc w:val="center"/>
                    <w:rPr>
                      <w:b/>
                      <w:szCs w:val="21"/>
                    </w:rPr>
                  </w:pPr>
                  <w:r>
                    <w:rPr>
                      <w:rFonts w:hint="eastAsia"/>
                      <w:b/>
                      <w:szCs w:val="21"/>
                    </w:rPr>
                    <w:t>北纬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pct"/>
                  <w:gridSpan w:val="3"/>
                  <w:vAlign w:val="center"/>
                </w:tcPr>
                <w:p>
                  <w:pPr>
                    <w:jc w:val="center"/>
                    <w:rPr>
                      <w:szCs w:val="21"/>
                    </w:rPr>
                  </w:pPr>
                  <w:r>
                    <w:rPr>
                      <w:szCs w:val="21"/>
                    </w:rPr>
                    <w:t>地块1</w:t>
                  </w:r>
                </w:p>
              </w:tc>
              <w:tc>
                <w:tcPr>
                  <w:tcW w:w="156" w:type="pct"/>
                  <w:vMerge w:val="continue"/>
                </w:tcPr>
                <w:p>
                  <w:pPr>
                    <w:jc w:val="center"/>
                    <w:rPr>
                      <w:szCs w:val="21"/>
                    </w:rPr>
                  </w:pPr>
                </w:p>
              </w:tc>
              <w:tc>
                <w:tcPr>
                  <w:tcW w:w="2478" w:type="pct"/>
                  <w:gridSpan w:val="3"/>
                </w:tcPr>
                <w:p>
                  <w:pPr>
                    <w:jc w:val="center"/>
                    <w:rPr>
                      <w:szCs w:val="21"/>
                    </w:rPr>
                  </w:pPr>
                  <w:r>
                    <w:rPr>
                      <w:szCs w:val="21"/>
                    </w:rPr>
                    <w:t>地块3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szCs w:val="21"/>
                    </w:rPr>
                    <w:t>1</w:t>
                  </w:r>
                </w:p>
              </w:tc>
              <w:tc>
                <w:tcPr>
                  <w:tcW w:w="1010" w:type="pct"/>
                  <w:shd w:val="clear" w:color="auto" w:fill="auto"/>
                  <w:vAlign w:val="center"/>
                </w:tcPr>
                <w:p>
                  <w:pPr>
                    <w:jc w:val="center"/>
                    <w:rPr>
                      <w:szCs w:val="21"/>
                    </w:rPr>
                  </w:pPr>
                  <w:r>
                    <w:rPr>
                      <w:szCs w:val="21"/>
                    </w:rPr>
                    <w:t>109°4′51.950″</w:t>
                  </w:r>
                </w:p>
              </w:tc>
              <w:tc>
                <w:tcPr>
                  <w:tcW w:w="933" w:type="pct"/>
                  <w:shd w:val="clear" w:color="auto" w:fill="auto"/>
                  <w:vAlign w:val="center"/>
                </w:tcPr>
                <w:p>
                  <w:pPr>
                    <w:jc w:val="center"/>
                    <w:rPr>
                      <w:szCs w:val="21"/>
                    </w:rPr>
                  </w:pPr>
                  <w:r>
                    <w:rPr>
                      <w:szCs w:val="21"/>
                    </w:rPr>
                    <w:t>40°47′34.741″</w:t>
                  </w:r>
                </w:p>
              </w:tc>
              <w:tc>
                <w:tcPr>
                  <w:tcW w:w="156" w:type="pct"/>
                  <w:vMerge w:val="continue"/>
                </w:tcPr>
                <w:p>
                  <w:pPr>
                    <w:jc w:val="center"/>
                    <w:rPr>
                      <w:szCs w:val="21"/>
                    </w:rPr>
                  </w:pPr>
                </w:p>
              </w:tc>
              <w:tc>
                <w:tcPr>
                  <w:tcW w:w="388" w:type="pct"/>
                </w:tcPr>
                <w:p>
                  <w:pPr>
                    <w:jc w:val="center"/>
                    <w:rPr>
                      <w:szCs w:val="21"/>
                    </w:rPr>
                  </w:pPr>
                  <w:r>
                    <w:rPr>
                      <w:rFonts w:hint="eastAsia"/>
                      <w:szCs w:val="21"/>
                    </w:rPr>
                    <w:t>3</w:t>
                  </w:r>
                  <w:r>
                    <w:rPr>
                      <w:szCs w:val="21"/>
                    </w:rPr>
                    <w:t>7</w:t>
                  </w:r>
                </w:p>
              </w:tc>
              <w:tc>
                <w:tcPr>
                  <w:tcW w:w="1012" w:type="pct"/>
                  <w:tcBorders>
                    <w:top w:val="single" w:color="auto" w:sz="4" w:space="0"/>
                    <w:bottom w:val="single" w:color="auto" w:sz="4" w:space="0"/>
                  </w:tcBorders>
                  <w:shd w:val="clear" w:color="auto" w:fill="auto"/>
                  <w:vAlign w:val="center"/>
                </w:tcPr>
                <w:p>
                  <w:pPr>
                    <w:jc w:val="center"/>
                    <w:rPr>
                      <w:szCs w:val="21"/>
                    </w:rPr>
                  </w:pPr>
                  <w:r>
                    <w:rPr>
                      <w:szCs w:val="21"/>
                    </w:rPr>
                    <w:t>109°3′34.415″</w:t>
                  </w:r>
                </w:p>
              </w:tc>
              <w:tc>
                <w:tcPr>
                  <w:tcW w:w="1079" w:type="pct"/>
                  <w:tcBorders>
                    <w:top w:val="single" w:color="auto" w:sz="4" w:space="0"/>
                    <w:bottom w:val="single" w:color="auto" w:sz="4" w:space="0"/>
                  </w:tcBorders>
                  <w:shd w:val="clear" w:color="auto" w:fill="auto"/>
                  <w:vAlign w:val="center"/>
                </w:tcPr>
                <w:p>
                  <w:pPr>
                    <w:jc w:val="center"/>
                    <w:rPr>
                      <w:szCs w:val="21"/>
                    </w:rPr>
                  </w:pPr>
                  <w:r>
                    <w:rPr>
                      <w:szCs w:val="21"/>
                    </w:rPr>
                    <w:t>40°49′5.624″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szCs w:val="21"/>
                    </w:rPr>
                    <w:t>2</w:t>
                  </w:r>
                </w:p>
              </w:tc>
              <w:tc>
                <w:tcPr>
                  <w:tcW w:w="1010" w:type="pct"/>
                  <w:shd w:val="clear" w:color="auto" w:fill="auto"/>
                  <w:vAlign w:val="center"/>
                </w:tcPr>
                <w:p>
                  <w:pPr>
                    <w:jc w:val="center"/>
                    <w:rPr>
                      <w:szCs w:val="21"/>
                    </w:rPr>
                  </w:pPr>
                  <w:r>
                    <w:rPr>
                      <w:szCs w:val="21"/>
                    </w:rPr>
                    <w:t>109°5′12.228″</w:t>
                  </w:r>
                </w:p>
              </w:tc>
              <w:tc>
                <w:tcPr>
                  <w:tcW w:w="933" w:type="pct"/>
                  <w:shd w:val="clear" w:color="auto" w:fill="auto"/>
                  <w:vAlign w:val="center"/>
                </w:tcPr>
                <w:p>
                  <w:pPr>
                    <w:jc w:val="center"/>
                    <w:rPr>
                      <w:szCs w:val="21"/>
                    </w:rPr>
                  </w:pPr>
                  <w:r>
                    <w:rPr>
                      <w:szCs w:val="21"/>
                    </w:rPr>
                    <w:t>40°47′31.793″</w:t>
                  </w:r>
                </w:p>
              </w:tc>
              <w:tc>
                <w:tcPr>
                  <w:tcW w:w="156" w:type="pct"/>
                  <w:vMerge w:val="continue"/>
                </w:tcPr>
                <w:p>
                  <w:pPr>
                    <w:jc w:val="center"/>
                    <w:rPr>
                      <w:szCs w:val="21"/>
                    </w:rPr>
                  </w:pPr>
                </w:p>
              </w:tc>
              <w:tc>
                <w:tcPr>
                  <w:tcW w:w="388" w:type="pct"/>
                </w:tcPr>
                <w:p>
                  <w:pPr>
                    <w:jc w:val="center"/>
                    <w:rPr>
                      <w:szCs w:val="21"/>
                    </w:rPr>
                  </w:pPr>
                  <w:r>
                    <w:rPr>
                      <w:rFonts w:hint="eastAsia"/>
                      <w:szCs w:val="21"/>
                    </w:rPr>
                    <w:t>3</w:t>
                  </w:r>
                  <w:r>
                    <w:rPr>
                      <w:szCs w:val="21"/>
                    </w:rPr>
                    <w:t>8</w:t>
                  </w:r>
                </w:p>
              </w:tc>
              <w:tc>
                <w:tcPr>
                  <w:tcW w:w="1012" w:type="pct"/>
                  <w:vAlign w:val="center"/>
                </w:tcPr>
                <w:p>
                  <w:pPr>
                    <w:jc w:val="center"/>
                    <w:rPr>
                      <w:szCs w:val="21"/>
                    </w:rPr>
                  </w:pPr>
                  <w:r>
                    <w:rPr>
                      <w:szCs w:val="21"/>
                    </w:rPr>
                    <w:t>109°3′33.370″</w:t>
                  </w:r>
                </w:p>
              </w:tc>
              <w:tc>
                <w:tcPr>
                  <w:tcW w:w="1079" w:type="pct"/>
                  <w:vAlign w:val="center"/>
                </w:tcPr>
                <w:p>
                  <w:pPr>
                    <w:jc w:val="center"/>
                    <w:rPr>
                      <w:szCs w:val="21"/>
                    </w:rPr>
                  </w:pPr>
                  <w:r>
                    <w:rPr>
                      <w:szCs w:val="21"/>
                    </w:rPr>
                    <w:t>40°49′5.594″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szCs w:val="21"/>
                    </w:rPr>
                    <w:t>3</w:t>
                  </w:r>
                </w:p>
              </w:tc>
              <w:tc>
                <w:tcPr>
                  <w:tcW w:w="1010" w:type="pct"/>
                  <w:shd w:val="clear" w:color="auto" w:fill="auto"/>
                  <w:vAlign w:val="center"/>
                </w:tcPr>
                <w:p>
                  <w:pPr>
                    <w:jc w:val="center"/>
                    <w:rPr>
                      <w:szCs w:val="21"/>
                    </w:rPr>
                  </w:pPr>
                  <w:r>
                    <w:rPr>
                      <w:szCs w:val="21"/>
                    </w:rPr>
                    <w:t>109°5′14.148″</w:t>
                  </w:r>
                </w:p>
              </w:tc>
              <w:tc>
                <w:tcPr>
                  <w:tcW w:w="933" w:type="pct"/>
                  <w:shd w:val="clear" w:color="auto" w:fill="auto"/>
                  <w:vAlign w:val="center"/>
                </w:tcPr>
                <w:p>
                  <w:pPr>
                    <w:jc w:val="center"/>
                    <w:rPr>
                      <w:szCs w:val="21"/>
                    </w:rPr>
                  </w:pPr>
                  <w:r>
                    <w:rPr>
                      <w:szCs w:val="21"/>
                    </w:rPr>
                    <w:t>40°47′22.068″</w:t>
                  </w:r>
                </w:p>
              </w:tc>
              <w:tc>
                <w:tcPr>
                  <w:tcW w:w="156" w:type="pct"/>
                  <w:vMerge w:val="continue"/>
                </w:tcPr>
                <w:p>
                  <w:pPr>
                    <w:jc w:val="center"/>
                    <w:rPr>
                      <w:szCs w:val="21"/>
                    </w:rPr>
                  </w:pPr>
                </w:p>
              </w:tc>
              <w:tc>
                <w:tcPr>
                  <w:tcW w:w="388" w:type="pct"/>
                </w:tcPr>
                <w:p>
                  <w:pPr>
                    <w:jc w:val="center"/>
                    <w:rPr>
                      <w:szCs w:val="21"/>
                    </w:rPr>
                  </w:pPr>
                  <w:r>
                    <w:rPr>
                      <w:rFonts w:hint="eastAsia"/>
                      <w:szCs w:val="21"/>
                    </w:rPr>
                    <w:t>3</w:t>
                  </w:r>
                  <w:r>
                    <w:rPr>
                      <w:szCs w:val="21"/>
                    </w:rPr>
                    <w:t>9</w:t>
                  </w:r>
                </w:p>
              </w:tc>
              <w:tc>
                <w:tcPr>
                  <w:tcW w:w="1012" w:type="pct"/>
                  <w:vAlign w:val="center"/>
                </w:tcPr>
                <w:p>
                  <w:pPr>
                    <w:jc w:val="center"/>
                    <w:rPr>
                      <w:szCs w:val="21"/>
                    </w:rPr>
                  </w:pPr>
                  <w:r>
                    <w:rPr>
                      <w:szCs w:val="21"/>
                    </w:rPr>
                    <w:t>109°3′30.702″</w:t>
                  </w:r>
                </w:p>
              </w:tc>
              <w:tc>
                <w:tcPr>
                  <w:tcW w:w="1079" w:type="pct"/>
                  <w:vAlign w:val="center"/>
                </w:tcPr>
                <w:p>
                  <w:pPr>
                    <w:jc w:val="center"/>
                    <w:rPr>
                      <w:szCs w:val="21"/>
                    </w:rPr>
                  </w:pPr>
                  <w:r>
                    <w:rPr>
                      <w:szCs w:val="21"/>
                    </w:rPr>
                    <w:t>40°49′5.096″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szCs w:val="21"/>
                    </w:rPr>
                    <w:t>4</w:t>
                  </w:r>
                </w:p>
              </w:tc>
              <w:tc>
                <w:tcPr>
                  <w:tcW w:w="1010" w:type="pct"/>
                  <w:shd w:val="clear" w:color="auto" w:fill="auto"/>
                  <w:vAlign w:val="center"/>
                </w:tcPr>
                <w:p>
                  <w:pPr>
                    <w:jc w:val="center"/>
                    <w:rPr>
                      <w:szCs w:val="21"/>
                    </w:rPr>
                  </w:pPr>
                  <w:r>
                    <w:rPr>
                      <w:szCs w:val="21"/>
                    </w:rPr>
                    <w:t>109°4′40.841″</w:t>
                  </w:r>
                </w:p>
              </w:tc>
              <w:tc>
                <w:tcPr>
                  <w:tcW w:w="933" w:type="pct"/>
                  <w:shd w:val="clear" w:color="auto" w:fill="auto"/>
                  <w:vAlign w:val="center"/>
                </w:tcPr>
                <w:p>
                  <w:pPr>
                    <w:jc w:val="center"/>
                    <w:rPr>
                      <w:szCs w:val="21"/>
                    </w:rPr>
                  </w:pPr>
                  <w:r>
                    <w:rPr>
                      <w:szCs w:val="21"/>
                    </w:rPr>
                    <w:t>40°47′22.381″</w:t>
                  </w:r>
                </w:p>
              </w:tc>
              <w:tc>
                <w:tcPr>
                  <w:tcW w:w="156" w:type="pct"/>
                  <w:vMerge w:val="continue"/>
                </w:tcPr>
                <w:p>
                  <w:pPr>
                    <w:jc w:val="center"/>
                    <w:rPr>
                      <w:szCs w:val="21"/>
                    </w:rPr>
                  </w:pPr>
                </w:p>
              </w:tc>
              <w:tc>
                <w:tcPr>
                  <w:tcW w:w="388" w:type="pct"/>
                </w:tcPr>
                <w:p>
                  <w:pPr>
                    <w:jc w:val="center"/>
                    <w:rPr>
                      <w:szCs w:val="21"/>
                    </w:rPr>
                  </w:pPr>
                  <w:r>
                    <w:rPr>
                      <w:rFonts w:hint="eastAsia"/>
                      <w:szCs w:val="21"/>
                    </w:rPr>
                    <w:t>4</w:t>
                  </w:r>
                  <w:r>
                    <w:rPr>
                      <w:szCs w:val="21"/>
                    </w:rPr>
                    <w:t>0</w:t>
                  </w:r>
                </w:p>
              </w:tc>
              <w:tc>
                <w:tcPr>
                  <w:tcW w:w="1012" w:type="pct"/>
                  <w:vAlign w:val="center"/>
                </w:tcPr>
                <w:p>
                  <w:pPr>
                    <w:jc w:val="center"/>
                    <w:rPr>
                      <w:szCs w:val="21"/>
                    </w:rPr>
                  </w:pPr>
                  <w:r>
                    <w:rPr>
                      <w:szCs w:val="21"/>
                    </w:rPr>
                    <w:t>109°3′29.215″</w:t>
                  </w:r>
                </w:p>
              </w:tc>
              <w:tc>
                <w:tcPr>
                  <w:tcW w:w="1079" w:type="pct"/>
                  <w:vAlign w:val="center"/>
                </w:tcPr>
                <w:p>
                  <w:pPr>
                    <w:jc w:val="center"/>
                    <w:rPr>
                      <w:szCs w:val="21"/>
                    </w:rPr>
                  </w:pPr>
                  <w:r>
                    <w:rPr>
                      <w:szCs w:val="21"/>
                    </w:rPr>
                    <w:t>40°49′3.980″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rFonts w:hint="eastAsia"/>
                      <w:szCs w:val="21"/>
                    </w:rPr>
                    <w:t>5</w:t>
                  </w:r>
                </w:p>
              </w:tc>
              <w:tc>
                <w:tcPr>
                  <w:tcW w:w="1010" w:type="pct"/>
                  <w:shd w:val="clear" w:color="auto" w:fill="auto"/>
                  <w:vAlign w:val="center"/>
                </w:tcPr>
                <w:p>
                  <w:pPr>
                    <w:jc w:val="center"/>
                    <w:rPr>
                      <w:szCs w:val="21"/>
                    </w:rPr>
                  </w:pPr>
                  <w:r>
                    <w:rPr>
                      <w:szCs w:val="21"/>
                    </w:rPr>
                    <w:t>109°4′40.940″</w:t>
                  </w:r>
                </w:p>
              </w:tc>
              <w:tc>
                <w:tcPr>
                  <w:tcW w:w="933" w:type="pct"/>
                  <w:shd w:val="clear" w:color="auto" w:fill="auto"/>
                  <w:vAlign w:val="center"/>
                </w:tcPr>
                <w:p>
                  <w:pPr>
                    <w:jc w:val="center"/>
                    <w:rPr>
                      <w:szCs w:val="21"/>
                    </w:rPr>
                  </w:pPr>
                  <w:r>
                    <w:rPr>
                      <w:szCs w:val="21"/>
                    </w:rPr>
                    <w:t>40°47′28.467″</w:t>
                  </w:r>
                </w:p>
              </w:tc>
              <w:tc>
                <w:tcPr>
                  <w:tcW w:w="156" w:type="pct"/>
                  <w:vMerge w:val="continue"/>
                </w:tcPr>
                <w:p>
                  <w:pPr>
                    <w:jc w:val="center"/>
                    <w:rPr>
                      <w:szCs w:val="21"/>
                    </w:rPr>
                  </w:pPr>
                </w:p>
              </w:tc>
              <w:tc>
                <w:tcPr>
                  <w:tcW w:w="388" w:type="pct"/>
                </w:tcPr>
                <w:p>
                  <w:pPr>
                    <w:jc w:val="center"/>
                    <w:rPr>
                      <w:szCs w:val="21"/>
                    </w:rPr>
                  </w:pPr>
                  <w:r>
                    <w:rPr>
                      <w:rFonts w:hint="eastAsia"/>
                      <w:szCs w:val="21"/>
                    </w:rPr>
                    <w:t>4</w:t>
                  </w:r>
                  <w:r>
                    <w:rPr>
                      <w:szCs w:val="21"/>
                    </w:rPr>
                    <w:t>1</w:t>
                  </w:r>
                </w:p>
              </w:tc>
              <w:tc>
                <w:tcPr>
                  <w:tcW w:w="1012" w:type="pct"/>
                  <w:vAlign w:val="center"/>
                </w:tcPr>
                <w:p>
                  <w:pPr>
                    <w:jc w:val="center"/>
                    <w:rPr>
                      <w:szCs w:val="21"/>
                    </w:rPr>
                  </w:pPr>
                  <w:r>
                    <w:rPr>
                      <w:szCs w:val="21"/>
                    </w:rPr>
                    <w:t>109°3′26.634″</w:t>
                  </w:r>
                </w:p>
              </w:tc>
              <w:tc>
                <w:tcPr>
                  <w:tcW w:w="1079" w:type="pct"/>
                  <w:vAlign w:val="center"/>
                </w:tcPr>
                <w:p>
                  <w:pPr>
                    <w:jc w:val="center"/>
                    <w:rPr>
                      <w:szCs w:val="21"/>
                    </w:rPr>
                  </w:pPr>
                  <w:r>
                    <w:rPr>
                      <w:szCs w:val="21"/>
                    </w:rPr>
                    <w:t>40°49′1.984″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rFonts w:hint="eastAsia"/>
                      <w:szCs w:val="21"/>
                    </w:rPr>
                    <w:t>6</w:t>
                  </w:r>
                </w:p>
              </w:tc>
              <w:tc>
                <w:tcPr>
                  <w:tcW w:w="1010" w:type="pct"/>
                  <w:shd w:val="clear" w:color="auto" w:fill="auto"/>
                  <w:vAlign w:val="center"/>
                </w:tcPr>
                <w:p>
                  <w:pPr>
                    <w:jc w:val="center"/>
                    <w:rPr>
                      <w:szCs w:val="21"/>
                    </w:rPr>
                  </w:pPr>
                  <w:r>
                    <w:rPr>
                      <w:szCs w:val="21"/>
                    </w:rPr>
                    <w:t>109°4′48.506″</w:t>
                  </w:r>
                </w:p>
              </w:tc>
              <w:tc>
                <w:tcPr>
                  <w:tcW w:w="933" w:type="pct"/>
                  <w:shd w:val="clear" w:color="auto" w:fill="auto"/>
                  <w:vAlign w:val="center"/>
                </w:tcPr>
                <w:p>
                  <w:pPr>
                    <w:jc w:val="center"/>
                    <w:rPr>
                      <w:szCs w:val="21"/>
                    </w:rPr>
                  </w:pPr>
                  <w:r>
                    <w:rPr>
                      <w:szCs w:val="21"/>
                    </w:rPr>
                    <w:t>40°47′29.897″</w:t>
                  </w:r>
                </w:p>
              </w:tc>
              <w:tc>
                <w:tcPr>
                  <w:tcW w:w="156" w:type="pct"/>
                  <w:vMerge w:val="continue"/>
                </w:tcPr>
                <w:p>
                  <w:pPr>
                    <w:jc w:val="center"/>
                    <w:rPr>
                      <w:szCs w:val="21"/>
                    </w:rPr>
                  </w:pPr>
                </w:p>
              </w:tc>
              <w:tc>
                <w:tcPr>
                  <w:tcW w:w="388" w:type="pct"/>
                </w:tcPr>
                <w:p>
                  <w:pPr>
                    <w:jc w:val="center"/>
                    <w:rPr>
                      <w:szCs w:val="21"/>
                    </w:rPr>
                  </w:pPr>
                  <w:r>
                    <w:rPr>
                      <w:szCs w:val="21"/>
                    </w:rPr>
                    <w:t>42</w:t>
                  </w:r>
                </w:p>
              </w:tc>
              <w:tc>
                <w:tcPr>
                  <w:tcW w:w="1012" w:type="pct"/>
                  <w:vAlign w:val="center"/>
                </w:tcPr>
                <w:p>
                  <w:pPr>
                    <w:jc w:val="center"/>
                    <w:rPr>
                      <w:szCs w:val="21"/>
                    </w:rPr>
                  </w:pPr>
                  <w:r>
                    <w:rPr>
                      <w:szCs w:val="21"/>
                    </w:rPr>
                    <w:t>109°3′24.468″</w:t>
                  </w:r>
                </w:p>
              </w:tc>
              <w:tc>
                <w:tcPr>
                  <w:tcW w:w="1079" w:type="pct"/>
                  <w:vAlign w:val="center"/>
                </w:tcPr>
                <w:p>
                  <w:pPr>
                    <w:jc w:val="center"/>
                    <w:rPr>
                      <w:szCs w:val="21"/>
                    </w:rPr>
                  </w:pPr>
                  <w:r>
                    <w:rPr>
                      <w:szCs w:val="21"/>
                    </w:rPr>
                    <w:t>40°48′56.634″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rFonts w:hint="eastAsia"/>
                      <w:szCs w:val="21"/>
                    </w:rPr>
                    <w:t>7</w:t>
                  </w:r>
                </w:p>
              </w:tc>
              <w:tc>
                <w:tcPr>
                  <w:tcW w:w="1010" w:type="pct"/>
                  <w:shd w:val="clear" w:color="auto" w:fill="auto"/>
                  <w:vAlign w:val="center"/>
                </w:tcPr>
                <w:p>
                  <w:pPr>
                    <w:jc w:val="center"/>
                    <w:rPr>
                      <w:szCs w:val="21"/>
                    </w:rPr>
                  </w:pPr>
                  <w:r>
                    <w:rPr>
                      <w:szCs w:val="21"/>
                    </w:rPr>
                    <w:t>109°4′48.696″</w:t>
                  </w:r>
                </w:p>
              </w:tc>
              <w:tc>
                <w:tcPr>
                  <w:tcW w:w="933" w:type="pct"/>
                  <w:shd w:val="clear" w:color="auto" w:fill="auto"/>
                  <w:vAlign w:val="center"/>
                </w:tcPr>
                <w:p>
                  <w:pPr>
                    <w:jc w:val="center"/>
                    <w:rPr>
                      <w:szCs w:val="21"/>
                    </w:rPr>
                  </w:pPr>
                  <w:r>
                    <w:rPr>
                      <w:szCs w:val="21"/>
                    </w:rPr>
                    <w:t>40°47′32.453″</w:t>
                  </w:r>
                </w:p>
              </w:tc>
              <w:tc>
                <w:tcPr>
                  <w:tcW w:w="156" w:type="pct"/>
                  <w:vMerge w:val="continue"/>
                </w:tcPr>
                <w:p>
                  <w:pPr>
                    <w:jc w:val="center"/>
                    <w:rPr>
                      <w:szCs w:val="21"/>
                    </w:rPr>
                  </w:pPr>
                </w:p>
              </w:tc>
              <w:tc>
                <w:tcPr>
                  <w:tcW w:w="388" w:type="pct"/>
                </w:tcPr>
                <w:p>
                  <w:pPr>
                    <w:jc w:val="center"/>
                    <w:rPr>
                      <w:szCs w:val="21"/>
                    </w:rPr>
                  </w:pPr>
                  <w:r>
                    <w:rPr>
                      <w:rFonts w:hint="eastAsia"/>
                      <w:szCs w:val="21"/>
                    </w:rPr>
                    <w:t>4</w:t>
                  </w:r>
                  <w:r>
                    <w:rPr>
                      <w:szCs w:val="21"/>
                    </w:rPr>
                    <w:t>3</w:t>
                  </w:r>
                </w:p>
              </w:tc>
              <w:tc>
                <w:tcPr>
                  <w:tcW w:w="1012" w:type="pct"/>
                  <w:vAlign w:val="center"/>
                </w:tcPr>
                <w:p>
                  <w:pPr>
                    <w:jc w:val="center"/>
                    <w:rPr>
                      <w:szCs w:val="21"/>
                    </w:rPr>
                  </w:pPr>
                  <w:r>
                    <w:rPr>
                      <w:szCs w:val="21"/>
                    </w:rPr>
                    <w:t>109°3′24.393″</w:t>
                  </w:r>
                </w:p>
              </w:tc>
              <w:tc>
                <w:tcPr>
                  <w:tcW w:w="1079" w:type="pct"/>
                  <w:vAlign w:val="center"/>
                </w:tcPr>
                <w:p>
                  <w:pPr>
                    <w:jc w:val="center"/>
                    <w:rPr>
                      <w:szCs w:val="21"/>
                    </w:rPr>
                  </w:pPr>
                  <w:r>
                    <w:rPr>
                      <w:szCs w:val="21"/>
                    </w:rPr>
                    <w:t>40°48′51.860″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rFonts w:hint="eastAsia"/>
                      <w:szCs w:val="21"/>
                    </w:rPr>
                    <w:t>8</w:t>
                  </w:r>
                </w:p>
              </w:tc>
              <w:tc>
                <w:tcPr>
                  <w:tcW w:w="1010" w:type="pct"/>
                  <w:shd w:val="clear" w:color="auto" w:fill="auto"/>
                  <w:vAlign w:val="center"/>
                </w:tcPr>
                <w:p>
                  <w:pPr>
                    <w:jc w:val="center"/>
                    <w:rPr>
                      <w:szCs w:val="21"/>
                    </w:rPr>
                  </w:pPr>
                  <w:r>
                    <w:rPr>
                      <w:szCs w:val="21"/>
                    </w:rPr>
                    <w:t>109°4′51.912″</w:t>
                  </w:r>
                </w:p>
              </w:tc>
              <w:tc>
                <w:tcPr>
                  <w:tcW w:w="933" w:type="pct"/>
                  <w:shd w:val="clear" w:color="auto" w:fill="auto"/>
                  <w:vAlign w:val="center"/>
                </w:tcPr>
                <w:p>
                  <w:pPr>
                    <w:jc w:val="center"/>
                    <w:rPr>
                      <w:szCs w:val="21"/>
                    </w:rPr>
                  </w:pPr>
                  <w:r>
                    <w:rPr>
                      <w:szCs w:val="21"/>
                    </w:rPr>
                    <w:t>40°47′32.423″</w:t>
                  </w:r>
                </w:p>
              </w:tc>
              <w:tc>
                <w:tcPr>
                  <w:tcW w:w="156" w:type="pct"/>
                  <w:vMerge w:val="continue"/>
                </w:tcPr>
                <w:p>
                  <w:pPr>
                    <w:jc w:val="center"/>
                    <w:rPr>
                      <w:szCs w:val="21"/>
                    </w:rPr>
                  </w:pPr>
                </w:p>
              </w:tc>
              <w:tc>
                <w:tcPr>
                  <w:tcW w:w="388" w:type="pct"/>
                </w:tcPr>
                <w:p>
                  <w:pPr>
                    <w:jc w:val="center"/>
                    <w:rPr>
                      <w:szCs w:val="21"/>
                    </w:rPr>
                  </w:pPr>
                  <w:r>
                    <w:rPr>
                      <w:rFonts w:hint="eastAsia"/>
                      <w:szCs w:val="21"/>
                    </w:rPr>
                    <w:t>4</w:t>
                  </w:r>
                  <w:r>
                    <w:rPr>
                      <w:szCs w:val="21"/>
                    </w:rPr>
                    <w:t>4</w:t>
                  </w:r>
                </w:p>
              </w:tc>
              <w:tc>
                <w:tcPr>
                  <w:tcW w:w="1012" w:type="pct"/>
                  <w:vAlign w:val="center"/>
                </w:tcPr>
                <w:p>
                  <w:pPr>
                    <w:jc w:val="center"/>
                    <w:rPr>
                      <w:szCs w:val="21"/>
                    </w:rPr>
                  </w:pPr>
                  <w:r>
                    <w:rPr>
                      <w:szCs w:val="21"/>
                    </w:rPr>
                    <w:t>109°3′28.043″</w:t>
                  </w:r>
                </w:p>
              </w:tc>
              <w:tc>
                <w:tcPr>
                  <w:tcW w:w="1079" w:type="pct"/>
                  <w:vAlign w:val="center"/>
                </w:tcPr>
                <w:p>
                  <w:pPr>
                    <w:jc w:val="center"/>
                    <w:rPr>
                      <w:szCs w:val="21"/>
                    </w:rPr>
                  </w:pPr>
                  <w:r>
                    <w:rPr>
                      <w:szCs w:val="21"/>
                    </w:rPr>
                    <w:t>40°48′51.827″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pct"/>
                  <w:gridSpan w:val="3"/>
                  <w:vAlign w:val="center"/>
                </w:tcPr>
                <w:p>
                  <w:pPr>
                    <w:jc w:val="center"/>
                    <w:rPr>
                      <w:szCs w:val="21"/>
                    </w:rPr>
                  </w:pPr>
                  <w:r>
                    <w:rPr>
                      <w:szCs w:val="21"/>
                    </w:rPr>
                    <w:t>地块2</w:t>
                  </w:r>
                </w:p>
              </w:tc>
              <w:tc>
                <w:tcPr>
                  <w:tcW w:w="156" w:type="pct"/>
                  <w:vMerge w:val="continue"/>
                </w:tcPr>
                <w:p>
                  <w:pPr>
                    <w:jc w:val="center"/>
                    <w:rPr>
                      <w:szCs w:val="21"/>
                    </w:rPr>
                  </w:pPr>
                </w:p>
              </w:tc>
              <w:tc>
                <w:tcPr>
                  <w:tcW w:w="2478" w:type="pct"/>
                  <w:gridSpan w:val="3"/>
                </w:tcPr>
                <w:p>
                  <w:pPr>
                    <w:jc w:val="center"/>
                    <w:rPr>
                      <w:szCs w:val="21"/>
                    </w:rPr>
                  </w:pPr>
                  <w:r>
                    <w:rPr>
                      <w:szCs w:val="21"/>
                    </w:rPr>
                    <w:t>地块4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jc w:val="center"/>
                    <w:rPr>
                      <w:szCs w:val="21"/>
                    </w:rPr>
                  </w:pPr>
                  <w:r>
                    <w:rPr>
                      <w:rFonts w:hint="eastAsia"/>
                      <w:szCs w:val="21"/>
                    </w:rPr>
                    <w:t>9</w:t>
                  </w:r>
                </w:p>
              </w:tc>
              <w:tc>
                <w:tcPr>
                  <w:tcW w:w="1010" w:type="pct"/>
                  <w:shd w:val="clear" w:color="auto" w:fill="auto"/>
                  <w:vAlign w:val="center"/>
                </w:tcPr>
                <w:p>
                  <w:pPr>
                    <w:jc w:val="center"/>
                    <w:rPr>
                      <w:szCs w:val="21"/>
                    </w:rPr>
                  </w:pPr>
                  <w:r>
                    <w:rPr>
                      <w:szCs w:val="21"/>
                    </w:rPr>
                    <w:t>109°3′21.576″</w:t>
                  </w:r>
                </w:p>
              </w:tc>
              <w:tc>
                <w:tcPr>
                  <w:tcW w:w="933" w:type="pct"/>
                  <w:shd w:val="clear" w:color="auto" w:fill="auto"/>
                  <w:vAlign w:val="center"/>
                </w:tcPr>
                <w:p>
                  <w:pPr>
                    <w:jc w:val="center"/>
                    <w:rPr>
                      <w:szCs w:val="21"/>
                    </w:rPr>
                  </w:pPr>
                  <w:r>
                    <w:rPr>
                      <w:szCs w:val="21"/>
                    </w:rPr>
                    <w:t>40°48′47.679″</w:t>
                  </w:r>
                </w:p>
              </w:tc>
              <w:tc>
                <w:tcPr>
                  <w:tcW w:w="156" w:type="pct"/>
                  <w:vMerge w:val="continue"/>
                </w:tcPr>
                <w:p>
                  <w:pPr>
                    <w:jc w:val="center"/>
                    <w:rPr>
                      <w:szCs w:val="21"/>
                    </w:rPr>
                  </w:pPr>
                </w:p>
              </w:tc>
              <w:tc>
                <w:tcPr>
                  <w:tcW w:w="388" w:type="pct"/>
                </w:tcPr>
                <w:p>
                  <w:pPr>
                    <w:jc w:val="center"/>
                    <w:rPr>
                      <w:szCs w:val="21"/>
                    </w:rPr>
                  </w:pPr>
                  <w:r>
                    <w:rPr>
                      <w:rFonts w:hint="eastAsia"/>
                      <w:szCs w:val="21"/>
                    </w:rPr>
                    <w:t>4</w:t>
                  </w:r>
                  <w:r>
                    <w:rPr>
                      <w:szCs w:val="21"/>
                    </w:rPr>
                    <w:t>5</w:t>
                  </w:r>
                </w:p>
              </w:tc>
              <w:tc>
                <w:tcPr>
                  <w:tcW w:w="1012" w:type="pct"/>
                  <w:vAlign w:val="center"/>
                </w:tcPr>
                <w:p>
                  <w:pPr>
                    <w:jc w:val="center"/>
                    <w:rPr>
                      <w:szCs w:val="21"/>
                    </w:rPr>
                  </w:pPr>
                  <w:r>
                    <w:rPr>
                      <w:szCs w:val="21"/>
                    </w:rPr>
                    <w:t>109°4′3.556″</w:t>
                  </w:r>
                </w:p>
              </w:tc>
              <w:tc>
                <w:tcPr>
                  <w:tcW w:w="1079" w:type="pct"/>
                  <w:vAlign w:val="center"/>
                </w:tcPr>
                <w:p>
                  <w:pPr>
                    <w:jc w:val="center"/>
                    <w:rPr>
                      <w:szCs w:val="21"/>
                    </w:rPr>
                  </w:pPr>
                  <w:r>
                    <w:rPr>
                      <w:szCs w:val="21"/>
                    </w:rPr>
                    <w:t>40°49′34.740″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bottom w:val="single" w:color="auto" w:sz="4" w:space="0"/>
                  </w:tcBorders>
                  <w:vAlign w:val="center"/>
                </w:tcPr>
                <w:p>
                  <w:pPr>
                    <w:jc w:val="center"/>
                    <w:rPr>
                      <w:szCs w:val="21"/>
                    </w:rPr>
                  </w:pPr>
                  <w:r>
                    <w:rPr>
                      <w:rFonts w:hint="eastAsia"/>
                      <w:szCs w:val="21"/>
                    </w:rPr>
                    <w:t>1</w:t>
                  </w:r>
                  <w:r>
                    <w:rPr>
                      <w:szCs w:val="21"/>
                    </w:rPr>
                    <w:t>0</w:t>
                  </w:r>
                </w:p>
              </w:tc>
              <w:tc>
                <w:tcPr>
                  <w:tcW w:w="1010" w:type="pct"/>
                  <w:tcBorders>
                    <w:bottom w:val="single" w:color="auto" w:sz="4" w:space="0"/>
                  </w:tcBorders>
                  <w:shd w:val="clear" w:color="auto" w:fill="auto"/>
                  <w:vAlign w:val="center"/>
                </w:tcPr>
                <w:p>
                  <w:pPr>
                    <w:jc w:val="center"/>
                    <w:rPr>
                      <w:szCs w:val="21"/>
                    </w:rPr>
                  </w:pPr>
                  <w:r>
                    <w:rPr>
                      <w:szCs w:val="21"/>
                    </w:rPr>
                    <w:t>109°3′21.561″</w:t>
                  </w:r>
                </w:p>
              </w:tc>
              <w:tc>
                <w:tcPr>
                  <w:tcW w:w="933" w:type="pct"/>
                  <w:tcBorders>
                    <w:bottom w:val="single" w:color="auto" w:sz="4" w:space="0"/>
                  </w:tcBorders>
                  <w:shd w:val="clear" w:color="auto" w:fill="auto"/>
                  <w:vAlign w:val="center"/>
                </w:tcPr>
                <w:p>
                  <w:pPr>
                    <w:jc w:val="center"/>
                    <w:rPr>
                      <w:szCs w:val="21"/>
                    </w:rPr>
                  </w:pPr>
                  <w:r>
                    <w:rPr>
                      <w:szCs w:val="21"/>
                    </w:rPr>
                    <w:t>40°48′46.712″</w:t>
                  </w:r>
                </w:p>
              </w:tc>
              <w:tc>
                <w:tcPr>
                  <w:tcW w:w="156" w:type="pct"/>
                  <w:vMerge w:val="continue"/>
                </w:tcPr>
                <w:p>
                  <w:pPr>
                    <w:jc w:val="center"/>
                    <w:rPr>
                      <w:szCs w:val="21"/>
                    </w:rPr>
                  </w:pPr>
                </w:p>
              </w:tc>
              <w:tc>
                <w:tcPr>
                  <w:tcW w:w="388" w:type="pct"/>
                  <w:tcBorders>
                    <w:bottom w:val="single" w:color="auto" w:sz="4" w:space="0"/>
                  </w:tcBorders>
                </w:tcPr>
                <w:p>
                  <w:pPr>
                    <w:jc w:val="center"/>
                    <w:rPr>
                      <w:szCs w:val="21"/>
                    </w:rPr>
                  </w:pPr>
                  <w:r>
                    <w:rPr>
                      <w:rFonts w:hint="eastAsia"/>
                      <w:szCs w:val="21"/>
                    </w:rPr>
                    <w:t>4</w:t>
                  </w:r>
                  <w:r>
                    <w:rPr>
                      <w:szCs w:val="21"/>
                    </w:rPr>
                    <w:t>6</w:t>
                  </w:r>
                </w:p>
              </w:tc>
              <w:tc>
                <w:tcPr>
                  <w:tcW w:w="1012" w:type="pct"/>
                  <w:tcBorders>
                    <w:bottom w:val="single" w:color="auto" w:sz="4" w:space="0"/>
                  </w:tcBorders>
                  <w:vAlign w:val="center"/>
                </w:tcPr>
                <w:p>
                  <w:pPr>
                    <w:jc w:val="center"/>
                    <w:rPr>
                      <w:szCs w:val="21"/>
                    </w:rPr>
                  </w:pPr>
                  <w:r>
                    <w:rPr>
                      <w:szCs w:val="21"/>
                    </w:rPr>
                    <w:t>109°4′7.860″</w:t>
                  </w:r>
                </w:p>
              </w:tc>
              <w:tc>
                <w:tcPr>
                  <w:tcW w:w="1079" w:type="pct"/>
                  <w:tcBorders>
                    <w:bottom w:val="single" w:color="auto" w:sz="4" w:space="0"/>
                  </w:tcBorders>
                  <w:vAlign w:val="center"/>
                </w:tcPr>
                <w:p>
                  <w:pPr>
                    <w:jc w:val="center"/>
                    <w:rPr>
                      <w:szCs w:val="21"/>
                    </w:rPr>
                  </w:pPr>
                  <w:r>
                    <w:rPr>
                      <w:szCs w:val="21"/>
                    </w:rPr>
                    <w:t>40°49′34.700″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1</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109°3′23.520″</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40°48′46.694″</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4</w:t>
                  </w:r>
                  <w:r>
                    <w:rPr>
                      <w:szCs w:val="21"/>
                    </w:rPr>
                    <w:t>7</w:t>
                  </w:r>
                </w:p>
              </w:tc>
              <w:tc>
                <w:tcPr>
                  <w:tcW w:w="1012" w:type="pct"/>
                  <w:tcBorders>
                    <w:top w:val="single" w:color="auto" w:sz="4" w:space="0"/>
                    <w:bottom w:val="single" w:color="auto" w:sz="4" w:space="0"/>
                  </w:tcBorders>
                  <w:vAlign w:val="center"/>
                </w:tcPr>
                <w:p>
                  <w:pPr>
                    <w:jc w:val="center"/>
                    <w:rPr>
                      <w:szCs w:val="21"/>
                    </w:rPr>
                  </w:pPr>
                  <w:r>
                    <w:rPr>
                      <w:szCs w:val="21"/>
                    </w:rPr>
                    <w:t>109°4′7.782″</w:t>
                  </w:r>
                </w:p>
              </w:tc>
              <w:tc>
                <w:tcPr>
                  <w:tcW w:w="1079" w:type="pct"/>
                  <w:tcBorders>
                    <w:top w:val="single" w:color="auto" w:sz="4" w:space="0"/>
                    <w:bottom w:val="single" w:color="auto" w:sz="4" w:space="0"/>
                  </w:tcBorders>
                  <w:vAlign w:val="center"/>
                </w:tcPr>
                <w:p>
                  <w:pPr>
                    <w:jc w:val="center"/>
                    <w:rPr>
                      <w:szCs w:val="21"/>
                    </w:rPr>
                  </w:pPr>
                  <w:r>
                    <w:rPr>
                      <w:szCs w:val="21"/>
                    </w:rPr>
                    <w:t>40°49′29.867″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2</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109°3′23.487″</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40°48′44.573″</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4</w:t>
                  </w:r>
                  <w:r>
                    <w:rPr>
                      <w:szCs w:val="21"/>
                    </w:rPr>
                    <w:t>8</w:t>
                  </w:r>
                </w:p>
              </w:tc>
              <w:tc>
                <w:tcPr>
                  <w:tcW w:w="1012" w:type="pct"/>
                  <w:tcBorders>
                    <w:top w:val="single" w:color="auto" w:sz="4" w:space="0"/>
                    <w:bottom w:val="single" w:color="auto" w:sz="4" w:space="0"/>
                  </w:tcBorders>
                  <w:vAlign w:val="center"/>
                </w:tcPr>
                <w:p>
                  <w:pPr>
                    <w:jc w:val="center"/>
                    <w:rPr>
                      <w:szCs w:val="21"/>
                    </w:rPr>
                  </w:pPr>
                  <w:r>
                    <w:rPr>
                      <w:szCs w:val="21"/>
                    </w:rPr>
                    <w:t>109°4′3.480″</w:t>
                  </w:r>
                </w:p>
              </w:tc>
              <w:tc>
                <w:tcPr>
                  <w:tcW w:w="1079" w:type="pct"/>
                  <w:tcBorders>
                    <w:top w:val="single" w:color="auto" w:sz="4" w:space="0"/>
                    <w:bottom w:val="single" w:color="auto" w:sz="4" w:space="0"/>
                  </w:tcBorders>
                  <w:vAlign w:val="center"/>
                </w:tcPr>
                <w:p>
                  <w:pPr>
                    <w:jc w:val="center"/>
                    <w:rPr>
                      <w:szCs w:val="21"/>
                    </w:rPr>
                  </w:pPr>
                  <w:r>
                    <w:rPr>
                      <w:szCs w:val="21"/>
                    </w:rPr>
                    <w:t>40°49′29.907″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3</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109°3′24.646″</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40°48′44.562″</w:t>
                  </w:r>
                </w:p>
              </w:tc>
              <w:tc>
                <w:tcPr>
                  <w:tcW w:w="156" w:type="pct"/>
                  <w:vMerge w:val="continue"/>
                </w:tcPr>
                <w:p>
                  <w:pPr>
                    <w:jc w:val="center"/>
                    <w:rPr>
                      <w:szCs w:val="21"/>
                    </w:rPr>
                  </w:pPr>
                </w:p>
              </w:tc>
              <w:tc>
                <w:tcPr>
                  <w:tcW w:w="2478" w:type="pct"/>
                  <w:gridSpan w:val="3"/>
                  <w:tcBorders>
                    <w:top w:val="single" w:color="auto" w:sz="4" w:space="0"/>
                    <w:bottom w:val="single" w:color="auto" w:sz="4" w:space="0"/>
                  </w:tcBorders>
                </w:tcPr>
                <w:p>
                  <w:pPr>
                    <w:jc w:val="center"/>
                    <w:rPr>
                      <w:szCs w:val="21"/>
                    </w:rPr>
                  </w:pPr>
                  <w:r>
                    <w:rPr>
                      <w:szCs w:val="21"/>
                    </w:rPr>
                    <w:t>地块5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4</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109°3′24.629″</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40°48′43.521″</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4</w:t>
                  </w:r>
                  <w:r>
                    <w:rPr>
                      <w:szCs w:val="21"/>
                    </w:rPr>
                    <w:t>9</w:t>
                  </w:r>
                </w:p>
              </w:tc>
              <w:tc>
                <w:tcPr>
                  <w:tcW w:w="1012" w:type="pct"/>
                  <w:tcBorders>
                    <w:top w:val="single" w:color="auto" w:sz="4" w:space="0"/>
                    <w:bottom w:val="single" w:color="auto" w:sz="4" w:space="0"/>
                  </w:tcBorders>
                  <w:vAlign w:val="center"/>
                </w:tcPr>
                <w:p>
                  <w:pPr>
                    <w:jc w:val="center"/>
                    <w:rPr>
                      <w:szCs w:val="21"/>
                    </w:rPr>
                  </w:pPr>
                  <w:r>
                    <w:rPr>
                      <w:szCs w:val="21"/>
                    </w:rPr>
                    <w:t>109°4′26.283″</w:t>
                  </w:r>
                </w:p>
              </w:tc>
              <w:tc>
                <w:tcPr>
                  <w:tcW w:w="1079" w:type="pct"/>
                  <w:tcBorders>
                    <w:top w:val="single" w:color="auto" w:sz="4" w:space="0"/>
                    <w:bottom w:val="single" w:color="auto" w:sz="4" w:space="0"/>
                  </w:tcBorders>
                  <w:vAlign w:val="center"/>
                </w:tcPr>
                <w:p>
                  <w:pPr>
                    <w:jc w:val="center"/>
                    <w:rPr>
                      <w:szCs w:val="21"/>
                    </w:rPr>
                  </w:pPr>
                  <w:r>
                    <w:rPr>
                      <w:szCs w:val="21"/>
                    </w:rPr>
                    <w:t>40°49′39.269″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5</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109°3′23.488″</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40°48′43.531″</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0</w:t>
                  </w:r>
                </w:p>
              </w:tc>
              <w:tc>
                <w:tcPr>
                  <w:tcW w:w="1012" w:type="pct"/>
                  <w:tcBorders>
                    <w:top w:val="single" w:color="auto" w:sz="4" w:space="0"/>
                    <w:bottom w:val="single" w:color="auto" w:sz="4" w:space="0"/>
                  </w:tcBorders>
                  <w:vAlign w:val="center"/>
                </w:tcPr>
                <w:p>
                  <w:pPr>
                    <w:jc w:val="center"/>
                    <w:rPr>
                      <w:szCs w:val="21"/>
                    </w:rPr>
                  </w:pPr>
                  <w:r>
                    <w:rPr>
                      <w:szCs w:val="21"/>
                    </w:rPr>
                    <w:t>109°4′30.630″</w:t>
                  </w:r>
                </w:p>
              </w:tc>
              <w:tc>
                <w:tcPr>
                  <w:tcW w:w="1079" w:type="pct"/>
                  <w:tcBorders>
                    <w:top w:val="single" w:color="auto" w:sz="4" w:space="0"/>
                    <w:bottom w:val="single" w:color="auto" w:sz="4" w:space="0"/>
                  </w:tcBorders>
                  <w:vAlign w:val="center"/>
                </w:tcPr>
                <w:p>
                  <w:pPr>
                    <w:jc w:val="center"/>
                    <w:rPr>
                      <w:szCs w:val="21"/>
                    </w:rPr>
                  </w:pPr>
                  <w:r>
                    <w:rPr>
                      <w:szCs w:val="21"/>
                    </w:rPr>
                    <w:t>40°49′39.058″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6</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109°3′23.457″</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40°48′41.537″</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1</w:t>
                  </w:r>
                </w:p>
              </w:tc>
              <w:tc>
                <w:tcPr>
                  <w:tcW w:w="1012" w:type="pct"/>
                  <w:tcBorders>
                    <w:top w:val="single" w:color="auto" w:sz="4" w:space="0"/>
                    <w:bottom w:val="single" w:color="auto" w:sz="4" w:space="0"/>
                  </w:tcBorders>
                  <w:vAlign w:val="center"/>
                </w:tcPr>
                <w:p>
                  <w:pPr>
                    <w:jc w:val="center"/>
                    <w:rPr>
                      <w:szCs w:val="21"/>
                    </w:rPr>
                  </w:pPr>
                  <w:r>
                    <w:rPr>
                      <w:szCs w:val="21"/>
                    </w:rPr>
                    <w:t>109°4′30.527″</w:t>
                  </w:r>
                </w:p>
              </w:tc>
              <w:tc>
                <w:tcPr>
                  <w:tcW w:w="1079" w:type="pct"/>
                  <w:tcBorders>
                    <w:top w:val="single" w:color="auto" w:sz="4" w:space="0"/>
                    <w:bottom w:val="single" w:color="auto" w:sz="4" w:space="0"/>
                  </w:tcBorders>
                  <w:vAlign w:val="center"/>
                </w:tcPr>
                <w:p>
                  <w:pPr>
                    <w:jc w:val="center"/>
                    <w:rPr>
                      <w:szCs w:val="21"/>
                    </w:rPr>
                  </w:pPr>
                  <w:r>
                    <w:rPr>
                      <w:szCs w:val="21"/>
                    </w:rPr>
                    <w:t>40°49′37.752″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7</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109°3′22.449″</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40°48′41.547″</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2</w:t>
                  </w:r>
                </w:p>
              </w:tc>
              <w:tc>
                <w:tcPr>
                  <w:tcW w:w="1012" w:type="pct"/>
                  <w:tcBorders>
                    <w:top w:val="single" w:color="auto" w:sz="4" w:space="0"/>
                    <w:bottom w:val="single" w:color="auto" w:sz="4" w:space="0"/>
                  </w:tcBorders>
                  <w:vAlign w:val="center"/>
                </w:tcPr>
                <w:p>
                  <w:pPr>
                    <w:jc w:val="center"/>
                    <w:rPr>
                      <w:szCs w:val="21"/>
                    </w:rPr>
                  </w:pPr>
                  <w:r>
                    <w:rPr>
                      <w:szCs w:val="21"/>
                    </w:rPr>
                    <w:t>109°4′28.971″</w:t>
                  </w:r>
                </w:p>
              </w:tc>
              <w:tc>
                <w:tcPr>
                  <w:tcW w:w="1079" w:type="pct"/>
                  <w:tcBorders>
                    <w:top w:val="single" w:color="auto" w:sz="4" w:space="0"/>
                    <w:bottom w:val="single" w:color="auto" w:sz="4" w:space="0"/>
                  </w:tcBorders>
                  <w:vAlign w:val="center"/>
                </w:tcPr>
                <w:p>
                  <w:pPr>
                    <w:jc w:val="center"/>
                    <w:rPr>
                      <w:szCs w:val="21"/>
                    </w:rPr>
                  </w:pPr>
                  <w:r>
                    <w:rPr>
                      <w:szCs w:val="21"/>
                    </w:rPr>
                    <w:t>40°49′36.806″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8</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109°3′22.437″</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40°48′40.770″</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3</w:t>
                  </w:r>
                </w:p>
              </w:tc>
              <w:tc>
                <w:tcPr>
                  <w:tcW w:w="1012" w:type="pct"/>
                  <w:tcBorders>
                    <w:top w:val="single" w:color="auto" w:sz="4" w:space="0"/>
                    <w:bottom w:val="single" w:color="auto" w:sz="4" w:space="0"/>
                  </w:tcBorders>
                  <w:vAlign w:val="center"/>
                </w:tcPr>
                <w:p>
                  <w:pPr>
                    <w:jc w:val="center"/>
                    <w:rPr>
                      <w:szCs w:val="21"/>
                    </w:rPr>
                  </w:pPr>
                  <w:r>
                    <w:rPr>
                      <w:szCs w:val="21"/>
                    </w:rPr>
                    <w:t>109°4′27.417″</w:t>
                  </w:r>
                </w:p>
              </w:tc>
              <w:tc>
                <w:tcPr>
                  <w:tcW w:w="1079" w:type="pct"/>
                  <w:tcBorders>
                    <w:top w:val="single" w:color="auto" w:sz="4" w:space="0"/>
                    <w:bottom w:val="single" w:color="auto" w:sz="4" w:space="0"/>
                  </w:tcBorders>
                  <w:vAlign w:val="center"/>
                </w:tcPr>
                <w:p>
                  <w:pPr>
                    <w:jc w:val="center"/>
                    <w:rPr>
                      <w:szCs w:val="21"/>
                    </w:rPr>
                  </w:pPr>
                  <w:r>
                    <w:rPr>
                      <w:szCs w:val="21"/>
                    </w:rPr>
                    <w:t>40°49′35.934″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1</w:t>
                  </w:r>
                  <w:r>
                    <w:rPr>
                      <w:szCs w:val="21"/>
                    </w:rPr>
                    <w:t>9</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109°3′16.775″</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40°48′40.821″</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4</w:t>
                  </w:r>
                </w:p>
              </w:tc>
              <w:tc>
                <w:tcPr>
                  <w:tcW w:w="1012" w:type="pct"/>
                  <w:tcBorders>
                    <w:top w:val="single" w:color="auto" w:sz="4" w:space="0"/>
                    <w:bottom w:val="single" w:color="auto" w:sz="4" w:space="0"/>
                  </w:tcBorders>
                  <w:vAlign w:val="center"/>
                </w:tcPr>
                <w:p>
                  <w:pPr>
                    <w:jc w:val="center"/>
                    <w:rPr>
                      <w:szCs w:val="21"/>
                    </w:rPr>
                  </w:pPr>
                  <w:r>
                    <w:rPr>
                      <w:szCs w:val="21"/>
                    </w:rPr>
                    <w:t>109°4′26.345″</w:t>
                  </w:r>
                </w:p>
              </w:tc>
              <w:tc>
                <w:tcPr>
                  <w:tcW w:w="1079" w:type="pct"/>
                  <w:tcBorders>
                    <w:top w:val="single" w:color="auto" w:sz="4" w:space="0"/>
                    <w:bottom w:val="single" w:color="auto" w:sz="4" w:space="0"/>
                  </w:tcBorders>
                  <w:vAlign w:val="center"/>
                </w:tcPr>
                <w:p>
                  <w:pPr>
                    <w:jc w:val="center"/>
                    <w:rPr>
                      <w:szCs w:val="21"/>
                    </w:rPr>
                  </w:pPr>
                  <w:r>
                    <w:rPr>
                      <w:szCs w:val="21"/>
                    </w:rPr>
                    <w:t>40°49′36.194″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0</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109°3′16.885″</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40°48′47.721″</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5</w:t>
                  </w:r>
                </w:p>
              </w:tc>
              <w:tc>
                <w:tcPr>
                  <w:tcW w:w="1012" w:type="pct"/>
                  <w:tcBorders>
                    <w:top w:val="single" w:color="auto" w:sz="4" w:space="0"/>
                    <w:bottom w:val="single" w:color="auto" w:sz="4" w:space="0"/>
                  </w:tcBorders>
                  <w:vAlign w:val="center"/>
                </w:tcPr>
                <w:p>
                  <w:pPr>
                    <w:jc w:val="center"/>
                    <w:rPr>
                      <w:szCs w:val="21"/>
                    </w:rPr>
                  </w:pPr>
                  <w:r>
                    <w:rPr>
                      <w:szCs w:val="21"/>
                    </w:rPr>
                    <w:t>109°4′25.420″</w:t>
                  </w:r>
                </w:p>
              </w:tc>
              <w:tc>
                <w:tcPr>
                  <w:tcW w:w="1079" w:type="pct"/>
                  <w:tcBorders>
                    <w:top w:val="single" w:color="auto" w:sz="4" w:space="0"/>
                    <w:bottom w:val="single" w:color="auto" w:sz="4" w:space="0"/>
                  </w:tcBorders>
                  <w:vAlign w:val="center"/>
                </w:tcPr>
                <w:p>
                  <w:pPr>
                    <w:jc w:val="center"/>
                    <w:rPr>
                      <w:szCs w:val="21"/>
                    </w:rPr>
                  </w:pPr>
                  <w:r>
                    <w:rPr>
                      <w:szCs w:val="21"/>
                    </w:rPr>
                    <w:t>40°49′38.043″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pct"/>
                  <w:gridSpan w:val="3"/>
                  <w:tcBorders>
                    <w:top w:val="single" w:color="auto" w:sz="4" w:space="0"/>
                    <w:bottom w:val="single" w:color="auto" w:sz="4" w:space="0"/>
                  </w:tcBorders>
                  <w:vAlign w:val="center"/>
                </w:tcPr>
                <w:p>
                  <w:pPr>
                    <w:jc w:val="center"/>
                    <w:rPr>
                      <w:szCs w:val="21"/>
                    </w:rPr>
                  </w:pPr>
                  <w:r>
                    <w:rPr>
                      <w:szCs w:val="21"/>
                    </w:rPr>
                    <w:t>地块3</w:t>
                  </w:r>
                </w:p>
              </w:tc>
              <w:tc>
                <w:tcPr>
                  <w:tcW w:w="156" w:type="pct"/>
                  <w:vMerge w:val="continue"/>
                </w:tcPr>
                <w:p>
                  <w:pPr>
                    <w:jc w:val="center"/>
                    <w:rPr>
                      <w:szCs w:val="21"/>
                    </w:rPr>
                  </w:pPr>
                </w:p>
              </w:tc>
              <w:tc>
                <w:tcPr>
                  <w:tcW w:w="2478" w:type="pct"/>
                  <w:gridSpan w:val="3"/>
                  <w:tcBorders>
                    <w:top w:val="single" w:color="auto" w:sz="4" w:space="0"/>
                    <w:bottom w:val="single" w:color="auto" w:sz="4" w:space="0"/>
                  </w:tcBorders>
                </w:tcPr>
                <w:p>
                  <w:pPr>
                    <w:jc w:val="center"/>
                    <w:rPr>
                      <w:szCs w:val="21"/>
                    </w:rPr>
                  </w:pPr>
                  <w:r>
                    <w:rPr>
                      <w:szCs w:val="21"/>
                    </w:rPr>
                    <w:t>地块</w:t>
                  </w:r>
                  <w:r>
                    <w:rPr>
                      <w:rFonts w:hint="eastAsia"/>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1</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109°3′27.852″</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40°48′39.808″</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6</w:t>
                  </w:r>
                </w:p>
              </w:tc>
              <w:tc>
                <w:tcPr>
                  <w:tcW w:w="1012" w:type="pct"/>
                  <w:tcBorders>
                    <w:top w:val="single" w:color="auto" w:sz="4" w:space="0"/>
                    <w:bottom w:val="single" w:color="auto" w:sz="4" w:space="0"/>
                  </w:tcBorders>
                  <w:vAlign w:val="center"/>
                </w:tcPr>
                <w:p>
                  <w:pPr>
                    <w:jc w:val="center"/>
                    <w:rPr>
                      <w:szCs w:val="21"/>
                    </w:rPr>
                  </w:pPr>
                  <w:r>
                    <w:rPr>
                      <w:szCs w:val="21"/>
                    </w:rPr>
                    <w:t>109°4′56.129″</w:t>
                  </w:r>
                </w:p>
              </w:tc>
              <w:tc>
                <w:tcPr>
                  <w:tcW w:w="1079" w:type="pct"/>
                  <w:tcBorders>
                    <w:top w:val="single" w:color="auto" w:sz="4" w:space="0"/>
                    <w:bottom w:val="single" w:color="auto" w:sz="4" w:space="0"/>
                  </w:tcBorders>
                  <w:vAlign w:val="center"/>
                </w:tcPr>
                <w:p>
                  <w:pPr>
                    <w:jc w:val="center"/>
                    <w:rPr>
                      <w:szCs w:val="21"/>
                    </w:rPr>
                  </w:pPr>
                  <w:r>
                    <w:rPr>
                      <w:szCs w:val="21"/>
                    </w:rPr>
                    <w:t>40°49′40.173″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2</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109°3′46.256″</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40°48′39.639″</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7</w:t>
                  </w:r>
                </w:p>
              </w:tc>
              <w:tc>
                <w:tcPr>
                  <w:tcW w:w="1012" w:type="pct"/>
                  <w:tcBorders>
                    <w:top w:val="single" w:color="auto" w:sz="4" w:space="0"/>
                    <w:bottom w:val="single" w:color="auto" w:sz="4" w:space="0"/>
                  </w:tcBorders>
                  <w:vAlign w:val="center"/>
                </w:tcPr>
                <w:p>
                  <w:pPr>
                    <w:jc w:val="center"/>
                    <w:rPr>
                      <w:szCs w:val="21"/>
                    </w:rPr>
                  </w:pPr>
                  <w:r>
                    <w:rPr>
                      <w:szCs w:val="21"/>
                    </w:rPr>
                    <w:t>109°4′12.574″</w:t>
                  </w:r>
                </w:p>
              </w:tc>
              <w:tc>
                <w:tcPr>
                  <w:tcW w:w="1079" w:type="pct"/>
                  <w:tcBorders>
                    <w:top w:val="single" w:color="auto" w:sz="4" w:space="0"/>
                    <w:bottom w:val="single" w:color="auto" w:sz="4" w:space="0"/>
                  </w:tcBorders>
                  <w:vAlign w:val="center"/>
                </w:tcPr>
                <w:p>
                  <w:pPr>
                    <w:jc w:val="center"/>
                    <w:rPr>
                      <w:szCs w:val="21"/>
                    </w:rPr>
                  </w:pPr>
                  <w:r>
                    <w:rPr>
                      <w:szCs w:val="21"/>
                    </w:rPr>
                    <w:t>40°49′40.579″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3</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109°3′46.403″</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40°48′48.863″</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8</w:t>
                  </w:r>
                </w:p>
              </w:tc>
              <w:tc>
                <w:tcPr>
                  <w:tcW w:w="1012" w:type="pct"/>
                  <w:tcBorders>
                    <w:top w:val="single" w:color="auto" w:sz="4" w:space="0"/>
                    <w:bottom w:val="single" w:color="auto" w:sz="4" w:space="0"/>
                  </w:tcBorders>
                  <w:vAlign w:val="center"/>
                </w:tcPr>
                <w:p>
                  <w:pPr>
                    <w:jc w:val="center"/>
                    <w:rPr>
                      <w:szCs w:val="21"/>
                    </w:rPr>
                  </w:pPr>
                  <w:r>
                    <w:rPr>
                      <w:szCs w:val="21"/>
                    </w:rPr>
                    <w:t>109°4′12.629″</w:t>
                  </w:r>
                </w:p>
              </w:tc>
              <w:tc>
                <w:tcPr>
                  <w:tcW w:w="1079" w:type="pct"/>
                  <w:tcBorders>
                    <w:top w:val="single" w:color="auto" w:sz="4" w:space="0"/>
                    <w:bottom w:val="single" w:color="auto" w:sz="4" w:space="0"/>
                  </w:tcBorders>
                  <w:vAlign w:val="center"/>
                </w:tcPr>
                <w:p>
                  <w:pPr>
                    <w:jc w:val="center"/>
                    <w:rPr>
                      <w:szCs w:val="21"/>
                    </w:rPr>
                  </w:pPr>
                  <w:r>
                    <w:rPr>
                      <w:szCs w:val="21"/>
                    </w:rPr>
                    <w:t>40°49′43.976″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4</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109°3′48.893″</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40°48′48.840″</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5</w:t>
                  </w:r>
                  <w:r>
                    <w:rPr>
                      <w:szCs w:val="21"/>
                    </w:rPr>
                    <w:t>9</w:t>
                  </w:r>
                </w:p>
              </w:tc>
              <w:tc>
                <w:tcPr>
                  <w:tcW w:w="1012" w:type="pct"/>
                  <w:tcBorders>
                    <w:top w:val="single" w:color="auto" w:sz="4" w:space="0"/>
                    <w:bottom w:val="single" w:color="auto" w:sz="4" w:space="0"/>
                  </w:tcBorders>
                  <w:vAlign w:val="center"/>
                </w:tcPr>
                <w:p>
                  <w:pPr>
                    <w:jc w:val="center"/>
                    <w:rPr>
                      <w:szCs w:val="21"/>
                    </w:rPr>
                  </w:pPr>
                  <w:r>
                    <w:rPr>
                      <w:szCs w:val="21"/>
                    </w:rPr>
                    <w:t>109°4′0.128″</w:t>
                  </w:r>
                </w:p>
              </w:tc>
              <w:tc>
                <w:tcPr>
                  <w:tcW w:w="1079" w:type="pct"/>
                  <w:tcBorders>
                    <w:top w:val="single" w:color="auto" w:sz="4" w:space="0"/>
                    <w:bottom w:val="single" w:color="auto" w:sz="4" w:space="0"/>
                  </w:tcBorders>
                  <w:vAlign w:val="center"/>
                </w:tcPr>
                <w:p>
                  <w:pPr>
                    <w:jc w:val="center"/>
                    <w:rPr>
                      <w:szCs w:val="21"/>
                    </w:rPr>
                  </w:pPr>
                  <w:r>
                    <w:rPr>
                      <w:szCs w:val="21"/>
                    </w:rPr>
                    <w:t>40°49′44.091″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5</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109°3′52.898″</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40°49′14.700″</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0</w:t>
                  </w:r>
                </w:p>
              </w:tc>
              <w:tc>
                <w:tcPr>
                  <w:tcW w:w="1012" w:type="pct"/>
                  <w:tcBorders>
                    <w:top w:val="single" w:color="auto" w:sz="4" w:space="0"/>
                    <w:bottom w:val="single" w:color="auto" w:sz="4" w:space="0"/>
                  </w:tcBorders>
                  <w:vAlign w:val="center"/>
                </w:tcPr>
                <w:p>
                  <w:pPr>
                    <w:jc w:val="center"/>
                    <w:rPr>
                      <w:szCs w:val="21"/>
                    </w:rPr>
                  </w:pPr>
                  <w:r>
                    <w:rPr>
                      <w:szCs w:val="21"/>
                    </w:rPr>
                    <w:t>109°4′0.210″</w:t>
                  </w:r>
                </w:p>
              </w:tc>
              <w:tc>
                <w:tcPr>
                  <w:tcW w:w="1079" w:type="pct"/>
                  <w:tcBorders>
                    <w:top w:val="single" w:color="auto" w:sz="4" w:space="0"/>
                    <w:bottom w:val="single" w:color="auto" w:sz="4" w:space="0"/>
                  </w:tcBorders>
                  <w:vAlign w:val="center"/>
                </w:tcPr>
                <w:p>
                  <w:pPr>
                    <w:jc w:val="center"/>
                    <w:rPr>
                      <w:szCs w:val="21"/>
                    </w:rPr>
                  </w:pPr>
                  <w:r>
                    <w:rPr>
                      <w:szCs w:val="21"/>
                    </w:rPr>
                    <w:t>40°49′49.238″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6</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109°3′48.424″</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40°49′15.754″</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1</w:t>
                  </w:r>
                </w:p>
              </w:tc>
              <w:tc>
                <w:tcPr>
                  <w:tcW w:w="1012" w:type="pct"/>
                  <w:tcBorders>
                    <w:top w:val="single" w:color="auto" w:sz="4" w:space="0"/>
                    <w:bottom w:val="single" w:color="auto" w:sz="4" w:space="0"/>
                  </w:tcBorders>
                  <w:vAlign w:val="center"/>
                </w:tcPr>
                <w:p>
                  <w:pPr>
                    <w:jc w:val="center"/>
                    <w:rPr>
                      <w:szCs w:val="21"/>
                    </w:rPr>
                  </w:pPr>
                  <w:r>
                    <w:rPr>
                      <w:szCs w:val="21"/>
                    </w:rPr>
                    <w:t>109°3′5.679″</w:t>
                  </w:r>
                </w:p>
              </w:tc>
              <w:tc>
                <w:tcPr>
                  <w:tcW w:w="1079" w:type="pct"/>
                  <w:tcBorders>
                    <w:top w:val="single" w:color="auto" w:sz="4" w:space="0"/>
                    <w:bottom w:val="single" w:color="auto" w:sz="4" w:space="0"/>
                  </w:tcBorders>
                  <w:vAlign w:val="center"/>
                </w:tcPr>
                <w:p>
                  <w:pPr>
                    <w:jc w:val="center"/>
                    <w:rPr>
                      <w:szCs w:val="21"/>
                    </w:rPr>
                  </w:pPr>
                  <w:r>
                    <w:rPr>
                      <w:szCs w:val="21"/>
                    </w:rPr>
                    <w:t>40°49′49.738″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7</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109°3′46.587″</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40°49′17.074″</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2</w:t>
                  </w:r>
                </w:p>
              </w:tc>
              <w:tc>
                <w:tcPr>
                  <w:tcW w:w="1012" w:type="pct"/>
                  <w:tcBorders>
                    <w:top w:val="single" w:color="auto" w:sz="4" w:space="0"/>
                    <w:bottom w:val="single" w:color="auto" w:sz="4" w:space="0"/>
                  </w:tcBorders>
                  <w:vAlign w:val="center"/>
                </w:tcPr>
                <w:p>
                  <w:pPr>
                    <w:jc w:val="center"/>
                    <w:rPr>
                      <w:szCs w:val="21"/>
                    </w:rPr>
                  </w:pPr>
                  <w:r>
                    <w:rPr>
                      <w:szCs w:val="21"/>
                    </w:rPr>
                    <w:t>109°3′6.165″</w:t>
                  </w:r>
                </w:p>
              </w:tc>
              <w:tc>
                <w:tcPr>
                  <w:tcW w:w="1079" w:type="pct"/>
                  <w:tcBorders>
                    <w:top w:val="single" w:color="auto" w:sz="4" w:space="0"/>
                    <w:bottom w:val="single" w:color="auto" w:sz="4" w:space="0"/>
                  </w:tcBorders>
                  <w:vAlign w:val="center"/>
                </w:tcPr>
                <w:p>
                  <w:pPr>
                    <w:jc w:val="center"/>
                    <w:rPr>
                      <w:szCs w:val="21"/>
                    </w:rPr>
                  </w:pPr>
                  <w:r>
                    <w:rPr>
                      <w:szCs w:val="21"/>
                    </w:rPr>
                    <w:t>40°50′20.447″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8</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109°3′45.500″</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40°49′18.132″</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3</w:t>
                  </w:r>
                </w:p>
              </w:tc>
              <w:tc>
                <w:tcPr>
                  <w:tcW w:w="1012" w:type="pct"/>
                  <w:tcBorders>
                    <w:top w:val="single" w:color="auto" w:sz="4" w:space="0"/>
                    <w:bottom w:val="single" w:color="auto" w:sz="4" w:space="0"/>
                  </w:tcBorders>
                  <w:vAlign w:val="center"/>
                </w:tcPr>
                <w:p>
                  <w:pPr>
                    <w:jc w:val="center"/>
                    <w:rPr>
                      <w:szCs w:val="21"/>
                    </w:rPr>
                  </w:pPr>
                  <w:r>
                    <w:rPr>
                      <w:szCs w:val="21"/>
                    </w:rPr>
                    <w:t>109°3′34.600″</w:t>
                  </w:r>
                </w:p>
              </w:tc>
              <w:tc>
                <w:tcPr>
                  <w:tcW w:w="1079" w:type="pct"/>
                  <w:tcBorders>
                    <w:top w:val="single" w:color="auto" w:sz="4" w:space="0"/>
                    <w:bottom w:val="single" w:color="auto" w:sz="4" w:space="0"/>
                  </w:tcBorders>
                  <w:vAlign w:val="center"/>
                </w:tcPr>
                <w:p>
                  <w:pPr>
                    <w:jc w:val="center"/>
                    <w:rPr>
                      <w:szCs w:val="21"/>
                    </w:rPr>
                  </w:pPr>
                  <w:r>
                    <w:rPr>
                      <w:szCs w:val="21"/>
                    </w:rPr>
                    <w:t>40°50′20.187″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2</w:t>
                  </w:r>
                  <w:r>
                    <w:rPr>
                      <w:szCs w:val="21"/>
                    </w:rPr>
                    <w:t>9</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109°3′38.001″</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40°49′18.201″</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4</w:t>
                  </w:r>
                </w:p>
              </w:tc>
              <w:tc>
                <w:tcPr>
                  <w:tcW w:w="1012" w:type="pct"/>
                  <w:tcBorders>
                    <w:top w:val="single" w:color="auto" w:sz="4" w:space="0"/>
                    <w:bottom w:val="single" w:color="auto" w:sz="4" w:space="0"/>
                  </w:tcBorders>
                  <w:vAlign w:val="center"/>
                </w:tcPr>
                <w:p>
                  <w:pPr>
                    <w:jc w:val="center"/>
                    <w:rPr>
                      <w:szCs w:val="21"/>
                    </w:rPr>
                  </w:pPr>
                  <w:r>
                    <w:rPr>
                      <w:szCs w:val="21"/>
                    </w:rPr>
                    <w:t>109°3′34.532″</w:t>
                  </w:r>
                </w:p>
              </w:tc>
              <w:tc>
                <w:tcPr>
                  <w:tcW w:w="1079" w:type="pct"/>
                  <w:tcBorders>
                    <w:top w:val="single" w:color="auto" w:sz="4" w:space="0"/>
                    <w:bottom w:val="single" w:color="auto" w:sz="4" w:space="0"/>
                  </w:tcBorders>
                  <w:vAlign w:val="center"/>
                </w:tcPr>
                <w:p>
                  <w:pPr>
                    <w:jc w:val="center"/>
                    <w:rPr>
                      <w:szCs w:val="21"/>
                    </w:rPr>
                  </w:pPr>
                  <w:r>
                    <w:rPr>
                      <w:szCs w:val="21"/>
                    </w:rPr>
                    <w:t>40°50′15.941″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3</w:t>
                  </w:r>
                  <w:r>
                    <w:rPr>
                      <w:szCs w:val="21"/>
                    </w:rPr>
                    <w:t>0</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109°3′42.423″</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40°49′12.849″</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6</w:t>
                  </w:r>
                  <w:r>
                    <w:rPr>
                      <w:szCs w:val="21"/>
                    </w:rPr>
                    <w:t>5</w:t>
                  </w:r>
                </w:p>
              </w:tc>
              <w:tc>
                <w:tcPr>
                  <w:tcW w:w="1012" w:type="pct"/>
                  <w:tcBorders>
                    <w:top w:val="single" w:color="auto" w:sz="4" w:space="0"/>
                    <w:bottom w:val="single" w:color="auto" w:sz="4" w:space="0"/>
                  </w:tcBorders>
                  <w:vAlign w:val="center"/>
                </w:tcPr>
                <w:p>
                  <w:pPr>
                    <w:jc w:val="center"/>
                    <w:rPr>
                      <w:szCs w:val="21"/>
                    </w:rPr>
                  </w:pPr>
                  <w:r>
                    <w:rPr>
                      <w:szCs w:val="21"/>
                    </w:rPr>
                    <w:t>109°4′56.698″</w:t>
                  </w:r>
                </w:p>
              </w:tc>
              <w:tc>
                <w:tcPr>
                  <w:tcW w:w="1079" w:type="pct"/>
                  <w:tcBorders>
                    <w:top w:val="single" w:color="auto" w:sz="4" w:space="0"/>
                    <w:bottom w:val="single" w:color="auto" w:sz="4" w:space="0"/>
                  </w:tcBorders>
                  <w:vAlign w:val="center"/>
                </w:tcPr>
                <w:p>
                  <w:pPr>
                    <w:jc w:val="center"/>
                    <w:rPr>
                      <w:szCs w:val="21"/>
                    </w:rPr>
                  </w:pPr>
                  <w:r>
                    <w:rPr>
                      <w:szCs w:val="21"/>
                    </w:rPr>
                    <w:t>40°50′15.178″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3</w:t>
                  </w:r>
                  <w:r>
                    <w:rPr>
                      <w:szCs w:val="21"/>
                    </w:rPr>
                    <w:t>1</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109°3′44.585″</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40°49′12.600″</w:t>
                  </w:r>
                </w:p>
              </w:tc>
              <w:tc>
                <w:tcPr>
                  <w:tcW w:w="156" w:type="pct"/>
                  <w:vMerge w:val="continue"/>
                </w:tcPr>
                <w:p>
                  <w:pPr>
                    <w:jc w:val="center"/>
                    <w:rPr>
                      <w:szCs w:val="21"/>
                    </w:rPr>
                  </w:pPr>
                </w:p>
              </w:tc>
              <w:tc>
                <w:tcPr>
                  <w:tcW w:w="2478" w:type="pct"/>
                  <w:gridSpan w:val="3"/>
                  <w:tcBorders>
                    <w:top w:val="single" w:color="auto" w:sz="4" w:space="0"/>
                    <w:bottom w:val="single" w:color="auto" w:sz="4" w:space="0"/>
                  </w:tcBorders>
                </w:tcPr>
                <w:p>
                  <w:pPr>
                    <w:jc w:val="center"/>
                    <w:rPr>
                      <w:szCs w:val="21"/>
                    </w:rPr>
                  </w:pPr>
                  <w:r>
                    <w:rPr>
                      <w:szCs w:val="21"/>
                    </w:rPr>
                    <w:t>升压站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szCs w:val="21"/>
                    </w:rPr>
                    <w:t>32</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109°3′45.234″</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40°49′12.076″</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1</w:t>
                  </w:r>
                </w:p>
              </w:tc>
              <w:tc>
                <w:tcPr>
                  <w:tcW w:w="1012" w:type="pct"/>
                  <w:tcBorders>
                    <w:top w:val="single" w:color="auto" w:sz="4" w:space="0"/>
                    <w:bottom w:val="single" w:color="auto" w:sz="4" w:space="0"/>
                  </w:tcBorders>
                  <w:vAlign w:val="center"/>
                </w:tcPr>
                <w:p>
                  <w:pPr>
                    <w:jc w:val="center"/>
                    <w:rPr>
                      <w:szCs w:val="21"/>
                    </w:rPr>
                  </w:pPr>
                  <w:r>
                    <w:rPr>
                      <w:szCs w:val="21"/>
                    </w:rPr>
                    <w:t>109°3′47.148″</w:t>
                  </w:r>
                </w:p>
              </w:tc>
              <w:tc>
                <w:tcPr>
                  <w:tcW w:w="1079" w:type="pct"/>
                  <w:tcBorders>
                    <w:top w:val="single" w:color="auto" w:sz="4" w:space="0"/>
                    <w:bottom w:val="single" w:color="auto" w:sz="4" w:space="0"/>
                  </w:tcBorders>
                  <w:vAlign w:val="center"/>
                </w:tcPr>
                <w:p>
                  <w:pPr>
                    <w:jc w:val="center"/>
                    <w:rPr>
                      <w:szCs w:val="21"/>
                    </w:rPr>
                  </w:pPr>
                  <w:r>
                    <w:rPr>
                      <w:szCs w:val="21"/>
                    </w:rPr>
                    <w:t>40°48′46.537″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3</w:t>
                  </w:r>
                  <w:r>
                    <w:rPr>
                      <w:szCs w:val="21"/>
                    </w:rPr>
                    <w:t>3</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109°3′45.211″</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40°49′10.668″</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2</w:t>
                  </w:r>
                </w:p>
              </w:tc>
              <w:tc>
                <w:tcPr>
                  <w:tcW w:w="1012" w:type="pct"/>
                  <w:tcBorders>
                    <w:top w:val="single" w:color="auto" w:sz="4" w:space="0"/>
                    <w:bottom w:val="single" w:color="auto" w:sz="4" w:space="0"/>
                  </w:tcBorders>
                  <w:vAlign w:val="center"/>
                </w:tcPr>
                <w:p>
                  <w:pPr>
                    <w:jc w:val="center"/>
                    <w:rPr>
                      <w:szCs w:val="21"/>
                    </w:rPr>
                  </w:pPr>
                  <w:r>
                    <w:rPr>
                      <w:szCs w:val="21"/>
                    </w:rPr>
                    <w:t>109°3′50.816″</w:t>
                  </w:r>
                </w:p>
              </w:tc>
              <w:tc>
                <w:tcPr>
                  <w:tcW w:w="1079" w:type="pct"/>
                  <w:tcBorders>
                    <w:top w:val="single" w:color="auto" w:sz="4" w:space="0"/>
                    <w:bottom w:val="single" w:color="auto" w:sz="4" w:space="0"/>
                  </w:tcBorders>
                  <w:vAlign w:val="center"/>
                </w:tcPr>
                <w:p>
                  <w:pPr>
                    <w:jc w:val="center"/>
                    <w:rPr>
                      <w:szCs w:val="21"/>
                    </w:rPr>
                  </w:pPr>
                  <w:r>
                    <w:rPr>
                      <w:szCs w:val="21"/>
                    </w:rPr>
                    <w:t>40°48′46.503″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3</w:t>
                  </w:r>
                  <w:r>
                    <w:rPr>
                      <w:szCs w:val="21"/>
                    </w:rPr>
                    <w:t>4</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109°3′43.741″</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40°49′8.542″</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3</w:t>
                  </w:r>
                </w:p>
              </w:tc>
              <w:tc>
                <w:tcPr>
                  <w:tcW w:w="1012" w:type="pct"/>
                  <w:tcBorders>
                    <w:top w:val="single" w:color="auto" w:sz="4" w:space="0"/>
                    <w:bottom w:val="single" w:color="auto" w:sz="4" w:space="0"/>
                  </w:tcBorders>
                  <w:vAlign w:val="center"/>
                </w:tcPr>
                <w:p>
                  <w:pPr>
                    <w:jc w:val="center"/>
                    <w:rPr>
                      <w:szCs w:val="21"/>
                    </w:rPr>
                  </w:pPr>
                  <w:r>
                    <w:rPr>
                      <w:szCs w:val="21"/>
                    </w:rPr>
                    <w:t>109°3′50.719″</w:t>
                  </w:r>
                </w:p>
              </w:tc>
              <w:tc>
                <w:tcPr>
                  <w:tcW w:w="1079" w:type="pct"/>
                  <w:tcBorders>
                    <w:top w:val="single" w:color="auto" w:sz="4" w:space="0"/>
                    <w:bottom w:val="single" w:color="auto" w:sz="4" w:space="0"/>
                  </w:tcBorders>
                  <w:vAlign w:val="center"/>
                </w:tcPr>
                <w:p>
                  <w:pPr>
                    <w:jc w:val="center"/>
                    <w:rPr>
                      <w:szCs w:val="21"/>
                    </w:rPr>
                  </w:pPr>
                  <w:r>
                    <w:rPr>
                      <w:szCs w:val="21"/>
                    </w:rPr>
                    <w:t>40°48′40.431″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4" w:space="0"/>
                  </w:tcBorders>
                  <w:vAlign w:val="center"/>
                </w:tcPr>
                <w:p>
                  <w:pPr>
                    <w:jc w:val="center"/>
                    <w:rPr>
                      <w:szCs w:val="21"/>
                    </w:rPr>
                  </w:pPr>
                  <w:r>
                    <w:rPr>
                      <w:rFonts w:hint="eastAsia"/>
                      <w:szCs w:val="21"/>
                    </w:rPr>
                    <w:t>3</w:t>
                  </w:r>
                  <w:r>
                    <w:rPr>
                      <w:szCs w:val="21"/>
                    </w:rPr>
                    <w:t>5</w:t>
                  </w:r>
                </w:p>
              </w:tc>
              <w:tc>
                <w:tcPr>
                  <w:tcW w:w="1010" w:type="pct"/>
                  <w:tcBorders>
                    <w:top w:val="single" w:color="auto" w:sz="4" w:space="0"/>
                    <w:bottom w:val="single" w:color="auto" w:sz="4" w:space="0"/>
                  </w:tcBorders>
                  <w:shd w:val="clear" w:color="auto" w:fill="auto"/>
                  <w:vAlign w:val="center"/>
                </w:tcPr>
                <w:p>
                  <w:pPr>
                    <w:jc w:val="center"/>
                    <w:rPr>
                      <w:szCs w:val="21"/>
                    </w:rPr>
                  </w:pPr>
                  <w:r>
                    <w:rPr>
                      <w:szCs w:val="21"/>
                    </w:rPr>
                    <w:t>109°3′40.921″</w:t>
                  </w:r>
                </w:p>
              </w:tc>
              <w:tc>
                <w:tcPr>
                  <w:tcW w:w="933" w:type="pct"/>
                  <w:tcBorders>
                    <w:top w:val="single" w:color="auto" w:sz="4" w:space="0"/>
                    <w:bottom w:val="single" w:color="auto" w:sz="4" w:space="0"/>
                  </w:tcBorders>
                  <w:shd w:val="clear" w:color="auto" w:fill="auto"/>
                  <w:vAlign w:val="center"/>
                </w:tcPr>
                <w:p>
                  <w:pPr>
                    <w:jc w:val="center"/>
                    <w:rPr>
                      <w:szCs w:val="21"/>
                    </w:rPr>
                  </w:pPr>
                  <w:r>
                    <w:rPr>
                      <w:szCs w:val="21"/>
                    </w:rPr>
                    <w:t>40°49′6.948″</w:t>
                  </w:r>
                </w:p>
              </w:tc>
              <w:tc>
                <w:tcPr>
                  <w:tcW w:w="156" w:type="pct"/>
                  <w:vMerge w:val="continue"/>
                </w:tcPr>
                <w:p>
                  <w:pPr>
                    <w:jc w:val="center"/>
                    <w:rPr>
                      <w:szCs w:val="21"/>
                    </w:rPr>
                  </w:pPr>
                </w:p>
              </w:tc>
              <w:tc>
                <w:tcPr>
                  <w:tcW w:w="388" w:type="pct"/>
                  <w:tcBorders>
                    <w:top w:val="single" w:color="auto" w:sz="4" w:space="0"/>
                    <w:bottom w:val="single" w:color="auto" w:sz="4" w:space="0"/>
                  </w:tcBorders>
                </w:tcPr>
                <w:p>
                  <w:pPr>
                    <w:jc w:val="center"/>
                    <w:rPr>
                      <w:szCs w:val="21"/>
                    </w:rPr>
                  </w:pPr>
                  <w:r>
                    <w:rPr>
                      <w:rFonts w:hint="eastAsia"/>
                      <w:szCs w:val="21"/>
                    </w:rPr>
                    <w:t>4</w:t>
                  </w:r>
                </w:p>
              </w:tc>
              <w:tc>
                <w:tcPr>
                  <w:tcW w:w="1012" w:type="pct"/>
                  <w:tcBorders>
                    <w:top w:val="single" w:color="auto" w:sz="4" w:space="0"/>
                    <w:bottom w:val="single" w:color="auto" w:sz="4" w:space="0"/>
                  </w:tcBorders>
                  <w:vAlign w:val="center"/>
                </w:tcPr>
                <w:p>
                  <w:pPr>
                    <w:jc w:val="center"/>
                    <w:rPr>
                      <w:szCs w:val="21"/>
                    </w:rPr>
                  </w:pPr>
                  <w:r>
                    <w:rPr>
                      <w:szCs w:val="21"/>
                    </w:rPr>
                    <w:t>109°3′47.051″</w:t>
                  </w:r>
                </w:p>
              </w:tc>
              <w:tc>
                <w:tcPr>
                  <w:tcW w:w="1079" w:type="pct"/>
                  <w:tcBorders>
                    <w:top w:val="single" w:color="auto" w:sz="4" w:space="0"/>
                    <w:bottom w:val="single" w:color="auto" w:sz="4" w:space="0"/>
                  </w:tcBorders>
                  <w:vAlign w:val="center"/>
                </w:tcPr>
                <w:p>
                  <w:pPr>
                    <w:jc w:val="center"/>
                    <w:rPr>
                      <w:szCs w:val="21"/>
                    </w:rPr>
                  </w:pPr>
                  <w:r>
                    <w:rPr>
                      <w:szCs w:val="21"/>
                    </w:rPr>
                    <w:t>40°48′40.465″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op w:val="single" w:color="auto" w:sz="4" w:space="0"/>
                    <w:bottom w:val="single" w:color="auto" w:sz="12" w:space="0"/>
                  </w:tcBorders>
                  <w:vAlign w:val="center"/>
                </w:tcPr>
                <w:p>
                  <w:pPr>
                    <w:jc w:val="center"/>
                    <w:rPr>
                      <w:szCs w:val="21"/>
                    </w:rPr>
                  </w:pPr>
                  <w:r>
                    <w:rPr>
                      <w:rFonts w:hint="eastAsia"/>
                      <w:szCs w:val="21"/>
                    </w:rPr>
                    <w:t>3</w:t>
                  </w:r>
                  <w:r>
                    <w:rPr>
                      <w:szCs w:val="21"/>
                    </w:rPr>
                    <w:t>6</w:t>
                  </w:r>
                </w:p>
              </w:tc>
              <w:tc>
                <w:tcPr>
                  <w:tcW w:w="1010" w:type="pct"/>
                  <w:tcBorders>
                    <w:top w:val="single" w:color="auto" w:sz="4" w:space="0"/>
                    <w:bottom w:val="single" w:color="auto" w:sz="12" w:space="0"/>
                  </w:tcBorders>
                  <w:shd w:val="clear" w:color="auto" w:fill="auto"/>
                  <w:vAlign w:val="center"/>
                </w:tcPr>
                <w:p>
                  <w:pPr>
                    <w:jc w:val="center"/>
                    <w:rPr>
                      <w:szCs w:val="21"/>
                    </w:rPr>
                  </w:pPr>
                  <w:r>
                    <w:rPr>
                      <w:szCs w:val="21"/>
                    </w:rPr>
                    <w:t>109°3′37.841″</w:t>
                  </w:r>
                </w:p>
              </w:tc>
              <w:tc>
                <w:tcPr>
                  <w:tcW w:w="933" w:type="pct"/>
                  <w:tcBorders>
                    <w:top w:val="single" w:color="auto" w:sz="4" w:space="0"/>
                    <w:bottom w:val="single" w:color="auto" w:sz="12" w:space="0"/>
                  </w:tcBorders>
                  <w:shd w:val="clear" w:color="auto" w:fill="auto"/>
                  <w:vAlign w:val="center"/>
                </w:tcPr>
                <w:p>
                  <w:pPr>
                    <w:jc w:val="center"/>
                    <w:rPr>
                      <w:szCs w:val="21"/>
                    </w:rPr>
                  </w:pPr>
                  <w:r>
                    <w:rPr>
                      <w:szCs w:val="21"/>
                    </w:rPr>
                    <w:t>40°49′6.064″</w:t>
                  </w:r>
                </w:p>
              </w:tc>
              <w:tc>
                <w:tcPr>
                  <w:tcW w:w="156" w:type="pct"/>
                  <w:vMerge w:val="continue"/>
                  <w:tcBorders>
                    <w:bottom w:val="single" w:color="auto" w:sz="12" w:space="0"/>
                  </w:tcBorders>
                </w:tcPr>
                <w:p>
                  <w:pPr>
                    <w:jc w:val="center"/>
                    <w:rPr>
                      <w:szCs w:val="21"/>
                    </w:rPr>
                  </w:pPr>
                </w:p>
              </w:tc>
              <w:tc>
                <w:tcPr>
                  <w:tcW w:w="388" w:type="pct"/>
                  <w:tcBorders>
                    <w:top w:val="single" w:color="auto" w:sz="4" w:space="0"/>
                    <w:bottom w:val="single" w:color="auto" w:sz="12" w:space="0"/>
                  </w:tcBorders>
                </w:tcPr>
                <w:p>
                  <w:pPr>
                    <w:jc w:val="center"/>
                    <w:rPr>
                      <w:szCs w:val="21"/>
                    </w:rPr>
                  </w:pPr>
                </w:p>
              </w:tc>
              <w:tc>
                <w:tcPr>
                  <w:tcW w:w="1012" w:type="pct"/>
                  <w:tcBorders>
                    <w:top w:val="single" w:color="auto" w:sz="4" w:space="0"/>
                    <w:bottom w:val="single" w:color="auto" w:sz="12" w:space="0"/>
                  </w:tcBorders>
                </w:tcPr>
                <w:p>
                  <w:pPr>
                    <w:jc w:val="center"/>
                    <w:rPr>
                      <w:szCs w:val="21"/>
                    </w:rPr>
                  </w:pPr>
                </w:p>
              </w:tc>
              <w:tc>
                <w:tcPr>
                  <w:tcW w:w="1079" w:type="pct"/>
                  <w:tcBorders>
                    <w:top w:val="single" w:color="auto" w:sz="4" w:space="0"/>
                    <w:bottom w:val="single" w:color="auto" w:sz="12" w:space="0"/>
                  </w:tcBorders>
                </w:tcPr>
                <w:p>
                  <w:pPr>
                    <w:jc w:val="center"/>
                    <w:rPr>
                      <w:szCs w:val="21"/>
                    </w:rPr>
                  </w:pPr>
                </w:p>
              </w:tc>
            </w:tr>
          </w:tbl>
          <w:p>
            <w:pPr>
              <w:pStyle w:val="46"/>
              <w:ind w:firstLine="480"/>
              <w:rPr>
                <w:rFonts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1012" w:hRule="atLeast"/>
          <w:jc w:val="center"/>
        </w:trPr>
        <w:tc>
          <w:tcPr>
            <w:tcW w:w="466" w:type="dxa"/>
            <w:vAlign w:val="center"/>
          </w:tcPr>
          <w:p>
            <w:pPr>
              <w:adjustRightInd w:val="0"/>
              <w:snapToGrid w:val="0"/>
              <w:jc w:val="center"/>
              <w:rPr>
                <w:kern w:val="0"/>
                <w:sz w:val="24"/>
              </w:rPr>
            </w:pPr>
            <w:r>
              <w:rPr>
                <w:kern w:val="0"/>
                <w:sz w:val="24"/>
              </w:rPr>
              <w:t>项目组成及规模</w:t>
            </w:r>
          </w:p>
        </w:tc>
        <w:tc>
          <w:tcPr>
            <w:tcW w:w="8455" w:type="dxa"/>
          </w:tcPr>
          <w:p>
            <w:pPr>
              <w:pStyle w:val="44"/>
              <w:spacing w:before="120"/>
              <w:jc w:val="left"/>
              <w:rPr>
                <w:rFonts w:cs="Times New Roman"/>
                <w:color w:val="auto"/>
              </w:rPr>
            </w:pPr>
            <w:r>
              <w:rPr>
                <w:rFonts w:cs="Times New Roman"/>
                <w:color w:val="auto"/>
              </w:rPr>
              <w:t>1、工程内容及规模</w:t>
            </w:r>
          </w:p>
          <w:p>
            <w:pPr>
              <w:pStyle w:val="46"/>
              <w:ind w:firstLine="480"/>
              <w:jc w:val="left"/>
              <w:rPr>
                <w:rFonts w:cs="Times New Roman"/>
              </w:rPr>
            </w:pPr>
            <w:r>
              <w:rPr>
                <w:rFonts w:hint="eastAsia" w:cs="Times New Roman"/>
              </w:rPr>
              <w:t>本工程为巴彦淖尔100万千瓦光储+生态治理项目乌拉特前旗15万千瓦子项目，建设容量</w:t>
            </w:r>
            <w:r>
              <w:rPr>
                <w:rFonts w:cs="Times New Roman"/>
              </w:rPr>
              <w:t>1</w:t>
            </w:r>
            <w:r>
              <w:rPr>
                <w:rFonts w:hint="eastAsia" w:cs="Times New Roman"/>
              </w:rPr>
              <w:t>50MW，同步配置</w:t>
            </w:r>
            <w:r>
              <w:rPr>
                <w:rFonts w:cs="Times New Roman"/>
              </w:rPr>
              <w:t>22.5MW/45MWh</w:t>
            </w:r>
            <w:r>
              <w:rPr>
                <w:rFonts w:hint="eastAsia" w:cs="Times New Roman"/>
              </w:rPr>
              <w:t>储能装置。</w:t>
            </w:r>
          </w:p>
          <w:p>
            <w:pPr>
              <w:pStyle w:val="46"/>
              <w:ind w:firstLine="480"/>
              <w:jc w:val="left"/>
              <w:rPr>
                <w:rFonts w:cs="Times New Roman"/>
              </w:rPr>
            </w:pPr>
            <w:r>
              <w:rPr>
                <w:rFonts w:hint="eastAsia" w:cs="Times New Roman"/>
              </w:rPr>
              <w:t>本期新建</w:t>
            </w:r>
            <w:r>
              <w:rPr>
                <w:rFonts w:cs="Times New Roman"/>
              </w:rPr>
              <w:t>1</w:t>
            </w:r>
            <w:r>
              <w:rPr>
                <w:rFonts w:hint="eastAsia" w:cs="Times New Roman"/>
              </w:rPr>
              <w:t>座220kV升压站，光伏和储能容量接入升压站35kV侧。</w:t>
            </w:r>
          </w:p>
          <w:p>
            <w:pPr>
              <w:pStyle w:val="46"/>
              <w:ind w:firstLine="480"/>
              <w:jc w:val="left"/>
              <w:rPr>
                <w:rFonts w:cs="Times New Roman"/>
              </w:rPr>
            </w:pPr>
            <w:r>
              <w:rPr>
                <w:rFonts w:cs="Times New Roman"/>
              </w:rPr>
              <w:t>生态治理工程：包括地块</w:t>
            </w:r>
            <w:r>
              <w:rPr>
                <w:rFonts w:hint="eastAsia" w:cs="Times New Roman"/>
              </w:rPr>
              <w:t>1、地块2、部分地块3覆土、利用有机肥、氮肥、磷肥进行土壤改良，平坦地块人工撒播草种，地块2排土场坡面人工撒播灌木种子，浇灌、养护。</w:t>
            </w:r>
          </w:p>
          <w:p>
            <w:pPr>
              <w:pStyle w:val="46"/>
              <w:ind w:firstLine="480"/>
              <w:jc w:val="left"/>
              <w:rPr>
                <w:rFonts w:cs="Times New Roman"/>
              </w:rPr>
            </w:pPr>
            <w:r>
              <w:rPr>
                <w:rFonts w:cs="Times New Roman"/>
              </w:rPr>
              <w:t>项目组成一览表见表2.1。</w:t>
            </w:r>
          </w:p>
          <w:p>
            <w:pPr>
              <w:pStyle w:val="22"/>
              <w:spacing w:before="240" w:after="120"/>
            </w:pPr>
            <w:r>
              <w:t>表2.2                       项目基本组成一览表</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13" w:type="dxa"/>
                <w:left w:w="108" w:type="dxa"/>
                <w:bottom w:w="113" w:type="dxa"/>
                <w:right w:w="108" w:type="dxa"/>
              </w:tblCellMar>
            </w:tblPr>
            <w:tblGrid>
              <w:gridCol w:w="596"/>
              <w:gridCol w:w="869"/>
              <w:gridCol w:w="690"/>
              <w:gridCol w:w="60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455" w:hRule="atLeast"/>
              </w:trPr>
              <w:tc>
                <w:tcPr>
                  <w:tcW w:w="363" w:type="pct"/>
                  <w:vAlign w:val="center"/>
                </w:tcPr>
                <w:p>
                  <w:pPr>
                    <w:autoSpaceDE w:val="0"/>
                    <w:autoSpaceDN w:val="0"/>
                    <w:adjustRightInd w:val="0"/>
                    <w:jc w:val="left"/>
                    <w:rPr>
                      <w:b/>
                      <w:kern w:val="0"/>
                      <w:szCs w:val="21"/>
                    </w:rPr>
                  </w:pPr>
                  <w:r>
                    <w:rPr>
                      <w:b/>
                      <w:kern w:val="0"/>
                      <w:szCs w:val="21"/>
                    </w:rPr>
                    <w:t>项目</w:t>
                  </w:r>
                </w:p>
              </w:tc>
              <w:tc>
                <w:tcPr>
                  <w:tcW w:w="530" w:type="pct"/>
                  <w:vAlign w:val="center"/>
                </w:tcPr>
                <w:p>
                  <w:pPr>
                    <w:autoSpaceDE w:val="0"/>
                    <w:autoSpaceDN w:val="0"/>
                    <w:adjustRightInd w:val="0"/>
                    <w:jc w:val="left"/>
                    <w:rPr>
                      <w:b/>
                      <w:kern w:val="0"/>
                      <w:szCs w:val="21"/>
                    </w:rPr>
                  </w:pPr>
                  <w:r>
                    <w:rPr>
                      <w:b/>
                      <w:kern w:val="0"/>
                      <w:szCs w:val="21"/>
                    </w:rPr>
                    <w:t>名称</w:t>
                  </w:r>
                </w:p>
              </w:tc>
              <w:tc>
                <w:tcPr>
                  <w:tcW w:w="4107" w:type="pct"/>
                  <w:gridSpan w:val="2"/>
                  <w:vAlign w:val="center"/>
                </w:tcPr>
                <w:p>
                  <w:pPr>
                    <w:autoSpaceDE w:val="0"/>
                    <w:autoSpaceDN w:val="0"/>
                    <w:adjustRightInd w:val="0"/>
                    <w:jc w:val="left"/>
                    <w:rPr>
                      <w:b/>
                      <w:kern w:val="0"/>
                      <w:szCs w:val="21"/>
                    </w:rPr>
                  </w:pPr>
                  <w:r>
                    <w:rPr>
                      <w:b/>
                      <w:kern w:val="0"/>
                      <w:szCs w:val="21"/>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689" w:hRule="atLeast"/>
              </w:trPr>
              <w:tc>
                <w:tcPr>
                  <w:tcW w:w="363" w:type="pct"/>
                  <w:vMerge w:val="restart"/>
                  <w:vAlign w:val="center"/>
                </w:tcPr>
                <w:p>
                  <w:pPr>
                    <w:autoSpaceDE w:val="0"/>
                    <w:autoSpaceDN w:val="0"/>
                    <w:adjustRightInd w:val="0"/>
                    <w:jc w:val="left"/>
                    <w:rPr>
                      <w:kern w:val="0"/>
                      <w:szCs w:val="21"/>
                    </w:rPr>
                  </w:pPr>
                  <w:r>
                    <w:rPr>
                      <w:kern w:val="0"/>
                      <w:szCs w:val="21"/>
                    </w:rPr>
                    <w:t>主体工程</w:t>
                  </w:r>
                </w:p>
              </w:tc>
              <w:tc>
                <w:tcPr>
                  <w:tcW w:w="530" w:type="pct"/>
                  <w:vAlign w:val="center"/>
                </w:tcPr>
                <w:p>
                  <w:pPr>
                    <w:autoSpaceDE w:val="0"/>
                    <w:autoSpaceDN w:val="0"/>
                    <w:adjustRightInd w:val="0"/>
                    <w:jc w:val="left"/>
                    <w:rPr>
                      <w:kern w:val="0"/>
                      <w:szCs w:val="21"/>
                    </w:rPr>
                  </w:pPr>
                  <w:r>
                    <w:rPr>
                      <w:rFonts w:hint="eastAsia"/>
                      <w:kern w:val="0"/>
                      <w:szCs w:val="21"/>
                    </w:rPr>
                    <w:t>光伏发电单元</w:t>
                  </w:r>
                </w:p>
              </w:tc>
              <w:tc>
                <w:tcPr>
                  <w:tcW w:w="4107" w:type="pct"/>
                  <w:gridSpan w:val="2"/>
                  <w:vAlign w:val="center"/>
                </w:tcPr>
                <w:p>
                  <w:pPr>
                    <w:pStyle w:val="53"/>
                    <w:ind w:firstLine="420"/>
                    <w:jc w:val="left"/>
                  </w:pPr>
                  <w:r>
                    <w:rPr>
                      <w:rFonts w:hint="eastAsia"/>
                    </w:rPr>
                    <w:t>本工项目共设</w:t>
                  </w:r>
                  <w:r>
                    <w:t>35</w:t>
                  </w:r>
                  <w:r>
                    <w:rPr>
                      <w:rFonts w:hint="eastAsia"/>
                    </w:rPr>
                    <w:t>个分区，直流侧总装机容量为</w:t>
                  </w:r>
                  <w:r>
                    <w:t>186.7008</w:t>
                  </w:r>
                  <w:r>
                    <w:rPr>
                      <w:rFonts w:hint="eastAsia"/>
                    </w:rPr>
                    <w:t>MW，共安装550Wp单晶硅光伏组件</w:t>
                  </w:r>
                  <w:r>
                    <w:rPr>
                      <w:rFonts w:hint="eastAsia"/>
                      <w:szCs w:val="22"/>
                    </w:rPr>
                    <w:t>339456</w:t>
                  </w:r>
                  <w:r>
                    <w:rPr>
                      <w:rFonts w:hint="eastAsia"/>
                    </w:rPr>
                    <w:t>块。地块1布置1个3.3MW子阵、1个4.4MW子阵；地块2布置1个1.1MW子阵；地块3布置3个4.4MW子阵；地块4、5与地块6相邻，三部分共计布置29个4.4MW子阵。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614"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箱变</w:t>
                  </w:r>
                </w:p>
              </w:tc>
              <w:tc>
                <w:tcPr>
                  <w:tcW w:w="4107" w:type="pct"/>
                  <w:gridSpan w:val="2"/>
                  <w:vAlign w:val="center"/>
                </w:tcPr>
                <w:p>
                  <w:pPr>
                    <w:pStyle w:val="53"/>
                    <w:ind w:firstLine="420"/>
                    <w:jc w:val="left"/>
                    <w:rPr>
                      <w:rFonts w:cs="Times New Roman"/>
                    </w:rPr>
                  </w:pPr>
                  <w:r>
                    <w:rPr>
                      <w:rFonts w:hint="eastAsia" w:cs="Times New Roman"/>
                    </w:rPr>
                    <w:t>150MWp的光伏阵列分为33个5.4912MWp的光伏方阵、1个4.1184MWp的光伏方阵、1个1.3728 MWp的光伏方阵，每5.4912MWp的并网发电单元配置一台4400kVA箱变-逆变器一体机；每4.1184MWp的并网发电单元配置一台3300kVA箱变-逆变器一体机；每1.3728MWp的并网发电单元的配置一台1100kVA箱变-逆变器一体机。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183"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rFonts w:hint="eastAsia"/>
                      <w:kern w:val="0"/>
                      <w:szCs w:val="21"/>
                    </w:rPr>
                    <w:t>逆变器</w:t>
                  </w:r>
                </w:p>
              </w:tc>
              <w:tc>
                <w:tcPr>
                  <w:tcW w:w="4107" w:type="pct"/>
                  <w:gridSpan w:val="2"/>
                  <w:vAlign w:val="center"/>
                </w:tcPr>
                <w:p>
                  <w:pPr>
                    <w:pStyle w:val="53"/>
                    <w:ind w:firstLine="420"/>
                    <w:jc w:val="left"/>
                  </w:pPr>
                  <w:r>
                    <w:rPr>
                      <w:rFonts w:hint="eastAsia"/>
                    </w:rPr>
                    <w:t>每5.4912MWp的并网发电单元的光伏组件都通过直流汇流装置分别接至4台1100kW的逆变器。每4.1184MWp的并网发电单元的光伏组件都通过直流汇流装置分别接至3台1100kW的逆变器。每1.3728MWp的并网发电单元的光伏组件都通过直流汇流装置分别接至1台1100kW的逆变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419"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升压站</w:t>
                  </w:r>
                </w:p>
              </w:tc>
              <w:tc>
                <w:tcPr>
                  <w:tcW w:w="4107" w:type="pct"/>
                  <w:gridSpan w:val="2"/>
                  <w:vAlign w:val="center"/>
                </w:tcPr>
                <w:p>
                  <w:pPr>
                    <w:pStyle w:val="53"/>
                    <w:ind w:firstLine="420"/>
                    <w:jc w:val="left"/>
                    <w:rPr>
                      <w:rFonts w:cs="Times New Roman"/>
                    </w:rPr>
                  </w:pPr>
                  <w:r>
                    <w:rPr>
                      <w:rFonts w:hint="eastAsia" w:cs="Times New Roman"/>
                    </w:rPr>
                    <w:t>升压站建设1台180MVA主变压器（含储能容量），设220kV、35kV两级电压，220kV规划出线1回， 35kV规划出线8回，本期一次建成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354"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集电</w:t>
                  </w:r>
                </w:p>
                <w:p>
                  <w:pPr>
                    <w:autoSpaceDE w:val="0"/>
                    <w:autoSpaceDN w:val="0"/>
                    <w:adjustRightInd w:val="0"/>
                    <w:jc w:val="left"/>
                    <w:rPr>
                      <w:kern w:val="0"/>
                      <w:szCs w:val="21"/>
                    </w:rPr>
                  </w:pPr>
                  <w:r>
                    <w:rPr>
                      <w:kern w:val="0"/>
                      <w:szCs w:val="21"/>
                    </w:rPr>
                    <w:t>线路</w:t>
                  </w:r>
                </w:p>
              </w:tc>
              <w:tc>
                <w:tcPr>
                  <w:tcW w:w="4107" w:type="pct"/>
                  <w:gridSpan w:val="2"/>
                  <w:vAlign w:val="center"/>
                </w:tcPr>
                <w:p>
                  <w:pPr>
                    <w:pStyle w:val="53"/>
                    <w:ind w:firstLine="420"/>
                    <w:jc w:val="left"/>
                  </w:pPr>
                  <w:r>
                    <w:rPr>
                      <w:rFonts w:hint="eastAsia"/>
                    </w:rPr>
                    <w:t>光伏场区35kV集电线路采用电缆直埋敷设的方案。35kV箱式变压器经8回集电线路连接后分别接入光伏区升压站35kV母线，35kV集电线路采用电缆直埋敷设方案。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584"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储能</w:t>
                  </w:r>
                </w:p>
                <w:p>
                  <w:pPr>
                    <w:autoSpaceDE w:val="0"/>
                    <w:autoSpaceDN w:val="0"/>
                    <w:adjustRightInd w:val="0"/>
                    <w:jc w:val="left"/>
                    <w:rPr>
                      <w:kern w:val="0"/>
                      <w:szCs w:val="21"/>
                    </w:rPr>
                  </w:pPr>
                  <w:r>
                    <w:rPr>
                      <w:kern w:val="0"/>
                      <w:szCs w:val="21"/>
                    </w:rPr>
                    <w:t>系统</w:t>
                  </w:r>
                </w:p>
              </w:tc>
              <w:tc>
                <w:tcPr>
                  <w:tcW w:w="4107" w:type="pct"/>
                  <w:gridSpan w:val="2"/>
                  <w:vAlign w:val="center"/>
                </w:tcPr>
                <w:p>
                  <w:pPr>
                    <w:pStyle w:val="53"/>
                    <w:ind w:firstLine="420"/>
                    <w:jc w:val="left"/>
                  </w:pPr>
                  <w:r>
                    <w:rPr>
                      <w:rFonts w:hint="eastAsia"/>
                    </w:rPr>
                    <w:t>采用磷酸铁锂电化学储能，容量为22.5MW/45MWh，储能系统由蓄电池、电池控制柜、电池供电柜、储能变流器、升压变压器等设备，以及电池管理系统、能量管理系统、就地控制系统等组成。布置于升压站北侧。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812" w:hRule="atLeast"/>
              </w:trPr>
              <w:tc>
                <w:tcPr>
                  <w:tcW w:w="363" w:type="pct"/>
                  <w:vMerge w:val="restart"/>
                  <w:vAlign w:val="center"/>
                </w:tcPr>
                <w:p>
                  <w:pPr>
                    <w:jc w:val="left"/>
                    <w:rPr>
                      <w:kern w:val="0"/>
                      <w:szCs w:val="21"/>
                    </w:rPr>
                  </w:pPr>
                  <w:r>
                    <w:rPr>
                      <w:kern w:val="0"/>
                      <w:szCs w:val="21"/>
                    </w:rPr>
                    <w:t>辅助工程</w:t>
                  </w:r>
                </w:p>
              </w:tc>
              <w:tc>
                <w:tcPr>
                  <w:tcW w:w="530" w:type="pct"/>
                  <w:vAlign w:val="center"/>
                </w:tcPr>
                <w:p>
                  <w:pPr>
                    <w:autoSpaceDE w:val="0"/>
                    <w:autoSpaceDN w:val="0"/>
                    <w:adjustRightInd w:val="0"/>
                    <w:jc w:val="left"/>
                    <w:rPr>
                      <w:kern w:val="0"/>
                      <w:szCs w:val="21"/>
                    </w:rPr>
                  </w:pPr>
                  <w:r>
                    <w:rPr>
                      <w:kern w:val="0"/>
                      <w:szCs w:val="21"/>
                    </w:rPr>
                    <w:t>办公生活区</w:t>
                  </w:r>
                </w:p>
              </w:tc>
              <w:tc>
                <w:tcPr>
                  <w:tcW w:w="4107" w:type="pct"/>
                  <w:gridSpan w:val="2"/>
                  <w:vAlign w:val="center"/>
                </w:tcPr>
                <w:p>
                  <w:pPr>
                    <w:pStyle w:val="53"/>
                    <w:ind w:firstLine="420"/>
                    <w:jc w:val="left"/>
                  </w:pPr>
                  <w:r>
                    <w:t>站内设有</w:t>
                  </w:r>
                  <w:r>
                    <w:rPr>
                      <w:rFonts w:hint="eastAsia"/>
                    </w:rPr>
                    <w:t>综合楼和附属用房，布置在站区南侧，综合楼内设值班室、休息间、配电间、活动室、餐厅等，附属用房为车库、备品库，最外边为危废暂存间。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812"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进</w:t>
                  </w:r>
                  <w:r>
                    <w:rPr>
                      <w:rFonts w:hint="eastAsia"/>
                      <w:kern w:val="0"/>
                      <w:szCs w:val="21"/>
                    </w:rPr>
                    <w:t>站</w:t>
                  </w:r>
                </w:p>
                <w:p>
                  <w:pPr>
                    <w:autoSpaceDE w:val="0"/>
                    <w:autoSpaceDN w:val="0"/>
                    <w:adjustRightInd w:val="0"/>
                    <w:jc w:val="left"/>
                    <w:rPr>
                      <w:kern w:val="0"/>
                      <w:szCs w:val="21"/>
                    </w:rPr>
                  </w:pPr>
                  <w:r>
                    <w:rPr>
                      <w:rFonts w:hint="eastAsia"/>
                      <w:kern w:val="0"/>
                      <w:szCs w:val="21"/>
                    </w:rPr>
                    <w:t>道路</w:t>
                  </w:r>
                </w:p>
              </w:tc>
              <w:tc>
                <w:tcPr>
                  <w:tcW w:w="4107" w:type="pct"/>
                  <w:gridSpan w:val="2"/>
                  <w:vAlign w:val="center"/>
                </w:tcPr>
                <w:p>
                  <w:pPr>
                    <w:pStyle w:val="53"/>
                    <w:ind w:firstLine="420"/>
                    <w:jc w:val="left"/>
                  </w:pPr>
                  <w:r>
                    <w:rPr>
                      <w:rFonts w:hint="eastAsia"/>
                    </w:rPr>
                    <w:t>光伏区进站道路充分利用现有道路，升压站进站道路采用4.5m宽郊区型水泥混凝土路面，由南侧沙公线引接，进站道路长4</w:t>
                  </w:r>
                  <w:r>
                    <w:t>44m。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884"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施工及检修道路</w:t>
                  </w:r>
                </w:p>
              </w:tc>
              <w:tc>
                <w:tcPr>
                  <w:tcW w:w="4107" w:type="pct"/>
                  <w:gridSpan w:val="2"/>
                  <w:vAlign w:val="center"/>
                </w:tcPr>
                <w:p>
                  <w:pPr>
                    <w:pStyle w:val="53"/>
                    <w:ind w:firstLine="420"/>
                    <w:jc w:val="left"/>
                  </w:pPr>
                  <w:r>
                    <w:rPr>
                      <w:rFonts w:hint="eastAsia"/>
                    </w:rPr>
                    <w:t>光伏区内设置检修道路，检修道路采用泥结碎石道路，与箱变相连。光伏区内道路总长度约</w:t>
                  </w:r>
                  <w:r>
                    <w:t>10.8</w:t>
                  </w:r>
                  <w:r>
                    <w:rPr>
                      <w:rFonts w:hint="eastAsia"/>
                    </w:rPr>
                    <w:t>km，路基宽4.</w:t>
                  </w:r>
                  <w:r>
                    <w:t>5</w:t>
                  </w:r>
                  <w:r>
                    <w:rPr>
                      <w:rFonts w:hint="eastAsia"/>
                    </w:rPr>
                    <w:t>m，采用级配碎石路面。施工道路与检修道路永临结合，道路宽度6-10m，满足大件运输转弯半径要求，施工结束后留检修道路，恢复检修道路两侧植被</w:t>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573"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挡洪墙</w:t>
                  </w:r>
                </w:p>
              </w:tc>
              <w:tc>
                <w:tcPr>
                  <w:tcW w:w="4107" w:type="pct"/>
                  <w:gridSpan w:val="2"/>
                  <w:vAlign w:val="center"/>
                </w:tcPr>
                <w:p>
                  <w:pPr>
                    <w:pStyle w:val="53"/>
                    <w:ind w:firstLine="420"/>
                    <w:jc w:val="left"/>
                  </w:pPr>
                  <w:r>
                    <w:rPr>
                      <w:rFonts w:hint="eastAsia"/>
                    </w:rPr>
                    <w:t>光伏场地块3北侧为季节性河流达拉盖沟，为保证光伏场区不受河流洪水期影响，在地块3北侧沿河道设置2</w:t>
                  </w:r>
                  <w:r>
                    <w:t>40m长挡洪墙。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333" w:hRule="atLeast"/>
              </w:trPr>
              <w:tc>
                <w:tcPr>
                  <w:tcW w:w="363" w:type="pct"/>
                  <w:vMerge w:val="restart"/>
                  <w:vAlign w:val="center"/>
                </w:tcPr>
                <w:p>
                  <w:pPr>
                    <w:autoSpaceDE w:val="0"/>
                    <w:autoSpaceDN w:val="0"/>
                    <w:adjustRightInd w:val="0"/>
                    <w:jc w:val="left"/>
                    <w:rPr>
                      <w:kern w:val="0"/>
                      <w:szCs w:val="21"/>
                    </w:rPr>
                  </w:pPr>
                  <w:r>
                    <w:rPr>
                      <w:kern w:val="0"/>
                      <w:szCs w:val="21"/>
                    </w:rPr>
                    <w:t>公用工程</w:t>
                  </w:r>
                </w:p>
              </w:tc>
              <w:tc>
                <w:tcPr>
                  <w:tcW w:w="530" w:type="pct"/>
                  <w:vAlign w:val="center"/>
                </w:tcPr>
                <w:p>
                  <w:pPr>
                    <w:autoSpaceDE w:val="0"/>
                    <w:autoSpaceDN w:val="0"/>
                    <w:adjustRightInd w:val="0"/>
                    <w:jc w:val="left"/>
                    <w:rPr>
                      <w:kern w:val="0"/>
                      <w:szCs w:val="21"/>
                    </w:rPr>
                  </w:pPr>
                  <w:r>
                    <w:rPr>
                      <w:kern w:val="0"/>
                      <w:szCs w:val="21"/>
                    </w:rPr>
                    <w:t>供水</w:t>
                  </w:r>
                </w:p>
              </w:tc>
              <w:tc>
                <w:tcPr>
                  <w:tcW w:w="4107" w:type="pct"/>
                  <w:gridSpan w:val="2"/>
                  <w:vAlign w:val="center"/>
                </w:tcPr>
                <w:p>
                  <w:pPr>
                    <w:pStyle w:val="53"/>
                    <w:ind w:firstLine="420"/>
                    <w:jc w:val="left"/>
                  </w:pPr>
                  <w:r>
                    <w:rPr>
                      <w:rFonts w:hint="eastAsia"/>
                    </w:rPr>
                    <w:t>水源采用市政供水管网供升压站用水。太阳能光伏板采用水车冲洗，冲洗水源为自来水，冬季为防冻采用干擦。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386" w:hRule="atLeast"/>
              </w:trPr>
              <w:tc>
                <w:tcPr>
                  <w:tcW w:w="363" w:type="pct"/>
                  <w:vMerge w:val="continue"/>
                  <w:vAlign w:val="center"/>
                </w:tcPr>
                <w:p>
                  <w:pPr>
                    <w:widowControl/>
                    <w:jc w:val="left"/>
                    <w:rPr>
                      <w:kern w:val="0"/>
                      <w:szCs w:val="21"/>
                    </w:rPr>
                  </w:pPr>
                </w:p>
              </w:tc>
              <w:tc>
                <w:tcPr>
                  <w:tcW w:w="530" w:type="pct"/>
                  <w:vAlign w:val="center"/>
                </w:tcPr>
                <w:p>
                  <w:pPr>
                    <w:widowControl/>
                    <w:jc w:val="left"/>
                    <w:rPr>
                      <w:kern w:val="0"/>
                      <w:szCs w:val="21"/>
                    </w:rPr>
                  </w:pPr>
                  <w:r>
                    <w:rPr>
                      <w:kern w:val="0"/>
                      <w:szCs w:val="21"/>
                    </w:rPr>
                    <w:t>供暖</w:t>
                  </w:r>
                </w:p>
              </w:tc>
              <w:tc>
                <w:tcPr>
                  <w:tcW w:w="4107" w:type="pct"/>
                  <w:gridSpan w:val="2"/>
                  <w:vAlign w:val="center"/>
                </w:tcPr>
                <w:p>
                  <w:pPr>
                    <w:pStyle w:val="53"/>
                    <w:ind w:firstLine="420"/>
                    <w:jc w:val="left"/>
                  </w:pPr>
                  <w:r>
                    <w:t>冬季升压站内采暖使</w:t>
                  </w:r>
                  <w:r>
                    <w:rPr>
                      <w:rFonts w:hint="eastAsia"/>
                    </w:rPr>
                    <w:t>用辐射式电暖器采暖，设置就地温控系统</w:t>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697" w:hRule="atLeast"/>
              </w:trPr>
              <w:tc>
                <w:tcPr>
                  <w:tcW w:w="363" w:type="pct"/>
                  <w:vMerge w:val="restart"/>
                  <w:vAlign w:val="center"/>
                </w:tcPr>
                <w:p>
                  <w:pPr>
                    <w:autoSpaceDE w:val="0"/>
                    <w:autoSpaceDN w:val="0"/>
                    <w:adjustRightInd w:val="0"/>
                    <w:jc w:val="left"/>
                    <w:rPr>
                      <w:kern w:val="0"/>
                      <w:szCs w:val="21"/>
                    </w:rPr>
                  </w:pPr>
                  <w:r>
                    <w:rPr>
                      <w:kern w:val="0"/>
                      <w:szCs w:val="21"/>
                    </w:rPr>
                    <w:t>环保工程</w:t>
                  </w:r>
                </w:p>
              </w:tc>
              <w:tc>
                <w:tcPr>
                  <w:tcW w:w="530" w:type="pct"/>
                  <w:vMerge w:val="restart"/>
                  <w:vAlign w:val="center"/>
                </w:tcPr>
                <w:p>
                  <w:pPr>
                    <w:autoSpaceDE w:val="0"/>
                    <w:autoSpaceDN w:val="0"/>
                    <w:adjustRightInd w:val="0"/>
                    <w:jc w:val="left"/>
                    <w:rPr>
                      <w:kern w:val="0"/>
                      <w:szCs w:val="21"/>
                    </w:rPr>
                  </w:pPr>
                  <w:r>
                    <w:rPr>
                      <w:kern w:val="0"/>
                      <w:szCs w:val="21"/>
                    </w:rPr>
                    <w:t>固废</w:t>
                  </w:r>
                </w:p>
              </w:tc>
              <w:tc>
                <w:tcPr>
                  <w:tcW w:w="421" w:type="pct"/>
                  <w:vAlign w:val="center"/>
                </w:tcPr>
                <w:p>
                  <w:pPr>
                    <w:autoSpaceDE w:val="0"/>
                    <w:autoSpaceDN w:val="0"/>
                    <w:adjustRightInd w:val="0"/>
                    <w:jc w:val="left"/>
                    <w:rPr>
                      <w:kern w:val="0"/>
                      <w:szCs w:val="21"/>
                    </w:rPr>
                  </w:pPr>
                  <w:r>
                    <w:rPr>
                      <w:kern w:val="0"/>
                      <w:szCs w:val="21"/>
                    </w:rPr>
                    <w:t>生活垃圾</w:t>
                  </w:r>
                </w:p>
              </w:tc>
              <w:tc>
                <w:tcPr>
                  <w:tcW w:w="3686" w:type="pct"/>
                  <w:vAlign w:val="center"/>
                </w:tcPr>
                <w:p>
                  <w:pPr>
                    <w:pStyle w:val="53"/>
                    <w:ind w:firstLine="420"/>
                    <w:jc w:val="left"/>
                  </w:pPr>
                  <w:r>
                    <w:t>升压站</w:t>
                  </w:r>
                  <w:r>
                    <w:rPr>
                      <w:rFonts w:hint="eastAsia"/>
                    </w:rPr>
                    <w:t>内</w:t>
                  </w:r>
                  <w:r>
                    <w:t>设置</w:t>
                  </w:r>
                  <w:r>
                    <w:rPr>
                      <w:rFonts w:hint="eastAsia"/>
                    </w:rPr>
                    <w:t>垃圾箱</w:t>
                  </w:r>
                  <w:r>
                    <w:t>，生活垃圾集中收集后，由当地环卫部门定期统一回收处理。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697" w:hRule="atLeast"/>
              </w:trPr>
              <w:tc>
                <w:tcPr>
                  <w:tcW w:w="363" w:type="pct"/>
                  <w:vMerge w:val="continue"/>
                  <w:vAlign w:val="center"/>
                </w:tcPr>
                <w:p>
                  <w:pPr>
                    <w:autoSpaceDE w:val="0"/>
                    <w:autoSpaceDN w:val="0"/>
                    <w:adjustRightInd w:val="0"/>
                    <w:jc w:val="left"/>
                    <w:rPr>
                      <w:kern w:val="0"/>
                      <w:szCs w:val="21"/>
                    </w:rPr>
                  </w:pPr>
                </w:p>
              </w:tc>
              <w:tc>
                <w:tcPr>
                  <w:tcW w:w="530" w:type="pct"/>
                  <w:vMerge w:val="continue"/>
                  <w:vAlign w:val="center"/>
                </w:tcPr>
                <w:p>
                  <w:pPr>
                    <w:autoSpaceDE w:val="0"/>
                    <w:autoSpaceDN w:val="0"/>
                    <w:adjustRightInd w:val="0"/>
                    <w:jc w:val="left"/>
                    <w:rPr>
                      <w:kern w:val="0"/>
                      <w:szCs w:val="21"/>
                    </w:rPr>
                  </w:pPr>
                </w:p>
              </w:tc>
              <w:tc>
                <w:tcPr>
                  <w:tcW w:w="421" w:type="pct"/>
                  <w:vAlign w:val="center"/>
                </w:tcPr>
                <w:p>
                  <w:pPr>
                    <w:autoSpaceDE w:val="0"/>
                    <w:autoSpaceDN w:val="0"/>
                    <w:adjustRightInd w:val="0"/>
                    <w:jc w:val="left"/>
                    <w:rPr>
                      <w:kern w:val="0"/>
                      <w:szCs w:val="21"/>
                    </w:rPr>
                  </w:pPr>
                  <w:r>
                    <w:rPr>
                      <w:rFonts w:hint="eastAsia"/>
                      <w:kern w:val="0"/>
                      <w:szCs w:val="21"/>
                    </w:rPr>
                    <w:t>储能电池</w:t>
                  </w:r>
                </w:p>
              </w:tc>
              <w:tc>
                <w:tcPr>
                  <w:tcW w:w="3686" w:type="pct"/>
                  <w:vAlign w:val="center"/>
                </w:tcPr>
                <w:p>
                  <w:pPr>
                    <w:pStyle w:val="53"/>
                    <w:ind w:firstLine="420"/>
                    <w:jc w:val="left"/>
                  </w:pPr>
                  <w:r>
                    <w:rPr>
                      <w:rFonts w:hint="eastAsia"/>
                    </w:rPr>
                    <w:t>储能装置运行过程中产生的废旧磷酸铁锂电池，为一般固废，更换周期为1</w:t>
                  </w:r>
                  <w:r>
                    <w:t>0年左右，</w:t>
                  </w:r>
                  <w:r>
                    <w:rPr>
                      <w:rFonts w:hint="eastAsia"/>
                    </w:rPr>
                    <w:t>在更换时由有资质的厂家直接回收处置，不在站内暂存。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158" w:hRule="atLeast"/>
              </w:trPr>
              <w:tc>
                <w:tcPr>
                  <w:tcW w:w="363" w:type="pct"/>
                  <w:vMerge w:val="continue"/>
                  <w:vAlign w:val="center"/>
                </w:tcPr>
                <w:p>
                  <w:pPr>
                    <w:widowControl/>
                    <w:jc w:val="left"/>
                    <w:rPr>
                      <w:kern w:val="0"/>
                      <w:szCs w:val="21"/>
                    </w:rPr>
                  </w:pPr>
                </w:p>
              </w:tc>
              <w:tc>
                <w:tcPr>
                  <w:tcW w:w="530" w:type="pct"/>
                  <w:vMerge w:val="continue"/>
                  <w:vAlign w:val="center"/>
                </w:tcPr>
                <w:p>
                  <w:pPr>
                    <w:widowControl/>
                    <w:jc w:val="left"/>
                    <w:rPr>
                      <w:kern w:val="0"/>
                      <w:szCs w:val="21"/>
                    </w:rPr>
                  </w:pPr>
                </w:p>
              </w:tc>
              <w:tc>
                <w:tcPr>
                  <w:tcW w:w="421" w:type="pct"/>
                  <w:vMerge w:val="restart"/>
                  <w:vAlign w:val="center"/>
                </w:tcPr>
                <w:p>
                  <w:pPr>
                    <w:autoSpaceDE w:val="0"/>
                    <w:autoSpaceDN w:val="0"/>
                    <w:adjustRightInd w:val="0"/>
                    <w:jc w:val="left"/>
                    <w:rPr>
                      <w:kern w:val="0"/>
                      <w:szCs w:val="21"/>
                    </w:rPr>
                  </w:pPr>
                  <w:r>
                    <w:rPr>
                      <w:kern w:val="0"/>
                      <w:szCs w:val="21"/>
                    </w:rPr>
                    <w:t>危险</w:t>
                  </w:r>
                </w:p>
                <w:p>
                  <w:pPr>
                    <w:autoSpaceDE w:val="0"/>
                    <w:autoSpaceDN w:val="0"/>
                    <w:adjustRightInd w:val="0"/>
                    <w:jc w:val="left"/>
                    <w:rPr>
                      <w:kern w:val="0"/>
                      <w:szCs w:val="21"/>
                    </w:rPr>
                  </w:pPr>
                  <w:r>
                    <w:rPr>
                      <w:kern w:val="0"/>
                      <w:szCs w:val="21"/>
                    </w:rPr>
                    <w:t>废物</w:t>
                  </w:r>
                </w:p>
              </w:tc>
              <w:tc>
                <w:tcPr>
                  <w:tcW w:w="3686" w:type="pct"/>
                  <w:vAlign w:val="center"/>
                </w:tcPr>
                <w:p>
                  <w:pPr>
                    <w:pStyle w:val="53"/>
                    <w:ind w:firstLine="0" w:firstLineChars="0"/>
                    <w:jc w:val="left"/>
                    <w:rPr>
                      <w:kern w:val="0"/>
                    </w:rPr>
                  </w:pPr>
                  <w:r>
                    <w:rPr>
                      <w:rFonts w:hint="eastAsia"/>
                    </w:rPr>
                    <w:t>本工程升压站建1座</w:t>
                  </w:r>
                  <w:r>
                    <w:t>80</w:t>
                  </w:r>
                  <w:r>
                    <w:rPr>
                      <w:rFonts w:hint="eastAsia"/>
                    </w:rPr>
                    <w:t>m³事故油池，事故油池有效容积按单台变压器最大事故排油量的100%考虑，</w:t>
                  </w:r>
                  <w:r>
                    <w:t>主变油重60t（约</w:t>
                  </w:r>
                  <w:r>
                    <w:rPr>
                      <w:rFonts w:hint="eastAsia"/>
                    </w:rPr>
                    <w:t>6</w:t>
                  </w:r>
                  <w:r>
                    <w:t>7m³），事故油池采取防渗措施，</w:t>
                  </w:r>
                  <w:r>
                    <w:rPr>
                      <w:rFonts w:hint="eastAsia"/>
                    </w:rPr>
                    <w:t>渗透系数≤10</w:t>
                  </w:r>
                  <w:r>
                    <w:rPr>
                      <w:rFonts w:hint="eastAsia"/>
                      <w:vertAlign w:val="superscript"/>
                    </w:rPr>
                    <w:t>-10</w:t>
                  </w:r>
                  <w:r>
                    <w:rPr>
                      <w:rFonts w:hint="eastAsia"/>
                    </w:rPr>
                    <w:t>cm/s</w:t>
                  </w:r>
                  <w:r>
                    <w:t>，事故油池收集的废油属于危险废物，由有资质的单位进行回收处置。</w:t>
                  </w:r>
                  <w:r>
                    <w:rPr>
                      <w:rFonts w:hint="eastAsia"/>
                    </w:rPr>
                    <w:t>事故油池采用抗渗混凝土、内涂防水砂浆、外铺土工膜防渗。升压站设有</w:t>
                  </w:r>
                  <w:r>
                    <w:t>30m</w:t>
                  </w:r>
                  <w:r>
                    <w:rPr>
                      <w:rFonts w:asciiTheme="minorBidi" w:hAnsiTheme="minorBidi"/>
                    </w:rPr>
                    <w:t>²</w:t>
                  </w:r>
                  <w:r>
                    <w:rPr>
                      <w:rFonts w:hint="eastAsia"/>
                    </w:rPr>
                    <w:t>危废暂存间，检修废油暂存危废暂存间，交由有资质单位处理，危废暂存间设于升压站辅助用房最外边，独立房间，对外开门，设有警示标志。危废暂存间内靠外墙边设置导流槽，长度约5m，坡向收集井，导流槽末端设置收集井L×B×H为1×1×0.5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532" w:hRule="atLeast"/>
              </w:trPr>
              <w:tc>
                <w:tcPr>
                  <w:tcW w:w="363" w:type="pct"/>
                  <w:vMerge w:val="continue"/>
                  <w:vAlign w:val="center"/>
                </w:tcPr>
                <w:p>
                  <w:pPr>
                    <w:widowControl/>
                    <w:jc w:val="left"/>
                    <w:rPr>
                      <w:kern w:val="0"/>
                      <w:szCs w:val="21"/>
                    </w:rPr>
                  </w:pPr>
                </w:p>
              </w:tc>
              <w:tc>
                <w:tcPr>
                  <w:tcW w:w="530" w:type="pct"/>
                  <w:vMerge w:val="continue"/>
                  <w:vAlign w:val="center"/>
                </w:tcPr>
                <w:p>
                  <w:pPr>
                    <w:widowControl/>
                    <w:jc w:val="left"/>
                    <w:rPr>
                      <w:kern w:val="0"/>
                      <w:szCs w:val="21"/>
                    </w:rPr>
                  </w:pPr>
                </w:p>
              </w:tc>
              <w:tc>
                <w:tcPr>
                  <w:tcW w:w="421" w:type="pct"/>
                  <w:vMerge w:val="continue"/>
                  <w:vAlign w:val="center"/>
                </w:tcPr>
                <w:p>
                  <w:pPr>
                    <w:widowControl/>
                    <w:jc w:val="left"/>
                    <w:rPr>
                      <w:kern w:val="0"/>
                      <w:szCs w:val="21"/>
                    </w:rPr>
                  </w:pPr>
                </w:p>
              </w:tc>
              <w:tc>
                <w:tcPr>
                  <w:tcW w:w="3686" w:type="pct"/>
                  <w:vAlign w:val="center"/>
                </w:tcPr>
                <w:p>
                  <w:pPr>
                    <w:spacing w:line="240" w:lineRule="atLeast"/>
                    <w:ind w:firstLine="420" w:firstLineChars="200"/>
                    <w:jc w:val="left"/>
                    <w:rPr>
                      <w:szCs w:val="21"/>
                    </w:rPr>
                  </w:pPr>
                  <w:r>
                    <w:rPr>
                      <w:kern w:val="0"/>
                      <w:szCs w:val="21"/>
                    </w:rPr>
                    <w:t>废旧蓄电池：</w:t>
                  </w:r>
                  <w:r>
                    <w:rPr>
                      <w:rFonts w:hint="eastAsia"/>
                      <w:kern w:val="0"/>
                      <w:szCs w:val="21"/>
                    </w:rPr>
                    <w:t>在更换时</w:t>
                  </w:r>
                  <w:r>
                    <w:rPr>
                      <w:rFonts w:hint="eastAsia"/>
                      <w:szCs w:val="21"/>
                    </w:rPr>
                    <w:t>，由有资质的单位回收处置，不在站内暂存。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590" w:hRule="atLeast"/>
              </w:trPr>
              <w:tc>
                <w:tcPr>
                  <w:tcW w:w="363" w:type="pct"/>
                  <w:vMerge w:val="continue"/>
                  <w:vAlign w:val="center"/>
                </w:tcPr>
                <w:p>
                  <w:pPr>
                    <w:widowControl/>
                    <w:jc w:val="left"/>
                    <w:rPr>
                      <w:kern w:val="0"/>
                      <w:szCs w:val="21"/>
                    </w:rPr>
                  </w:pPr>
                </w:p>
              </w:tc>
              <w:tc>
                <w:tcPr>
                  <w:tcW w:w="530" w:type="pct"/>
                  <w:vMerge w:val="continue"/>
                  <w:vAlign w:val="center"/>
                </w:tcPr>
                <w:p>
                  <w:pPr>
                    <w:widowControl/>
                    <w:jc w:val="left"/>
                    <w:rPr>
                      <w:kern w:val="0"/>
                      <w:szCs w:val="21"/>
                    </w:rPr>
                  </w:pPr>
                </w:p>
              </w:tc>
              <w:tc>
                <w:tcPr>
                  <w:tcW w:w="421" w:type="pct"/>
                  <w:vMerge w:val="continue"/>
                  <w:vAlign w:val="center"/>
                </w:tcPr>
                <w:p>
                  <w:pPr>
                    <w:widowControl/>
                    <w:jc w:val="left"/>
                    <w:rPr>
                      <w:kern w:val="0"/>
                      <w:szCs w:val="21"/>
                    </w:rPr>
                  </w:pPr>
                </w:p>
              </w:tc>
              <w:tc>
                <w:tcPr>
                  <w:tcW w:w="3686" w:type="pct"/>
                  <w:vAlign w:val="center"/>
                </w:tcPr>
                <w:p>
                  <w:pPr>
                    <w:spacing w:line="240" w:lineRule="atLeast"/>
                    <w:ind w:firstLine="420" w:firstLineChars="200"/>
                    <w:jc w:val="left"/>
                    <w:rPr>
                      <w:kern w:val="0"/>
                      <w:szCs w:val="21"/>
                    </w:rPr>
                  </w:pPr>
                  <w:r>
                    <w:rPr>
                      <w:rFonts w:hint="eastAsia"/>
                      <w:szCs w:val="21"/>
                    </w:rPr>
                    <w:t>每台箱变单独设立油池</w:t>
                  </w:r>
                  <w:r>
                    <w:rPr>
                      <w:szCs w:val="21"/>
                    </w:rPr>
                    <w:t>，每个</w:t>
                  </w:r>
                  <w:r>
                    <w:rPr>
                      <w:kern w:val="0"/>
                      <w:szCs w:val="21"/>
                    </w:rPr>
                    <w:t>事故油池有效容积5m³，共35座，事故情况下产生的废油由有资质单位回收处理。</w:t>
                  </w:r>
                  <w:r>
                    <w:rPr>
                      <w:rFonts w:hint="eastAsia"/>
                      <w:kern w:val="0"/>
                      <w:szCs w:val="21"/>
                    </w:rPr>
                    <w:t>箱变油池采用抗渗混凝土防渗。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335" w:hRule="atLeast"/>
              </w:trPr>
              <w:tc>
                <w:tcPr>
                  <w:tcW w:w="363" w:type="pct"/>
                  <w:vMerge w:val="continue"/>
                  <w:vAlign w:val="center"/>
                </w:tcPr>
                <w:p>
                  <w:pPr>
                    <w:widowControl/>
                    <w:jc w:val="left"/>
                    <w:rPr>
                      <w:kern w:val="0"/>
                      <w:szCs w:val="21"/>
                    </w:rPr>
                  </w:pPr>
                </w:p>
              </w:tc>
              <w:tc>
                <w:tcPr>
                  <w:tcW w:w="530" w:type="pct"/>
                  <w:vMerge w:val="continue"/>
                  <w:vAlign w:val="center"/>
                </w:tcPr>
                <w:p>
                  <w:pPr>
                    <w:widowControl/>
                    <w:jc w:val="left"/>
                    <w:rPr>
                      <w:kern w:val="0"/>
                      <w:szCs w:val="21"/>
                    </w:rPr>
                  </w:pPr>
                </w:p>
              </w:tc>
              <w:tc>
                <w:tcPr>
                  <w:tcW w:w="421" w:type="pct"/>
                  <w:vMerge w:val="continue"/>
                  <w:vAlign w:val="center"/>
                </w:tcPr>
                <w:p>
                  <w:pPr>
                    <w:widowControl/>
                    <w:jc w:val="left"/>
                    <w:rPr>
                      <w:kern w:val="0"/>
                      <w:szCs w:val="21"/>
                    </w:rPr>
                  </w:pPr>
                </w:p>
              </w:tc>
              <w:tc>
                <w:tcPr>
                  <w:tcW w:w="3686" w:type="pct"/>
                  <w:vAlign w:val="center"/>
                </w:tcPr>
                <w:p>
                  <w:pPr>
                    <w:spacing w:line="240" w:lineRule="atLeast"/>
                    <w:ind w:firstLine="420" w:firstLineChars="200"/>
                    <w:jc w:val="left"/>
                    <w:rPr>
                      <w:kern w:val="0"/>
                      <w:szCs w:val="21"/>
                    </w:rPr>
                  </w:pPr>
                  <w:r>
                    <w:rPr>
                      <w:rFonts w:hint="eastAsia"/>
                      <w:szCs w:val="21"/>
                    </w:rPr>
                    <w:t>废光伏组件</w:t>
                  </w:r>
                  <w:r>
                    <w:rPr>
                      <w:szCs w:val="21"/>
                    </w:rPr>
                    <w:t>：</w:t>
                  </w:r>
                  <w:r>
                    <w:rPr>
                      <w:rFonts w:hint="eastAsia"/>
                      <w:szCs w:val="21"/>
                    </w:rPr>
                    <w:t>废弃光伏板由厂家回收处理，不在站内暂存。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771"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污水处理设施</w:t>
                  </w:r>
                </w:p>
              </w:tc>
              <w:tc>
                <w:tcPr>
                  <w:tcW w:w="4107" w:type="pct"/>
                  <w:gridSpan w:val="2"/>
                  <w:vAlign w:val="center"/>
                </w:tcPr>
                <w:p>
                  <w:pPr>
                    <w:pStyle w:val="53"/>
                    <w:ind w:firstLine="420"/>
                    <w:jc w:val="left"/>
                  </w:pPr>
                  <w:r>
                    <w:t>升压站</w:t>
                  </w:r>
                  <w:r>
                    <w:rPr>
                      <w:rFonts w:hint="eastAsia"/>
                    </w:rPr>
                    <w:t>设置地埋式一体化污水处理设施，处理能力1m³/</w:t>
                  </w:r>
                  <w:r>
                    <w:t>h，生活污水经</w:t>
                  </w:r>
                  <w:r>
                    <w:rPr>
                      <w:rFonts w:hint="eastAsia"/>
                    </w:rPr>
                    <w:t>一体化处理设施</w:t>
                  </w:r>
                  <w:r>
                    <w:t>处理</w:t>
                  </w:r>
                  <w:r>
                    <w:rPr>
                      <w:rFonts w:hint="eastAsia"/>
                    </w:rPr>
                    <w:t>贮存于1</w:t>
                  </w:r>
                  <w:r>
                    <w:t>00m</w:t>
                  </w:r>
                  <w:r>
                    <w:rPr>
                      <w:rFonts w:cs="Times New Roman"/>
                    </w:rPr>
                    <w:t>³防渗</w:t>
                  </w:r>
                  <w:r>
                    <w:rPr>
                      <w:rFonts w:hint="eastAsia"/>
                    </w:rPr>
                    <w:t>集水井中，用于升压站绿化，冬季由环卫部门清掏，不外排。</w:t>
                  </w:r>
                </w:p>
                <w:p>
                  <w:pPr>
                    <w:pStyle w:val="53"/>
                    <w:ind w:firstLine="420"/>
                    <w:jc w:val="left"/>
                  </w:pPr>
                  <w:r>
                    <w:rPr>
                      <w:rFonts w:hint="eastAsia"/>
                    </w:rPr>
                    <w:t>太阳能光伏板冲洗周期为20天，采用冲洗水车进行冲洗，冲洗水源为自来水，其排水中污染物为悬浮物，无有害物质，因此直接排至光伏板下地面浇灌植被，不进行收集，冬季采用干擦的方式，废抹布属于一般固废，由清洗厂家直接带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425"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噪声治理措施</w:t>
                  </w:r>
                </w:p>
              </w:tc>
              <w:tc>
                <w:tcPr>
                  <w:tcW w:w="4107" w:type="pct"/>
                  <w:gridSpan w:val="2"/>
                  <w:vAlign w:val="center"/>
                </w:tcPr>
                <w:p>
                  <w:pPr>
                    <w:autoSpaceDE w:val="0"/>
                    <w:autoSpaceDN w:val="0"/>
                    <w:adjustRightInd w:val="0"/>
                    <w:ind w:firstLine="420" w:firstLineChars="200"/>
                    <w:jc w:val="left"/>
                    <w:rPr>
                      <w:kern w:val="0"/>
                      <w:szCs w:val="21"/>
                    </w:rPr>
                  </w:pPr>
                  <w:r>
                    <w:rPr>
                      <w:szCs w:val="21"/>
                    </w:rPr>
                    <w:t>选用低噪声光伏组件及设备，且采取减振措施，加强日常维护，确保设备正常运行，加强道路行车管理，控制车速、严禁鸣笛、超载超速。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843" w:hRule="atLeast"/>
              </w:trPr>
              <w:tc>
                <w:tcPr>
                  <w:tcW w:w="363" w:type="pct"/>
                  <w:vMerge w:val="continue"/>
                  <w:vAlign w:val="center"/>
                </w:tcPr>
                <w:p>
                  <w:pPr>
                    <w:widowControl/>
                    <w:jc w:val="left"/>
                    <w:rPr>
                      <w:kern w:val="0"/>
                      <w:szCs w:val="21"/>
                    </w:rPr>
                  </w:pPr>
                </w:p>
              </w:tc>
              <w:tc>
                <w:tcPr>
                  <w:tcW w:w="530" w:type="pct"/>
                  <w:vAlign w:val="center"/>
                </w:tcPr>
                <w:p>
                  <w:pPr>
                    <w:autoSpaceDE w:val="0"/>
                    <w:autoSpaceDN w:val="0"/>
                    <w:adjustRightInd w:val="0"/>
                    <w:jc w:val="left"/>
                    <w:rPr>
                      <w:kern w:val="0"/>
                      <w:szCs w:val="21"/>
                    </w:rPr>
                  </w:pPr>
                  <w:r>
                    <w:rPr>
                      <w:kern w:val="0"/>
                      <w:szCs w:val="21"/>
                    </w:rPr>
                    <w:t>生态</w:t>
                  </w:r>
                </w:p>
                <w:p>
                  <w:pPr>
                    <w:autoSpaceDE w:val="0"/>
                    <w:autoSpaceDN w:val="0"/>
                    <w:adjustRightInd w:val="0"/>
                    <w:jc w:val="left"/>
                    <w:rPr>
                      <w:kern w:val="0"/>
                      <w:szCs w:val="21"/>
                    </w:rPr>
                  </w:pPr>
                  <w:r>
                    <w:rPr>
                      <w:kern w:val="0"/>
                      <w:szCs w:val="21"/>
                    </w:rPr>
                    <w:t>恢复</w:t>
                  </w:r>
                </w:p>
              </w:tc>
              <w:tc>
                <w:tcPr>
                  <w:tcW w:w="4107" w:type="pct"/>
                  <w:gridSpan w:val="2"/>
                  <w:vAlign w:val="center"/>
                </w:tcPr>
                <w:p>
                  <w:pPr>
                    <w:autoSpaceDE w:val="0"/>
                    <w:autoSpaceDN w:val="0"/>
                    <w:adjustRightInd w:val="0"/>
                    <w:ind w:firstLine="420" w:firstLineChars="200"/>
                    <w:jc w:val="left"/>
                    <w:rPr>
                      <w:szCs w:val="21"/>
                    </w:rPr>
                  </w:pPr>
                  <w:r>
                    <w:rPr>
                      <w:rFonts w:hint="eastAsia"/>
                      <w:szCs w:val="21"/>
                    </w:rPr>
                    <w:t>采用“光伏+生态治理”立体化治理新模式，以板上发电、板下种植，</w:t>
                  </w:r>
                  <w:r>
                    <w:rPr>
                      <w:szCs w:val="21"/>
                    </w:rPr>
                    <w:t>光伏板施工完毕后进行场地平整</w:t>
                  </w:r>
                  <w:r>
                    <w:rPr>
                      <w:rFonts w:hint="eastAsia"/>
                      <w:szCs w:val="21"/>
                    </w:rPr>
                    <w:t>使其达到种植的要求。施工期光伏板、集电线路、箱变、施工临时用地等施工结束后进行场地清理、土地整治后恢复表土及覆土，使其达到种植的要求，撒播草种，灌木种。运行期植被栽植后的1-3 年为幼林的抚育管理期，主要包括浇灌、除草、修坑和管护，灌溉方式主要采用水车灌溉的方式，同时辅以施肥。灌溉用水来自于周边区域的固定水源点，</w:t>
                  </w:r>
                  <w:r>
                    <w:rPr>
                      <w:szCs w:val="21"/>
                    </w:rPr>
                    <w:t>养护期内年</w:t>
                  </w:r>
                  <w:r>
                    <w:rPr>
                      <w:rFonts w:hint="eastAsia"/>
                      <w:szCs w:val="21"/>
                    </w:rPr>
                    <w:t>均用水量为1</w:t>
                  </w:r>
                  <w:r>
                    <w:rPr>
                      <w:szCs w:val="21"/>
                    </w:rPr>
                    <w:t>360417</w:t>
                  </w:r>
                  <w:r>
                    <w:rPr>
                      <w:rFonts w:hint="eastAsia"/>
                      <w:szCs w:val="21"/>
                    </w:rPr>
                    <w:t>m³/</w:t>
                  </w:r>
                  <w:r>
                    <w:rPr>
                      <w:szCs w:val="21"/>
                    </w:rPr>
                    <w:t>a。水源采用附近疏忽水源井或外购。</w:t>
                  </w:r>
                </w:p>
                <w:p>
                  <w:pPr>
                    <w:autoSpaceDE w:val="0"/>
                    <w:autoSpaceDN w:val="0"/>
                    <w:adjustRightInd w:val="0"/>
                    <w:ind w:firstLine="420" w:firstLineChars="200"/>
                    <w:jc w:val="left"/>
                    <w:rPr>
                      <w:szCs w:val="21"/>
                    </w:rPr>
                  </w:pPr>
                  <w:r>
                    <w:rPr>
                      <w:szCs w:val="21"/>
                    </w:rPr>
                    <w:t>养护期间会产生种子包装袋、化肥包装袋、草叶、灌木枝叶等固体废物，均为一般固体废物，集中收集后由环卫部门远走，生态治理采用有机肥、氮肥、磷肥进行土壤改良，当地土壤较为贫瘠，肥力不足，施肥采用薄施，定量施肥的原则，</w:t>
                  </w:r>
                  <w:r>
                    <w:rPr>
                      <w:rFonts w:hint="eastAsia"/>
                      <w:szCs w:val="21"/>
                    </w:rPr>
                    <w:t>不会造成肥料污染。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13" w:type="dxa"/>
                  <w:left w:w="108" w:type="dxa"/>
                  <w:bottom w:w="113" w:type="dxa"/>
                  <w:right w:w="108" w:type="dxa"/>
                </w:tblCellMar>
              </w:tblPrEx>
              <w:trPr>
                <w:trHeight w:val="314" w:hRule="atLeast"/>
              </w:trPr>
              <w:tc>
                <w:tcPr>
                  <w:tcW w:w="893" w:type="pct"/>
                  <w:gridSpan w:val="2"/>
                  <w:vAlign w:val="center"/>
                </w:tcPr>
                <w:p>
                  <w:pPr>
                    <w:autoSpaceDE w:val="0"/>
                    <w:autoSpaceDN w:val="0"/>
                    <w:adjustRightInd w:val="0"/>
                    <w:jc w:val="left"/>
                    <w:rPr>
                      <w:kern w:val="0"/>
                      <w:szCs w:val="21"/>
                    </w:rPr>
                  </w:pPr>
                  <w:r>
                    <w:rPr>
                      <w:szCs w:val="21"/>
                    </w:rPr>
                    <w:t>备注</w:t>
                  </w:r>
                </w:p>
              </w:tc>
              <w:tc>
                <w:tcPr>
                  <w:tcW w:w="4107" w:type="pct"/>
                  <w:gridSpan w:val="2"/>
                  <w:vAlign w:val="center"/>
                </w:tcPr>
                <w:p>
                  <w:pPr>
                    <w:adjustRightInd w:val="0"/>
                    <w:snapToGrid w:val="0"/>
                    <w:ind w:firstLine="420" w:firstLineChars="200"/>
                    <w:jc w:val="left"/>
                    <w:rPr>
                      <w:kern w:val="0"/>
                      <w:szCs w:val="21"/>
                    </w:rPr>
                  </w:pPr>
                  <w:r>
                    <w:rPr>
                      <w:szCs w:val="21"/>
                    </w:rPr>
                    <w:t>升压站单独进行电磁环境影响评价，不在</w:t>
                  </w:r>
                  <w:r>
                    <w:rPr>
                      <w:rFonts w:hint="eastAsia"/>
                      <w:szCs w:val="21"/>
                    </w:rPr>
                    <w:t>本项目</w:t>
                  </w:r>
                  <w:r>
                    <w:rPr>
                      <w:szCs w:val="21"/>
                    </w:rPr>
                    <w:t>评价范围内。</w:t>
                  </w:r>
                </w:p>
              </w:tc>
            </w:tr>
          </w:tbl>
          <w:p>
            <w:pPr>
              <w:pStyle w:val="46"/>
              <w:ind w:firstLine="480"/>
              <w:jc w:val="left"/>
              <w:rPr>
                <w:rFonts w:cs="Times New Roman"/>
              </w:rPr>
            </w:pPr>
          </w:p>
          <w:p>
            <w:pPr>
              <w:pStyle w:val="24"/>
              <w:ind w:firstLine="482"/>
              <w:jc w:val="left"/>
              <w:rPr>
                <w:rFonts w:cs="Times New Roman"/>
              </w:rPr>
            </w:pPr>
            <w:r>
              <w:rPr>
                <w:rFonts w:cs="Times New Roman"/>
              </w:rPr>
              <w:t>（1）主体工程</w:t>
            </w:r>
          </w:p>
          <w:p>
            <w:pPr>
              <w:pStyle w:val="26"/>
              <w:ind w:firstLine="480"/>
              <w:jc w:val="left"/>
              <w:rPr>
                <w:rFonts w:cs="Times New Roman"/>
              </w:rPr>
            </w:pPr>
            <w:r>
              <w:rPr>
                <w:rFonts w:hint="eastAsia" w:ascii="宋体" w:hAnsi="宋体" w:cs="宋体"/>
              </w:rPr>
              <w:t>①</w:t>
            </w:r>
            <w:r>
              <w:rPr>
                <w:rFonts w:cs="Times New Roman"/>
              </w:rPr>
              <w:t xml:space="preserve"> 光伏发电机组</w:t>
            </w:r>
          </w:p>
          <w:p>
            <w:pPr>
              <w:pStyle w:val="46"/>
              <w:ind w:firstLine="480"/>
              <w:jc w:val="left"/>
              <w:rPr>
                <w:rFonts w:cs="Times New Roman"/>
              </w:rPr>
            </w:pPr>
            <w:r>
              <w:rPr>
                <w:rFonts w:hint="eastAsia" w:cs="Times New Roman"/>
              </w:rPr>
              <w:t>本工程为乌拉特前旗15万千瓦子项目，建设容量</w:t>
            </w:r>
            <w:r>
              <w:rPr>
                <w:rFonts w:cs="Times New Roman"/>
              </w:rPr>
              <w:t>1</w:t>
            </w:r>
            <w:r>
              <w:rPr>
                <w:rFonts w:hint="eastAsia" w:cs="Times New Roman"/>
              </w:rPr>
              <w:t>50MW，同步配置</w:t>
            </w:r>
            <w:r>
              <w:rPr>
                <w:rFonts w:cs="Times New Roman"/>
              </w:rPr>
              <w:t>22.5MW/45MWh</w:t>
            </w:r>
            <w:r>
              <w:rPr>
                <w:rFonts w:hint="eastAsia" w:cs="Times New Roman"/>
              </w:rPr>
              <w:t>储能装置。</w:t>
            </w:r>
          </w:p>
          <w:p>
            <w:pPr>
              <w:pStyle w:val="46"/>
              <w:ind w:firstLine="480"/>
              <w:jc w:val="left"/>
              <w:rPr>
                <w:rFonts w:cs="Times New Roman"/>
              </w:rPr>
            </w:pPr>
            <w:r>
              <w:rPr>
                <w:rFonts w:hint="eastAsia" w:cs="Times New Roman"/>
              </w:rPr>
              <w:t>本期建设容量</w:t>
            </w:r>
            <w:r>
              <w:rPr>
                <w:rFonts w:cs="Times New Roman"/>
              </w:rPr>
              <w:t>1</w:t>
            </w:r>
            <w:r>
              <w:rPr>
                <w:rFonts w:hint="eastAsia" w:cs="Times New Roman"/>
              </w:rPr>
              <w:t>50MW，共设</w:t>
            </w:r>
            <w:r>
              <w:rPr>
                <w:rFonts w:cs="Times New Roman"/>
              </w:rPr>
              <w:t>35</w:t>
            </w:r>
            <w:r>
              <w:rPr>
                <w:rFonts w:hint="eastAsia" w:cs="Times New Roman"/>
              </w:rPr>
              <w:t>个分区，地块1布置1个3.3MW子阵、1个4.4MW子阵；地块2布置1个1.1MW子阵；地块3布置3个4.4MW子阵；地块4、5与地块6相邻，三部分共计布置29个4.4MW子阵。采用“分块发电，集中并网”设计方案。项目直流侧总装机容量为</w:t>
            </w:r>
            <w:r>
              <w:rPr>
                <w:rFonts w:cs="Times New Roman"/>
              </w:rPr>
              <w:t>186.7008MW</w:t>
            </w:r>
            <w:r>
              <w:rPr>
                <w:rFonts w:hint="eastAsia" w:cs="Times New Roman"/>
              </w:rPr>
              <w:t xml:space="preserve"> ，共安装550Wp单晶硅光伏组件</w:t>
            </w:r>
            <w:r>
              <w:rPr>
                <w:rFonts w:hint="eastAsia"/>
                <w:szCs w:val="22"/>
              </w:rPr>
              <w:t>339456</w:t>
            </w:r>
            <w:r>
              <w:rPr>
                <w:rFonts w:hint="eastAsia" w:cs="Times New Roman"/>
              </w:rPr>
              <w:t>块，首年发电量为316129.4MWh，末年发电量为281290.6MWh；首、末年等效满负荷运行小时数分别为1693.2、1506.6h，25年平均电量为298710MWh，25年平均等效小时数为1599.94h。</w:t>
            </w:r>
          </w:p>
          <w:p>
            <w:pPr>
              <w:pStyle w:val="46"/>
              <w:ind w:firstLine="0" w:firstLineChars="0"/>
              <w:jc w:val="left"/>
              <w:rPr>
                <w:rFonts w:cs="Times New Roman"/>
              </w:rPr>
            </w:pPr>
            <w:r>
              <w:rPr>
                <w:rFonts w:hint="eastAsia" w:cs="Times New Roman"/>
              </w:rPr>
              <w:t>本工程</w:t>
            </w:r>
            <w:r>
              <w:t>光伏阵列分配见表</w:t>
            </w:r>
            <w:r>
              <w:rPr>
                <w:rFonts w:hint="eastAsia" w:cs="Times New Roman"/>
              </w:rPr>
              <w:t>2.3，光伏组件主要特征2.</w:t>
            </w:r>
            <w:r>
              <w:rPr>
                <w:rFonts w:cs="Times New Roman"/>
              </w:rPr>
              <w:t>4</w:t>
            </w:r>
            <w:r>
              <w:rPr>
                <w:rFonts w:hint="eastAsia" w:cs="Times New Roman"/>
              </w:rPr>
              <w:t>。</w:t>
            </w:r>
          </w:p>
          <w:p>
            <w:pPr>
              <w:pStyle w:val="22"/>
              <w:spacing w:before="240" w:after="120"/>
            </w:pPr>
            <w:r>
              <w:t>表2.3                        光伏阵列分配</w:t>
            </w:r>
          </w:p>
          <w:tbl>
            <w:tblPr>
              <w:tblStyle w:val="16"/>
              <w:tblW w:w="8048" w:type="dxa"/>
              <w:tblInd w:w="0" w:type="dxa"/>
              <w:tblLayout w:type="fixed"/>
              <w:tblCellMar>
                <w:top w:w="0" w:type="dxa"/>
                <w:left w:w="108" w:type="dxa"/>
                <w:bottom w:w="0" w:type="dxa"/>
                <w:right w:w="108" w:type="dxa"/>
              </w:tblCellMar>
            </w:tblPr>
            <w:tblGrid>
              <w:gridCol w:w="1386"/>
              <w:gridCol w:w="1984"/>
              <w:gridCol w:w="2127"/>
              <w:gridCol w:w="2551"/>
            </w:tblGrid>
            <w:tr>
              <w:tblPrEx>
                <w:tblCellMar>
                  <w:top w:w="0" w:type="dxa"/>
                  <w:left w:w="108" w:type="dxa"/>
                  <w:bottom w:w="0" w:type="dxa"/>
                  <w:right w:w="108" w:type="dxa"/>
                </w:tblCellMar>
              </w:tblPrEx>
              <w:trPr>
                <w:trHeight w:val="270" w:hRule="atLeast"/>
              </w:trPr>
              <w:tc>
                <w:tcPr>
                  <w:tcW w:w="1386" w:type="dxa"/>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区域划分</w:t>
                  </w:r>
                </w:p>
              </w:tc>
              <w:tc>
                <w:tcPr>
                  <w:tcW w:w="1984"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子方阵容量（MW）</w:t>
                  </w:r>
                </w:p>
              </w:tc>
              <w:tc>
                <w:tcPr>
                  <w:tcW w:w="2127"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子方阵数量(个）</w:t>
                  </w:r>
                </w:p>
              </w:tc>
              <w:tc>
                <w:tcPr>
                  <w:tcW w:w="2551" w:type="dxa"/>
                  <w:tcBorders>
                    <w:top w:val="single" w:color="auto" w:sz="12"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直流侧装机容量(MW)</w:t>
                  </w:r>
                </w:p>
              </w:tc>
            </w:tr>
            <w:tr>
              <w:tblPrEx>
                <w:tblCellMar>
                  <w:top w:w="0" w:type="dxa"/>
                  <w:left w:w="108" w:type="dxa"/>
                  <w:bottom w:w="0" w:type="dxa"/>
                  <w:right w:w="108" w:type="dxa"/>
                </w:tblCellMar>
              </w:tblPrEx>
              <w:trPr>
                <w:trHeight w:val="270" w:hRule="atLeast"/>
              </w:trPr>
              <w:tc>
                <w:tcPr>
                  <w:tcW w:w="1386" w:type="dxa"/>
                  <w:vMerge w:val="restart"/>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地块1</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3.3</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2551"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4.1184</w:t>
                  </w:r>
                </w:p>
              </w:tc>
            </w:tr>
            <w:tr>
              <w:tblPrEx>
                <w:tblCellMar>
                  <w:top w:w="0" w:type="dxa"/>
                  <w:left w:w="108" w:type="dxa"/>
                  <w:bottom w:w="0" w:type="dxa"/>
                  <w:right w:w="108" w:type="dxa"/>
                </w:tblCellMar>
              </w:tblPrEx>
              <w:trPr>
                <w:trHeight w:val="270" w:hRule="atLeast"/>
              </w:trPr>
              <w:tc>
                <w:tcPr>
                  <w:tcW w:w="1386"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宋体" w:hAnsi="宋体" w:cs="宋体"/>
                      <w:kern w:val="0"/>
                      <w:sz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4.4</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2551"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5.4912</w:t>
                  </w:r>
                </w:p>
              </w:tc>
            </w:tr>
            <w:tr>
              <w:tblPrEx>
                <w:tblCellMar>
                  <w:top w:w="0" w:type="dxa"/>
                  <w:left w:w="108" w:type="dxa"/>
                  <w:bottom w:w="0" w:type="dxa"/>
                  <w:right w:w="108" w:type="dxa"/>
                </w:tblCellMar>
              </w:tblPrEx>
              <w:trPr>
                <w:trHeight w:val="270" w:hRule="atLeast"/>
              </w:trPr>
              <w:tc>
                <w:tcPr>
                  <w:tcW w:w="138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地块2</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1.1</w:t>
                  </w:r>
                </w:p>
              </w:tc>
              <w:tc>
                <w:tcPr>
                  <w:tcW w:w="2551"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1.3728</w:t>
                  </w:r>
                </w:p>
              </w:tc>
            </w:tr>
            <w:tr>
              <w:tblPrEx>
                <w:tblCellMar>
                  <w:top w:w="0" w:type="dxa"/>
                  <w:left w:w="108" w:type="dxa"/>
                  <w:bottom w:w="0" w:type="dxa"/>
                  <w:right w:w="108" w:type="dxa"/>
                </w:tblCellMar>
              </w:tblPrEx>
              <w:trPr>
                <w:trHeight w:val="270" w:hRule="atLeast"/>
              </w:trPr>
              <w:tc>
                <w:tcPr>
                  <w:tcW w:w="138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地块3</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4.4</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3</w:t>
                  </w:r>
                </w:p>
              </w:tc>
              <w:tc>
                <w:tcPr>
                  <w:tcW w:w="2551"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16.4736</w:t>
                  </w:r>
                </w:p>
              </w:tc>
            </w:tr>
            <w:tr>
              <w:tblPrEx>
                <w:tblCellMar>
                  <w:top w:w="0" w:type="dxa"/>
                  <w:left w:w="108" w:type="dxa"/>
                  <w:bottom w:w="0" w:type="dxa"/>
                  <w:right w:w="108" w:type="dxa"/>
                </w:tblCellMar>
              </w:tblPrEx>
              <w:trPr>
                <w:trHeight w:val="285" w:hRule="atLeast"/>
              </w:trPr>
              <w:tc>
                <w:tcPr>
                  <w:tcW w:w="1386" w:type="dxa"/>
                  <w:tcBorders>
                    <w:top w:val="single" w:color="auto" w:sz="4" w:space="0"/>
                    <w:left w:val="single" w:color="auto" w:sz="12" w:space="0"/>
                    <w:bottom w:val="single" w:color="auto" w:sz="12"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地块4/5/6</w:t>
                  </w:r>
                </w:p>
              </w:tc>
              <w:tc>
                <w:tcPr>
                  <w:tcW w:w="1984"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4.4</w:t>
                  </w:r>
                </w:p>
              </w:tc>
              <w:tc>
                <w:tcPr>
                  <w:tcW w:w="2127"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29</w:t>
                  </w:r>
                </w:p>
              </w:tc>
              <w:tc>
                <w:tcPr>
                  <w:tcW w:w="2551" w:type="dxa"/>
                  <w:tcBorders>
                    <w:top w:val="single" w:color="auto" w:sz="4" w:space="0"/>
                    <w:left w:val="nil"/>
                    <w:bottom w:val="single" w:color="auto" w:sz="12" w:space="0"/>
                    <w:right w:val="single" w:color="auto" w:sz="12"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159.2448</w:t>
                  </w:r>
                </w:p>
              </w:tc>
            </w:tr>
          </w:tbl>
          <w:p>
            <w:pPr>
              <w:pStyle w:val="22"/>
              <w:spacing w:before="240" w:after="120"/>
            </w:pPr>
            <w:r>
              <w:t>表2.4                   光伏组件主要特征</w:t>
            </w:r>
          </w:p>
          <w:tbl>
            <w:tblPr>
              <w:tblStyle w:val="16"/>
              <w:tblW w:w="476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93"/>
              <w:gridCol w:w="2385"/>
              <w:gridCol w:w="2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1724" w:type="pct"/>
                  <w:vAlign w:val="center"/>
                </w:tcPr>
                <w:p>
                  <w:pPr>
                    <w:autoSpaceDE w:val="0"/>
                    <w:autoSpaceDN w:val="0"/>
                    <w:adjustRightInd w:val="0"/>
                    <w:jc w:val="left"/>
                    <w:rPr>
                      <w:b/>
                      <w:kern w:val="0"/>
                      <w:szCs w:val="21"/>
                    </w:rPr>
                  </w:pPr>
                  <w:bookmarkStart w:id="3" w:name="_Toc81935960"/>
                  <w:r>
                    <w:rPr>
                      <w:rFonts w:ascii="Calibri" w:hAnsi="Calibri" w:cs="Calibri"/>
                      <w:b/>
                      <w:szCs w:val="21"/>
                    </w:rPr>
                    <w:t>项目</w:t>
                  </w:r>
                  <w:bookmarkEnd w:id="3"/>
                </w:p>
              </w:tc>
              <w:tc>
                <w:tcPr>
                  <w:tcW w:w="1527" w:type="pct"/>
                  <w:vAlign w:val="center"/>
                </w:tcPr>
                <w:p>
                  <w:pPr>
                    <w:autoSpaceDE w:val="0"/>
                    <w:autoSpaceDN w:val="0"/>
                    <w:adjustRightInd w:val="0"/>
                    <w:jc w:val="left"/>
                    <w:rPr>
                      <w:b/>
                      <w:kern w:val="0"/>
                      <w:szCs w:val="21"/>
                    </w:rPr>
                  </w:pPr>
                  <w:bookmarkStart w:id="4" w:name="_Toc81935961"/>
                  <w:r>
                    <w:rPr>
                      <w:rFonts w:ascii="Calibri" w:hAnsi="Calibri" w:cs="Calibri"/>
                      <w:b/>
                      <w:szCs w:val="21"/>
                    </w:rPr>
                    <w:t>单位</w:t>
                  </w:r>
                  <w:bookmarkEnd w:id="4"/>
                </w:p>
              </w:tc>
              <w:tc>
                <w:tcPr>
                  <w:tcW w:w="1749" w:type="pct"/>
                  <w:vAlign w:val="center"/>
                </w:tcPr>
                <w:p>
                  <w:pPr>
                    <w:autoSpaceDE w:val="0"/>
                    <w:autoSpaceDN w:val="0"/>
                    <w:adjustRightInd w:val="0"/>
                    <w:jc w:val="left"/>
                    <w:rPr>
                      <w:b/>
                      <w:kern w:val="0"/>
                      <w:szCs w:val="21"/>
                    </w:rPr>
                  </w:pPr>
                  <w:bookmarkStart w:id="5" w:name="_Toc81935962"/>
                  <w:r>
                    <w:rPr>
                      <w:rFonts w:ascii="Calibri" w:hAnsi="Calibri" w:cs="Calibri"/>
                      <w:b/>
                      <w:szCs w:val="21"/>
                    </w:rPr>
                    <w:t>数量</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autoSpaceDE w:val="0"/>
                    <w:autoSpaceDN w:val="0"/>
                    <w:adjustRightInd w:val="0"/>
                    <w:jc w:val="left"/>
                    <w:rPr>
                      <w:kern w:val="0"/>
                      <w:szCs w:val="21"/>
                    </w:rPr>
                  </w:pPr>
                  <w:bookmarkStart w:id="6" w:name="_Toc26811747"/>
                  <w:r>
                    <w:rPr>
                      <w:rFonts w:ascii="Calibri" w:hAnsi="Calibri" w:cs="Calibri"/>
                      <w:bCs/>
                      <w:szCs w:val="21"/>
                    </w:rPr>
                    <w:t>光伏组件类型</w:t>
                  </w:r>
                  <w:bookmarkEnd w:id="6"/>
                </w:p>
              </w:tc>
              <w:tc>
                <w:tcPr>
                  <w:tcW w:w="1527" w:type="pct"/>
                  <w:vAlign w:val="center"/>
                </w:tcPr>
                <w:p>
                  <w:pPr>
                    <w:autoSpaceDE w:val="0"/>
                    <w:autoSpaceDN w:val="0"/>
                    <w:adjustRightInd w:val="0"/>
                    <w:jc w:val="left"/>
                    <w:rPr>
                      <w:kern w:val="0"/>
                      <w:szCs w:val="21"/>
                    </w:rPr>
                  </w:pPr>
                  <w:r>
                    <w:rPr>
                      <w:szCs w:val="21"/>
                    </w:rPr>
                    <w:t>/</w:t>
                  </w:r>
                </w:p>
              </w:tc>
              <w:tc>
                <w:tcPr>
                  <w:tcW w:w="1749" w:type="pct"/>
                  <w:vAlign w:val="center"/>
                </w:tcPr>
                <w:p>
                  <w:pPr>
                    <w:autoSpaceDE w:val="0"/>
                    <w:autoSpaceDN w:val="0"/>
                    <w:adjustRightInd w:val="0"/>
                    <w:jc w:val="left"/>
                    <w:rPr>
                      <w:kern w:val="0"/>
                      <w:szCs w:val="21"/>
                    </w:rPr>
                  </w:pPr>
                  <w:bookmarkStart w:id="7" w:name="_Toc81935965"/>
                  <w:r>
                    <w:rPr>
                      <w:rFonts w:ascii="Calibri" w:hAnsi="Calibri" w:cs="Calibri"/>
                      <w:szCs w:val="21"/>
                    </w:rPr>
                    <w:t>单晶双面双玻光伏组件</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8" w:name="_Toc26887086"/>
                  <w:r>
                    <w:rPr>
                      <w:rFonts w:ascii="Calibri" w:hAnsi="Calibri" w:cs="Calibri"/>
                      <w:bCs/>
                      <w:szCs w:val="21"/>
                    </w:rPr>
                    <w:t>峰值功率</w:t>
                  </w:r>
                  <w:bookmarkEnd w:id="8"/>
                </w:p>
              </w:tc>
              <w:tc>
                <w:tcPr>
                  <w:tcW w:w="1527" w:type="pct"/>
                  <w:vAlign w:val="center"/>
                </w:tcPr>
                <w:p>
                  <w:pPr>
                    <w:widowControl/>
                    <w:jc w:val="left"/>
                    <w:rPr>
                      <w:kern w:val="0"/>
                      <w:szCs w:val="21"/>
                    </w:rPr>
                  </w:pPr>
                  <w:bookmarkStart w:id="9" w:name="_Toc81935967"/>
                  <w:r>
                    <w:rPr>
                      <w:bCs/>
                      <w:szCs w:val="21"/>
                    </w:rPr>
                    <w:t>Wp</w:t>
                  </w:r>
                  <w:bookmarkEnd w:id="9"/>
                </w:p>
              </w:tc>
              <w:tc>
                <w:tcPr>
                  <w:tcW w:w="1749" w:type="pct"/>
                  <w:vAlign w:val="center"/>
                </w:tcPr>
                <w:p>
                  <w:pPr>
                    <w:widowControl/>
                    <w:jc w:val="left"/>
                    <w:rPr>
                      <w:kern w:val="0"/>
                      <w:szCs w:val="21"/>
                    </w:rPr>
                  </w:pPr>
                  <w:bookmarkStart w:id="10" w:name="_Toc81935968"/>
                  <w:r>
                    <w:rPr>
                      <w:szCs w:val="21"/>
                    </w:rPr>
                    <w:t>550</w:t>
                  </w:r>
                  <w:bookmarkEnd w:id="1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11" w:name="_Toc24702791"/>
                  <w:r>
                    <w:rPr>
                      <w:rFonts w:ascii="Calibri" w:hAnsi="Calibri" w:cs="Calibri"/>
                      <w:szCs w:val="21"/>
                    </w:rPr>
                    <w:t>开路电压（</w:t>
                  </w:r>
                  <w:r>
                    <w:rPr>
                      <w:szCs w:val="21"/>
                    </w:rPr>
                    <w:t>V</w:t>
                  </w:r>
                  <w:bookmarkEnd w:id="11"/>
                  <w:r>
                    <w:rPr>
                      <w:szCs w:val="21"/>
                      <w:vertAlign w:val="subscript"/>
                    </w:rPr>
                    <w:t>oc</w:t>
                  </w:r>
                  <w:r>
                    <w:rPr>
                      <w:rFonts w:ascii="Calibri" w:hAnsi="Calibri" w:cs="Calibri"/>
                      <w:szCs w:val="21"/>
                    </w:rPr>
                    <w:t>）</w:t>
                  </w:r>
                </w:p>
              </w:tc>
              <w:tc>
                <w:tcPr>
                  <w:tcW w:w="1527" w:type="pct"/>
                  <w:vAlign w:val="center"/>
                </w:tcPr>
                <w:p>
                  <w:pPr>
                    <w:widowControl/>
                    <w:jc w:val="left"/>
                    <w:rPr>
                      <w:kern w:val="0"/>
                      <w:szCs w:val="21"/>
                    </w:rPr>
                  </w:pPr>
                  <w:bookmarkStart w:id="12" w:name="_Toc26811755"/>
                  <w:r>
                    <w:rPr>
                      <w:szCs w:val="21"/>
                    </w:rPr>
                    <w:t>V</w:t>
                  </w:r>
                  <w:bookmarkEnd w:id="12"/>
                </w:p>
              </w:tc>
              <w:tc>
                <w:tcPr>
                  <w:tcW w:w="1749" w:type="pct"/>
                  <w:vAlign w:val="center"/>
                </w:tcPr>
                <w:p>
                  <w:pPr>
                    <w:widowControl/>
                    <w:jc w:val="left"/>
                    <w:rPr>
                      <w:kern w:val="0"/>
                      <w:szCs w:val="21"/>
                    </w:rPr>
                  </w:pPr>
                  <w:r>
                    <w:rPr>
                      <w:szCs w:val="21"/>
                    </w:rPr>
                    <w:t>49.8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13" w:name="_Toc26811758"/>
                  <w:r>
                    <w:rPr>
                      <w:rFonts w:ascii="Calibri" w:hAnsi="Calibri" w:cs="Calibri"/>
                      <w:szCs w:val="21"/>
                    </w:rPr>
                    <w:t>短路电流（</w:t>
                  </w:r>
                  <w:r>
                    <w:rPr>
                      <w:szCs w:val="21"/>
                    </w:rPr>
                    <w:t>I</w:t>
                  </w:r>
                  <w:bookmarkEnd w:id="13"/>
                  <w:r>
                    <w:rPr>
                      <w:szCs w:val="21"/>
                      <w:vertAlign w:val="subscript"/>
                    </w:rPr>
                    <w:t>sc</w:t>
                  </w:r>
                  <w:r>
                    <w:rPr>
                      <w:rFonts w:ascii="Calibri" w:hAnsi="Calibri" w:cs="Calibri"/>
                      <w:szCs w:val="21"/>
                    </w:rPr>
                    <w:t>）</w:t>
                  </w:r>
                </w:p>
              </w:tc>
              <w:tc>
                <w:tcPr>
                  <w:tcW w:w="1527" w:type="pct"/>
                  <w:vAlign w:val="center"/>
                </w:tcPr>
                <w:p>
                  <w:pPr>
                    <w:widowControl/>
                    <w:jc w:val="left"/>
                    <w:rPr>
                      <w:kern w:val="0"/>
                      <w:szCs w:val="21"/>
                    </w:rPr>
                  </w:pPr>
                  <w:bookmarkStart w:id="14" w:name="_Toc26811759"/>
                  <w:r>
                    <w:rPr>
                      <w:szCs w:val="21"/>
                    </w:rPr>
                    <w:t>A</w:t>
                  </w:r>
                  <w:bookmarkEnd w:id="14"/>
                </w:p>
              </w:tc>
              <w:tc>
                <w:tcPr>
                  <w:tcW w:w="1749" w:type="pct"/>
                  <w:vAlign w:val="center"/>
                </w:tcPr>
                <w:p>
                  <w:pPr>
                    <w:widowControl/>
                    <w:jc w:val="left"/>
                    <w:rPr>
                      <w:szCs w:val="21"/>
                    </w:rPr>
                  </w:pPr>
                  <w:r>
                    <w:rPr>
                      <w:spacing w:val="-5"/>
                      <w:szCs w:val="21"/>
                    </w:rPr>
                    <w:t>13.99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15" w:name="_Toc81935975"/>
                  <w:r>
                    <w:rPr>
                      <w:rFonts w:ascii="Calibri" w:hAnsi="Calibri" w:cs="Calibri"/>
                      <w:szCs w:val="21"/>
                    </w:rPr>
                    <w:t>工作电压（</w:t>
                  </w:r>
                  <w:r>
                    <w:rPr>
                      <w:szCs w:val="21"/>
                    </w:rPr>
                    <w:t>V</w:t>
                  </w:r>
                  <w:bookmarkEnd w:id="15"/>
                  <w:r>
                    <w:rPr>
                      <w:szCs w:val="21"/>
                      <w:vertAlign w:val="subscript"/>
                    </w:rPr>
                    <w:t>mppt</w:t>
                  </w:r>
                  <w:r>
                    <w:rPr>
                      <w:rFonts w:ascii="Calibri" w:hAnsi="Calibri" w:cs="Calibri"/>
                      <w:szCs w:val="21"/>
                    </w:rPr>
                    <w:t>）</w:t>
                  </w:r>
                </w:p>
              </w:tc>
              <w:tc>
                <w:tcPr>
                  <w:tcW w:w="1527" w:type="pct"/>
                  <w:vAlign w:val="center"/>
                </w:tcPr>
                <w:p>
                  <w:pPr>
                    <w:widowControl/>
                    <w:jc w:val="left"/>
                    <w:rPr>
                      <w:kern w:val="0"/>
                      <w:szCs w:val="21"/>
                    </w:rPr>
                  </w:pPr>
                  <w:bookmarkStart w:id="16" w:name="_Toc26811763"/>
                  <w:r>
                    <w:rPr>
                      <w:szCs w:val="21"/>
                    </w:rPr>
                    <w:t>V</w:t>
                  </w:r>
                  <w:bookmarkEnd w:id="16"/>
                </w:p>
              </w:tc>
              <w:tc>
                <w:tcPr>
                  <w:tcW w:w="1749" w:type="pct"/>
                  <w:vAlign w:val="center"/>
                </w:tcPr>
                <w:p>
                  <w:pPr>
                    <w:widowControl/>
                    <w:jc w:val="left"/>
                    <w:rPr>
                      <w:szCs w:val="21"/>
                    </w:rPr>
                  </w:pPr>
                  <w:r>
                    <w:rPr>
                      <w:spacing w:val="-1"/>
                      <w:szCs w:val="21"/>
                    </w:rPr>
                    <w:t>41.95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autoSpaceDE w:val="0"/>
                    <w:autoSpaceDN w:val="0"/>
                    <w:adjustRightInd w:val="0"/>
                    <w:jc w:val="left"/>
                    <w:rPr>
                      <w:kern w:val="0"/>
                      <w:szCs w:val="21"/>
                    </w:rPr>
                  </w:pPr>
                  <w:bookmarkStart w:id="17" w:name="_Toc26811766"/>
                  <w:r>
                    <w:rPr>
                      <w:rFonts w:ascii="Calibri" w:hAnsi="Calibri" w:cs="Calibri"/>
                      <w:szCs w:val="21"/>
                    </w:rPr>
                    <w:t>工作电流（</w:t>
                  </w:r>
                  <w:r>
                    <w:rPr>
                      <w:szCs w:val="21"/>
                    </w:rPr>
                    <w:t>I</w:t>
                  </w:r>
                  <w:bookmarkEnd w:id="17"/>
                  <w:r>
                    <w:rPr>
                      <w:szCs w:val="21"/>
                      <w:vertAlign w:val="subscript"/>
                    </w:rPr>
                    <w:t>mppt</w:t>
                  </w:r>
                  <w:r>
                    <w:rPr>
                      <w:rFonts w:ascii="Calibri" w:hAnsi="Calibri" w:cs="Calibri"/>
                      <w:szCs w:val="21"/>
                    </w:rPr>
                    <w:t>）</w:t>
                  </w:r>
                </w:p>
              </w:tc>
              <w:tc>
                <w:tcPr>
                  <w:tcW w:w="1527" w:type="pct"/>
                  <w:vAlign w:val="center"/>
                </w:tcPr>
                <w:p>
                  <w:pPr>
                    <w:autoSpaceDE w:val="0"/>
                    <w:autoSpaceDN w:val="0"/>
                    <w:adjustRightInd w:val="0"/>
                    <w:jc w:val="left"/>
                    <w:rPr>
                      <w:kern w:val="0"/>
                      <w:szCs w:val="21"/>
                    </w:rPr>
                  </w:pPr>
                  <w:bookmarkStart w:id="18" w:name="_Toc81935979"/>
                  <w:r>
                    <w:rPr>
                      <w:szCs w:val="21"/>
                    </w:rPr>
                    <w:t>A</w:t>
                  </w:r>
                  <w:bookmarkEnd w:id="18"/>
                </w:p>
              </w:tc>
              <w:tc>
                <w:tcPr>
                  <w:tcW w:w="1749" w:type="pct"/>
                  <w:vAlign w:val="center"/>
                </w:tcPr>
                <w:p>
                  <w:pPr>
                    <w:autoSpaceDE w:val="0"/>
                    <w:autoSpaceDN w:val="0"/>
                    <w:adjustRightInd w:val="0"/>
                    <w:jc w:val="left"/>
                    <w:rPr>
                      <w:kern w:val="0"/>
                      <w:szCs w:val="21"/>
                    </w:rPr>
                  </w:pPr>
                  <w:r>
                    <w:rPr>
                      <w:spacing w:val="-5"/>
                      <w:szCs w:val="21"/>
                    </w:rPr>
                    <w:t>13.12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19" w:name="_Toc81935981"/>
                  <w:r>
                    <w:rPr>
                      <w:rFonts w:ascii="Calibri" w:hAnsi="Calibri" w:cs="Calibri"/>
                      <w:szCs w:val="21"/>
                    </w:rPr>
                    <w:t>峰值功率温度系数</w:t>
                  </w:r>
                  <w:bookmarkEnd w:id="19"/>
                </w:p>
              </w:tc>
              <w:tc>
                <w:tcPr>
                  <w:tcW w:w="1527" w:type="pct"/>
                  <w:vAlign w:val="center"/>
                </w:tcPr>
                <w:p>
                  <w:pPr>
                    <w:widowControl/>
                    <w:jc w:val="left"/>
                    <w:rPr>
                      <w:kern w:val="0"/>
                      <w:szCs w:val="21"/>
                    </w:rPr>
                  </w:pPr>
                  <w:bookmarkStart w:id="20" w:name="_Toc24702808"/>
                  <w:r>
                    <w:rPr>
                      <w:szCs w:val="21"/>
                    </w:rPr>
                    <w:t>%/℃</w:t>
                  </w:r>
                  <w:bookmarkEnd w:id="20"/>
                </w:p>
              </w:tc>
              <w:tc>
                <w:tcPr>
                  <w:tcW w:w="1749" w:type="pct"/>
                  <w:vAlign w:val="center"/>
                </w:tcPr>
                <w:p>
                  <w:pPr>
                    <w:widowControl/>
                    <w:jc w:val="left"/>
                    <w:rPr>
                      <w:kern w:val="0"/>
                      <w:szCs w:val="21"/>
                    </w:rPr>
                  </w:pPr>
                  <w:bookmarkStart w:id="21" w:name="_Toc81935983"/>
                  <w:r>
                    <w:rPr>
                      <w:szCs w:val="21"/>
                    </w:rPr>
                    <w:t>-0.3</w:t>
                  </w:r>
                  <w:bookmarkEnd w:id="21"/>
                  <w:r>
                    <w:rPr>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autoSpaceDE w:val="0"/>
                    <w:autoSpaceDN w:val="0"/>
                    <w:adjustRightInd w:val="0"/>
                    <w:jc w:val="left"/>
                    <w:rPr>
                      <w:kern w:val="0"/>
                      <w:szCs w:val="21"/>
                    </w:rPr>
                  </w:pPr>
                  <w:bookmarkStart w:id="22" w:name="_Toc81935984"/>
                  <w:r>
                    <w:rPr>
                      <w:rFonts w:ascii="Calibri" w:hAnsi="Calibri" w:cs="Calibri"/>
                      <w:szCs w:val="21"/>
                    </w:rPr>
                    <w:t>开路电压温度系数</w:t>
                  </w:r>
                  <w:bookmarkEnd w:id="22"/>
                </w:p>
              </w:tc>
              <w:tc>
                <w:tcPr>
                  <w:tcW w:w="1527" w:type="pct"/>
                  <w:vAlign w:val="center"/>
                </w:tcPr>
                <w:p>
                  <w:pPr>
                    <w:autoSpaceDE w:val="0"/>
                    <w:autoSpaceDN w:val="0"/>
                    <w:adjustRightInd w:val="0"/>
                    <w:jc w:val="left"/>
                    <w:rPr>
                      <w:kern w:val="0"/>
                      <w:szCs w:val="21"/>
                    </w:rPr>
                  </w:pPr>
                  <w:bookmarkStart w:id="23" w:name="_Toc26811775"/>
                  <w:r>
                    <w:rPr>
                      <w:szCs w:val="21"/>
                    </w:rPr>
                    <w:t>%/℃</w:t>
                  </w:r>
                  <w:bookmarkEnd w:id="23"/>
                </w:p>
              </w:tc>
              <w:tc>
                <w:tcPr>
                  <w:tcW w:w="1749" w:type="pct"/>
                  <w:vAlign w:val="center"/>
                </w:tcPr>
                <w:p>
                  <w:pPr>
                    <w:autoSpaceDE w:val="0"/>
                    <w:autoSpaceDN w:val="0"/>
                    <w:adjustRightInd w:val="0"/>
                    <w:jc w:val="left"/>
                    <w:rPr>
                      <w:kern w:val="0"/>
                      <w:szCs w:val="21"/>
                    </w:rPr>
                  </w:pPr>
                  <w:bookmarkStart w:id="24" w:name="_Toc81935986"/>
                  <w:r>
                    <w:rPr>
                      <w:szCs w:val="21"/>
                    </w:rPr>
                    <w:t>-0.2</w:t>
                  </w:r>
                  <w:bookmarkEnd w:id="24"/>
                  <w:r>
                    <w:rPr>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25" w:name="_Toc24702815"/>
                  <w:r>
                    <w:rPr>
                      <w:rFonts w:ascii="Calibri" w:hAnsi="Calibri" w:cs="Calibri"/>
                      <w:szCs w:val="21"/>
                    </w:rPr>
                    <w:t>短路电流温度系数</w:t>
                  </w:r>
                  <w:bookmarkEnd w:id="25"/>
                </w:p>
              </w:tc>
              <w:tc>
                <w:tcPr>
                  <w:tcW w:w="1527" w:type="pct"/>
                  <w:vAlign w:val="center"/>
                </w:tcPr>
                <w:p>
                  <w:pPr>
                    <w:widowControl/>
                    <w:jc w:val="left"/>
                    <w:rPr>
                      <w:kern w:val="0"/>
                      <w:szCs w:val="21"/>
                    </w:rPr>
                  </w:pPr>
                  <w:bookmarkStart w:id="26" w:name="_Toc26811779"/>
                  <w:r>
                    <w:rPr>
                      <w:szCs w:val="21"/>
                    </w:rPr>
                    <w:t>%/℃</w:t>
                  </w:r>
                  <w:bookmarkEnd w:id="26"/>
                </w:p>
              </w:tc>
              <w:tc>
                <w:tcPr>
                  <w:tcW w:w="1749" w:type="pct"/>
                  <w:vAlign w:val="center"/>
                </w:tcPr>
                <w:p>
                  <w:pPr>
                    <w:widowControl/>
                    <w:jc w:val="left"/>
                    <w:rPr>
                      <w:kern w:val="0"/>
                      <w:szCs w:val="21"/>
                    </w:rPr>
                  </w:pPr>
                  <w:bookmarkStart w:id="27" w:name="_Toc81935989"/>
                  <w:r>
                    <w:rPr>
                      <w:szCs w:val="21"/>
                    </w:rPr>
                    <w:t>0.050</w:t>
                  </w:r>
                  <w:bookmarkEnd w:id="2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r>
                    <w:rPr>
                      <w:rFonts w:hint="eastAsia" w:ascii="Calibri" w:hAnsi="Calibri" w:cs="Calibri"/>
                      <w:szCs w:val="21"/>
                    </w:rPr>
                    <w:t>首年衰减率</w:t>
                  </w:r>
                </w:p>
              </w:tc>
              <w:tc>
                <w:tcPr>
                  <w:tcW w:w="1527" w:type="pct"/>
                  <w:vAlign w:val="center"/>
                </w:tcPr>
                <w:p>
                  <w:pPr>
                    <w:widowControl/>
                    <w:jc w:val="left"/>
                    <w:rPr>
                      <w:kern w:val="0"/>
                      <w:szCs w:val="21"/>
                    </w:rPr>
                  </w:pPr>
                  <w:bookmarkStart w:id="28" w:name="_Toc26811783"/>
                  <w:r>
                    <w:rPr>
                      <w:szCs w:val="21"/>
                    </w:rPr>
                    <w:t>%</w:t>
                  </w:r>
                  <w:bookmarkEnd w:id="28"/>
                </w:p>
              </w:tc>
              <w:tc>
                <w:tcPr>
                  <w:tcW w:w="1749" w:type="pct"/>
                  <w:vAlign w:val="center"/>
                </w:tcPr>
                <w:p>
                  <w:pPr>
                    <w:widowControl/>
                    <w:jc w:val="left"/>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29" w:name="_Toc26887122"/>
                  <w:r>
                    <w:rPr>
                      <w:rFonts w:ascii="Calibri" w:hAnsi="Calibri" w:cs="Calibri"/>
                      <w:szCs w:val="21"/>
                    </w:rPr>
                    <w:t>逐年衰减</w:t>
                  </w:r>
                  <w:bookmarkEnd w:id="29"/>
                </w:p>
              </w:tc>
              <w:tc>
                <w:tcPr>
                  <w:tcW w:w="1527" w:type="pct"/>
                  <w:vAlign w:val="center"/>
                </w:tcPr>
                <w:p>
                  <w:pPr>
                    <w:widowControl/>
                    <w:jc w:val="left"/>
                    <w:rPr>
                      <w:kern w:val="0"/>
                      <w:szCs w:val="21"/>
                    </w:rPr>
                  </w:pPr>
                  <w:bookmarkStart w:id="30" w:name="_Toc26811787"/>
                  <w:r>
                    <w:rPr>
                      <w:szCs w:val="21"/>
                    </w:rPr>
                    <w:t>%</w:t>
                  </w:r>
                  <w:bookmarkEnd w:id="30"/>
                </w:p>
              </w:tc>
              <w:tc>
                <w:tcPr>
                  <w:tcW w:w="1749" w:type="pct"/>
                  <w:vAlign w:val="center"/>
                </w:tcPr>
                <w:p>
                  <w:pPr>
                    <w:widowControl/>
                    <w:jc w:val="left"/>
                    <w:rPr>
                      <w:kern w:val="0"/>
                      <w:szCs w:val="21"/>
                    </w:rPr>
                  </w:pPr>
                  <w:bookmarkStart w:id="31" w:name="_Toc81935995"/>
                  <w:r>
                    <w:rPr>
                      <w:szCs w:val="21"/>
                    </w:rPr>
                    <w:t>0.45</w:t>
                  </w:r>
                  <w:bookmarkEnd w:id="3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32" w:name="_Toc26811790"/>
                  <w:r>
                    <w:rPr>
                      <w:rFonts w:ascii="Calibri" w:hAnsi="Calibri" w:cs="Calibri"/>
                      <w:szCs w:val="21"/>
                    </w:rPr>
                    <w:t>外形尺寸</w:t>
                  </w:r>
                  <w:bookmarkEnd w:id="32"/>
                </w:p>
              </w:tc>
              <w:tc>
                <w:tcPr>
                  <w:tcW w:w="1527" w:type="pct"/>
                  <w:vAlign w:val="center"/>
                </w:tcPr>
                <w:p>
                  <w:pPr>
                    <w:widowControl/>
                    <w:jc w:val="left"/>
                    <w:rPr>
                      <w:kern w:val="0"/>
                      <w:szCs w:val="21"/>
                    </w:rPr>
                  </w:pPr>
                  <w:bookmarkStart w:id="33" w:name="_Toc24702828"/>
                  <w:r>
                    <w:rPr>
                      <w:szCs w:val="21"/>
                    </w:rPr>
                    <w:t>mm</w:t>
                  </w:r>
                  <w:bookmarkEnd w:id="33"/>
                </w:p>
              </w:tc>
              <w:tc>
                <w:tcPr>
                  <w:tcW w:w="1749" w:type="pct"/>
                  <w:vAlign w:val="center"/>
                </w:tcPr>
                <w:p>
                  <w:pPr>
                    <w:widowControl/>
                    <w:jc w:val="left"/>
                    <w:rPr>
                      <w:kern w:val="0"/>
                      <w:szCs w:val="21"/>
                    </w:rPr>
                  </w:pPr>
                  <w:bookmarkStart w:id="34" w:name="_Toc81935998"/>
                  <w:r>
                    <w:rPr>
                      <w:szCs w:val="21"/>
                    </w:rPr>
                    <w:t>2278×1134×35</w:t>
                  </w:r>
                  <w:bookmarkEnd w:id="3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vAlign w:val="center"/>
                </w:tcPr>
                <w:p>
                  <w:pPr>
                    <w:widowControl/>
                    <w:jc w:val="left"/>
                    <w:rPr>
                      <w:kern w:val="0"/>
                      <w:szCs w:val="21"/>
                    </w:rPr>
                  </w:pPr>
                  <w:bookmarkStart w:id="35" w:name="_Toc26811794"/>
                  <w:r>
                    <w:rPr>
                      <w:rFonts w:ascii="Calibri" w:hAnsi="Calibri" w:cs="Calibri"/>
                      <w:szCs w:val="21"/>
                    </w:rPr>
                    <w:t>支架</w:t>
                  </w:r>
                  <w:r>
                    <w:rPr>
                      <w:rFonts w:hint="eastAsia" w:ascii="Calibri" w:hAnsi="Calibri" w:cs="Calibri"/>
                      <w:szCs w:val="21"/>
                    </w:rPr>
                    <w:t>钢材量</w:t>
                  </w:r>
                  <w:bookmarkEnd w:id="35"/>
                </w:p>
              </w:tc>
              <w:tc>
                <w:tcPr>
                  <w:tcW w:w="1527" w:type="pct"/>
                  <w:vAlign w:val="center"/>
                </w:tcPr>
                <w:p>
                  <w:pPr>
                    <w:widowControl/>
                    <w:jc w:val="left"/>
                    <w:rPr>
                      <w:kern w:val="0"/>
                      <w:szCs w:val="21"/>
                    </w:rPr>
                  </w:pPr>
                  <w:r>
                    <w:rPr>
                      <w:szCs w:val="21"/>
                    </w:rPr>
                    <w:t>t</w:t>
                  </w:r>
                </w:p>
              </w:tc>
              <w:tc>
                <w:tcPr>
                  <w:tcW w:w="1749" w:type="pct"/>
                  <w:vAlign w:val="center"/>
                </w:tcPr>
                <w:p>
                  <w:pPr>
                    <w:widowControl/>
                    <w:jc w:val="left"/>
                    <w:rPr>
                      <w:kern w:val="0"/>
                      <w:szCs w:val="21"/>
                    </w:rPr>
                  </w:pPr>
                  <w:r>
                    <w:rPr>
                      <w:szCs w:val="21"/>
                    </w:rPr>
                    <w:t>191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tcBorders>
                    <w:bottom w:val="single" w:color="auto" w:sz="6" w:space="0"/>
                  </w:tcBorders>
                  <w:vAlign w:val="center"/>
                </w:tcPr>
                <w:p>
                  <w:pPr>
                    <w:widowControl/>
                    <w:jc w:val="left"/>
                    <w:rPr>
                      <w:kern w:val="0"/>
                      <w:szCs w:val="21"/>
                    </w:rPr>
                  </w:pPr>
                  <w:r>
                    <w:rPr>
                      <w:rFonts w:hint="eastAsia"/>
                      <w:kern w:val="0"/>
                      <w:szCs w:val="21"/>
                    </w:rPr>
                    <w:t>子阵容量</w:t>
                  </w:r>
                </w:p>
              </w:tc>
              <w:tc>
                <w:tcPr>
                  <w:tcW w:w="1527" w:type="pct"/>
                  <w:tcBorders>
                    <w:bottom w:val="single" w:color="auto" w:sz="6" w:space="0"/>
                  </w:tcBorders>
                  <w:vAlign w:val="center"/>
                </w:tcPr>
                <w:p>
                  <w:pPr>
                    <w:widowControl/>
                    <w:jc w:val="left"/>
                    <w:rPr>
                      <w:kern w:val="0"/>
                      <w:szCs w:val="21"/>
                    </w:rPr>
                  </w:pPr>
                  <w:r>
                    <w:rPr>
                      <w:kern w:val="0"/>
                      <w:szCs w:val="21"/>
                    </w:rPr>
                    <w:t>MW</w:t>
                  </w:r>
                </w:p>
              </w:tc>
              <w:tc>
                <w:tcPr>
                  <w:tcW w:w="1749" w:type="pct"/>
                  <w:tcBorders>
                    <w:bottom w:val="single" w:color="auto" w:sz="6" w:space="0"/>
                  </w:tcBorders>
                  <w:vAlign w:val="center"/>
                </w:tcPr>
                <w:p>
                  <w:pPr>
                    <w:widowControl/>
                    <w:jc w:val="left"/>
                    <w:rPr>
                      <w:szCs w:val="21"/>
                    </w:rPr>
                  </w:pPr>
                  <w:r>
                    <w:rPr>
                      <w:szCs w:val="21"/>
                    </w:rPr>
                    <w:t>5.4912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4" w:type="pct"/>
                  <w:tcBorders>
                    <w:top w:val="single" w:color="auto" w:sz="6" w:space="0"/>
                    <w:bottom w:val="single" w:color="auto" w:sz="12" w:space="0"/>
                  </w:tcBorders>
                  <w:vAlign w:val="center"/>
                </w:tcPr>
                <w:p>
                  <w:pPr>
                    <w:widowControl/>
                    <w:jc w:val="left"/>
                    <w:rPr>
                      <w:kern w:val="0"/>
                      <w:szCs w:val="21"/>
                    </w:rPr>
                  </w:pPr>
                  <w:bookmarkStart w:id="36" w:name="_Toc26811805"/>
                  <w:r>
                    <w:rPr>
                      <w:rFonts w:ascii="Calibri" w:hAnsi="Calibri" w:cs="Calibri"/>
                      <w:szCs w:val="21"/>
                    </w:rPr>
                    <w:t>安装角度</w:t>
                  </w:r>
                  <w:bookmarkEnd w:id="36"/>
                </w:p>
              </w:tc>
              <w:tc>
                <w:tcPr>
                  <w:tcW w:w="1527" w:type="pct"/>
                  <w:tcBorders>
                    <w:top w:val="single" w:color="auto" w:sz="6" w:space="0"/>
                    <w:bottom w:val="single" w:color="auto" w:sz="12" w:space="0"/>
                  </w:tcBorders>
                  <w:vAlign w:val="center"/>
                </w:tcPr>
                <w:p>
                  <w:pPr>
                    <w:widowControl/>
                    <w:jc w:val="left"/>
                    <w:rPr>
                      <w:kern w:val="0"/>
                      <w:szCs w:val="21"/>
                    </w:rPr>
                  </w:pPr>
                  <w:bookmarkStart w:id="37" w:name="_Toc24702843"/>
                  <w:r>
                    <w:rPr>
                      <w:rFonts w:ascii="Calibri" w:hAnsi="Calibri" w:cs="Calibri"/>
                      <w:szCs w:val="21"/>
                    </w:rPr>
                    <w:t>（</w:t>
                  </w:r>
                  <w:r>
                    <w:rPr>
                      <w:szCs w:val="21"/>
                    </w:rPr>
                    <w:t>°</w:t>
                  </w:r>
                  <w:r>
                    <w:rPr>
                      <w:rFonts w:ascii="Calibri" w:hAnsi="Calibri" w:cs="Calibri"/>
                      <w:szCs w:val="21"/>
                    </w:rPr>
                    <w:t>）</w:t>
                  </w:r>
                  <w:bookmarkEnd w:id="37"/>
                </w:p>
              </w:tc>
              <w:tc>
                <w:tcPr>
                  <w:tcW w:w="1749" w:type="pct"/>
                  <w:tcBorders>
                    <w:top w:val="single" w:color="auto" w:sz="6" w:space="0"/>
                    <w:bottom w:val="single" w:color="auto" w:sz="12" w:space="0"/>
                  </w:tcBorders>
                  <w:vAlign w:val="center"/>
                </w:tcPr>
                <w:p>
                  <w:pPr>
                    <w:widowControl/>
                    <w:jc w:val="left"/>
                    <w:rPr>
                      <w:szCs w:val="21"/>
                    </w:rPr>
                  </w:pPr>
                  <w:r>
                    <w:rPr>
                      <w:szCs w:val="21"/>
                    </w:rPr>
                    <w:t>39</w:t>
                  </w:r>
                </w:p>
              </w:tc>
            </w:tr>
          </w:tbl>
          <w:p>
            <w:pPr>
              <w:pStyle w:val="46"/>
              <w:ind w:firstLine="480"/>
              <w:jc w:val="left"/>
              <w:rPr>
                <w:rFonts w:cs="Times New Roman"/>
              </w:rPr>
            </w:pPr>
          </w:p>
          <w:p>
            <w:pPr>
              <w:pStyle w:val="46"/>
              <w:ind w:firstLine="480"/>
              <w:jc w:val="left"/>
            </w:pPr>
            <w:r>
              <w:rPr>
                <w:rFonts w:hint="eastAsia"/>
              </w:rPr>
              <w:t>本期建设容量</w:t>
            </w:r>
            <w:r>
              <w:t>1</w:t>
            </w:r>
            <w:r>
              <w:rPr>
                <w:rFonts w:hint="eastAsia"/>
              </w:rPr>
              <w:t>50MW，采用固定支架，共设35个分区，采用固定式和平单轴跟踪运行方式，固定式支架采用2行13列竖向布置；本项目采用1500V系统，光伏组件串联数量为26块。每个方阵配置一台4.4MW/3.3MW/1.1MW箱逆变一体机，升压至35kV后集电送至220kV升压站。</w:t>
            </w:r>
          </w:p>
          <w:p>
            <w:pPr>
              <w:jc w:val="left"/>
            </w:pPr>
          </w:p>
          <w:p>
            <w:pPr>
              <w:pStyle w:val="46"/>
              <w:ind w:firstLine="480"/>
              <w:jc w:val="left"/>
            </w:pPr>
            <w:r>
              <w:rPr>
                <w:rFonts w:hint="eastAsia" w:ascii="宋体" w:hAnsi="宋体" w:cs="宋体"/>
              </w:rPr>
              <w:t>②</w:t>
            </w:r>
            <w:r>
              <w:t xml:space="preserve"> 升压站</w:t>
            </w:r>
          </w:p>
          <w:p>
            <w:pPr>
              <w:pStyle w:val="46"/>
              <w:ind w:firstLine="480"/>
              <w:jc w:val="left"/>
            </w:pPr>
            <w:r>
              <w:rPr>
                <w:rFonts w:hint="eastAsia"/>
              </w:rPr>
              <w:t>光伏升压站规划建设1台180MVA主变压器（含储能容量），设220kV、35kV两级电压，220kV规划出线1回，35kV规划出线8回，本期一次建成。</w:t>
            </w:r>
          </w:p>
          <w:p>
            <w:pPr>
              <w:pStyle w:val="26"/>
              <w:ind w:firstLine="480"/>
              <w:jc w:val="left"/>
              <w:rPr>
                <w:rFonts w:cs="Times New Roman"/>
              </w:rPr>
            </w:pPr>
            <w:r>
              <w:rPr>
                <w:rFonts w:hint="eastAsia" w:ascii="宋体" w:hAnsi="宋体" w:cs="宋体"/>
              </w:rPr>
              <w:t>③</w:t>
            </w:r>
            <w:r>
              <w:rPr>
                <w:rFonts w:cs="Times New Roman"/>
              </w:rPr>
              <w:t xml:space="preserve"> 储能系统</w:t>
            </w:r>
          </w:p>
          <w:p>
            <w:pPr>
              <w:pStyle w:val="46"/>
              <w:ind w:firstLine="480"/>
              <w:jc w:val="left"/>
              <w:rPr>
                <w:rFonts w:cs="Times New Roman"/>
              </w:rPr>
            </w:pPr>
            <w:r>
              <w:rPr>
                <w:rFonts w:hint="eastAsia" w:cs="Times New Roman"/>
              </w:rPr>
              <w:t>本工程采用磷酸铁锂电化学储能，容量为22.5MW/45MWh。储能系统由蓄电池、电池控制柜、电池供电柜、储能变流器、升压变压器等设备，以及电池管理系统、能量管理系统、就地控制系统等组成。储能装置布置于升压站北侧，最大程度减少储能集电线路长度。根据本工程需求拟配置22.5MW/45MWh储能系统，储能区四周设有消防通道。</w:t>
            </w:r>
          </w:p>
          <w:p>
            <w:pPr>
              <w:pStyle w:val="24"/>
              <w:ind w:firstLine="482"/>
              <w:jc w:val="left"/>
              <w:rPr>
                <w:rFonts w:cs="Times New Roman"/>
              </w:rPr>
            </w:pPr>
            <w:r>
              <w:rPr>
                <w:rFonts w:cs="Times New Roman"/>
              </w:rPr>
              <w:t>（2）</w:t>
            </w:r>
            <w:r>
              <w:rPr>
                <w:rFonts w:hint="eastAsia" w:cs="Times New Roman"/>
              </w:rPr>
              <w:t>辅助</w:t>
            </w:r>
            <w:r>
              <w:rPr>
                <w:rFonts w:cs="Times New Roman"/>
              </w:rPr>
              <w:t>工程</w:t>
            </w:r>
          </w:p>
          <w:p>
            <w:pPr>
              <w:pStyle w:val="26"/>
              <w:ind w:firstLine="480"/>
              <w:jc w:val="left"/>
              <w:rPr>
                <w:rFonts w:cs="Times New Roman"/>
              </w:rPr>
            </w:pPr>
            <w:r>
              <w:rPr>
                <w:rFonts w:hint="eastAsia" w:ascii="宋体" w:hAnsi="宋体" w:cs="宋体"/>
              </w:rPr>
              <w:t xml:space="preserve">① </w:t>
            </w:r>
            <w:r>
              <w:rPr>
                <w:rFonts w:cs="Times New Roman"/>
              </w:rPr>
              <w:t>进站道路：</w:t>
            </w:r>
            <w:r>
              <w:rPr>
                <w:rFonts w:hint="eastAsia" w:cs="Times New Roman"/>
              </w:rPr>
              <w:t>升压站进站道路采用4.5m宽郊区型水泥混凝土路面，由升压站南侧沙公线引接。</w:t>
            </w:r>
          </w:p>
          <w:p>
            <w:pPr>
              <w:pStyle w:val="26"/>
              <w:ind w:firstLine="480"/>
              <w:jc w:val="left"/>
              <w:rPr>
                <w:rFonts w:cs="Times New Roman"/>
              </w:rPr>
            </w:pPr>
            <w:r>
              <w:rPr>
                <w:rFonts w:hint="eastAsia" w:cs="Times New Roman"/>
              </w:rPr>
              <w:t xml:space="preserve">② </w:t>
            </w:r>
            <w:r>
              <w:rPr>
                <w:rFonts w:cs="Times New Roman"/>
              </w:rPr>
              <w:t>施工</w:t>
            </w:r>
            <w:r>
              <w:rPr>
                <w:rFonts w:hint="eastAsia" w:cs="Times New Roman"/>
              </w:rPr>
              <w:t>/</w:t>
            </w:r>
            <w:r>
              <w:rPr>
                <w:rFonts w:cs="Times New Roman"/>
              </w:rPr>
              <w:t>检修道路：</w:t>
            </w:r>
            <w:r>
              <w:rPr>
                <w:rFonts w:hint="eastAsia" w:cs="Times New Roman"/>
              </w:rPr>
              <w:t>光伏区内设置若干检修道路，检修道路采用泥结碎石道路，与箱变相连。光伏区内道路总长度约</w:t>
            </w:r>
            <w:r>
              <w:rPr>
                <w:rFonts w:cs="Times New Roman"/>
              </w:rPr>
              <w:t>10.8</w:t>
            </w:r>
            <w:r>
              <w:rPr>
                <w:rFonts w:hint="eastAsia" w:cs="Times New Roman"/>
              </w:rPr>
              <w:t>km，路基宽4.</w:t>
            </w:r>
            <w:r>
              <w:rPr>
                <w:rFonts w:cs="Times New Roman"/>
              </w:rPr>
              <w:t>5</w:t>
            </w:r>
            <w:r>
              <w:rPr>
                <w:rFonts w:hint="eastAsia" w:cs="Times New Roman"/>
              </w:rPr>
              <w:t>m，采用级配碎石路面。施工道路利用光伏场周边既有道路与光伏场检修道路，施工道路与检修道路永临结合，道路宽度6-10m，满足大件运输转弯半径要求，施工结束后留检修道路，恢复检修道路两侧植被。</w:t>
            </w:r>
          </w:p>
          <w:p>
            <w:pPr>
              <w:pStyle w:val="26"/>
              <w:ind w:firstLine="480"/>
              <w:jc w:val="left"/>
              <w:rPr>
                <w:rFonts w:cs="Times New Roman"/>
              </w:rPr>
            </w:pPr>
            <w:r>
              <w:rPr>
                <w:rFonts w:cs="Times New Roman"/>
              </w:rPr>
              <w:fldChar w:fldCharType="begin"/>
            </w:r>
            <w:r>
              <w:rPr>
                <w:rFonts w:cs="Times New Roman"/>
              </w:rPr>
              <w:instrText xml:space="preserve"> </w:instrText>
            </w:r>
            <w:r>
              <w:rPr>
                <w:rFonts w:hint="eastAsia" w:cs="Times New Roman"/>
              </w:rPr>
              <w:instrText xml:space="preserve">= 3 \* GB3</w:instrText>
            </w:r>
            <w:r>
              <w:rPr>
                <w:rFonts w:cs="Times New Roman"/>
              </w:rPr>
              <w:instrText xml:space="preserve"> </w:instrText>
            </w:r>
            <w:r>
              <w:rPr>
                <w:rFonts w:cs="Times New Roman"/>
              </w:rPr>
              <w:fldChar w:fldCharType="separate"/>
            </w:r>
            <w:r>
              <w:rPr>
                <w:rFonts w:hint="eastAsia" w:cs="Times New Roman"/>
              </w:rPr>
              <w:t>③</w:t>
            </w:r>
            <w:r>
              <w:rPr>
                <w:rFonts w:cs="Times New Roman"/>
              </w:rPr>
              <w:fldChar w:fldCharType="end"/>
            </w:r>
            <w:r>
              <w:rPr>
                <w:rFonts w:cs="Times New Roman"/>
              </w:rPr>
              <w:t>施工办公区及施工器械、车辆场地位于升压站东侧，租用当地闲置民房。</w:t>
            </w:r>
          </w:p>
          <w:p>
            <w:pPr>
              <w:pStyle w:val="26"/>
              <w:ind w:firstLine="480"/>
              <w:jc w:val="left"/>
              <w:rPr>
                <w:rFonts w:cs="Times New Roman"/>
              </w:rPr>
            </w:pPr>
            <w:r>
              <w:rPr>
                <w:rFonts w:cs="Times New Roman"/>
              </w:rPr>
              <w:fldChar w:fldCharType="begin"/>
            </w:r>
            <w:r>
              <w:rPr>
                <w:rFonts w:cs="Times New Roman"/>
              </w:rPr>
              <w:instrText xml:space="preserve"> </w:instrText>
            </w:r>
            <w:r>
              <w:rPr>
                <w:rFonts w:hint="eastAsia" w:cs="Times New Roman"/>
              </w:rPr>
              <w:instrText xml:space="preserve">= 4 \* GB3</w:instrText>
            </w:r>
            <w:r>
              <w:rPr>
                <w:rFonts w:cs="Times New Roman"/>
              </w:rPr>
              <w:instrText xml:space="preserve"> </w:instrText>
            </w:r>
            <w:r>
              <w:rPr>
                <w:rFonts w:cs="Times New Roman"/>
              </w:rPr>
              <w:fldChar w:fldCharType="separate"/>
            </w:r>
            <w:r>
              <w:rPr>
                <w:rFonts w:hint="eastAsia" w:cs="Times New Roman"/>
              </w:rPr>
              <w:t>④</w:t>
            </w:r>
            <w:r>
              <w:rPr>
                <w:rFonts w:cs="Times New Roman"/>
              </w:rPr>
              <w:fldChar w:fldCharType="end"/>
            </w:r>
            <w:r>
              <w:rPr>
                <w:rFonts w:hint="eastAsia" w:cs="Times New Roman"/>
              </w:rPr>
              <w:t>施工电源从附近10kV线路引接，长2000m，采用地埋电缆敷设方式。</w:t>
            </w:r>
          </w:p>
          <w:p>
            <w:pPr>
              <w:pStyle w:val="26"/>
              <w:ind w:firstLine="480"/>
              <w:jc w:val="left"/>
              <w:rPr>
                <w:rFonts w:cs="Times New Roman"/>
              </w:rPr>
            </w:pPr>
            <w:r>
              <w:rPr>
                <w:rFonts w:cs="Times New Roman"/>
              </w:rPr>
              <w:fldChar w:fldCharType="begin"/>
            </w:r>
            <w:r>
              <w:rPr>
                <w:rFonts w:cs="Times New Roman"/>
              </w:rPr>
              <w:instrText xml:space="preserve"> </w:instrText>
            </w:r>
            <w:r>
              <w:rPr>
                <w:rFonts w:hint="eastAsia" w:cs="Times New Roman"/>
              </w:rPr>
              <w:instrText xml:space="preserve">= 5 \* GB3</w:instrText>
            </w:r>
            <w:r>
              <w:rPr>
                <w:rFonts w:cs="Times New Roman"/>
              </w:rPr>
              <w:instrText xml:space="preserve"> </w:instrText>
            </w:r>
            <w:r>
              <w:rPr>
                <w:rFonts w:cs="Times New Roman"/>
              </w:rPr>
              <w:fldChar w:fldCharType="separate"/>
            </w:r>
            <w:r>
              <w:rPr>
                <w:rFonts w:hint="eastAsia" w:cs="Times New Roman"/>
              </w:rPr>
              <w:t>⑤</w:t>
            </w:r>
            <w:r>
              <w:rPr>
                <w:rFonts w:cs="Times New Roman"/>
              </w:rPr>
              <w:fldChar w:fldCharType="end"/>
            </w:r>
            <w:r>
              <w:rPr>
                <w:rFonts w:hint="eastAsia" w:cs="Times New Roman"/>
              </w:rPr>
              <w:t>光伏场地块3北侧为季节性河流达拉盖沟，为保证光伏场区不受河流洪水期影响，在地块3被刺沿河道设置240m长挡洪墙。</w:t>
            </w:r>
          </w:p>
          <w:p>
            <w:pPr>
              <w:pStyle w:val="24"/>
              <w:ind w:firstLine="482"/>
              <w:jc w:val="left"/>
              <w:rPr>
                <w:rFonts w:cs="Times New Roman"/>
              </w:rPr>
            </w:pPr>
            <w:r>
              <w:rPr>
                <w:rFonts w:cs="Times New Roman"/>
              </w:rPr>
              <w:t>（3）</w:t>
            </w:r>
            <w:r>
              <w:rPr>
                <w:rFonts w:hint="eastAsia" w:cs="Times New Roman"/>
              </w:rPr>
              <w:t>公用工程</w:t>
            </w:r>
          </w:p>
          <w:p>
            <w:pPr>
              <w:pStyle w:val="46"/>
              <w:ind w:firstLine="480"/>
              <w:jc w:val="left"/>
            </w:pPr>
            <w:r>
              <w:rPr>
                <w:rFonts w:hint="eastAsia"/>
              </w:rPr>
              <w:t>本项目新建（建）构筑物主要包括：综合楼、附属用房、220kV GIS室等；构筑物主要包括主变基础及油坑、220kV屋外配电装置架构及设备支架、35kV配电及站用电预制舱基础，动态无功补偿装置室外构筑物等建（构）筑物等。主要建（构）筑物的设计工作年限为50年。本工程升压站水源引接自升压站南侧绿源供水公司自来水，需敷设供水管线约1000m。冬季升压站内采暖使用辐射式电暖器采暖，设置就地温控系统。</w:t>
            </w:r>
          </w:p>
          <w:p>
            <w:pPr>
              <w:pStyle w:val="24"/>
              <w:ind w:firstLine="482"/>
              <w:jc w:val="left"/>
              <w:rPr>
                <w:rFonts w:cs="Times New Roman"/>
              </w:rPr>
            </w:pPr>
            <w:r>
              <w:rPr>
                <w:rFonts w:cs="Times New Roman"/>
              </w:rPr>
              <w:t>（4）环保工程</w:t>
            </w:r>
          </w:p>
          <w:p>
            <w:pPr>
              <w:pStyle w:val="46"/>
              <w:ind w:firstLine="480"/>
              <w:jc w:val="left"/>
            </w:pPr>
            <w:r>
              <w:rPr>
                <w:rFonts w:hint="eastAsia" w:ascii="宋体" w:hAnsi="宋体" w:cs="宋体"/>
              </w:rPr>
              <w:t>①</w:t>
            </w:r>
            <w:r>
              <w:t xml:space="preserve"> 升压站污水处理系统</w:t>
            </w:r>
          </w:p>
          <w:p>
            <w:pPr>
              <w:pStyle w:val="46"/>
              <w:ind w:firstLine="480"/>
              <w:jc w:val="left"/>
              <w:rPr>
                <w:szCs w:val="24"/>
              </w:rPr>
            </w:pPr>
            <w:r>
              <w:rPr>
                <w:rFonts w:hint="eastAsia"/>
              </w:rPr>
              <w:t>升压站设地埋式一体化污水处理设施，处理能力1m³/h，采用变频控制，根据实际污水产生量控制污水处理装置启停。生活污水经接触氧化、沉淀、消毒后汇集于集水井中回用于站区绿化和抑尘，冬季由环卫部门清掏运送至当地污水处理厂，不外排，本工程生活污水产生量为0</w:t>
            </w:r>
            <w:r>
              <w:t>.72m</w:t>
            </w:r>
            <w:r>
              <w:rPr>
                <w:rFonts w:cs="Times New Roman"/>
              </w:rPr>
              <w:t>³</w:t>
            </w:r>
            <w:r>
              <w:t>/d，集水井容积为</w:t>
            </w:r>
            <w:r>
              <w:rPr>
                <w:rFonts w:hint="eastAsia"/>
              </w:rPr>
              <w:t>1</w:t>
            </w:r>
            <w:r>
              <w:t>00m</w:t>
            </w:r>
            <w:r>
              <w:rPr>
                <w:rFonts w:cs="Times New Roman"/>
              </w:rPr>
              <w:t>³</w:t>
            </w:r>
            <w:r>
              <w:t>，集水井能够贮存冬季</w:t>
            </w:r>
            <w:r>
              <w:rPr>
                <w:rFonts w:hint="eastAsia"/>
              </w:rPr>
              <w:t>4个月的水量。</w:t>
            </w:r>
          </w:p>
          <w:p>
            <w:pPr>
              <w:pStyle w:val="26"/>
              <w:ind w:firstLine="480"/>
              <w:jc w:val="left"/>
              <w:rPr>
                <w:rFonts w:cs="Times New Roman"/>
              </w:rPr>
            </w:pPr>
            <w:r>
              <w:rPr>
                <w:rFonts w:hint="eastAsia" w:ascii="宋体" w:hAnsi="宋体" w:cs="宋体"/>
              </w:rPr>
              <w:t>②</w:t>
            </w:r>
            <w:r>
              <w:rPr>
                <w:rFonts w:cs="Times New Roman"/>
              </w:rPr>
              <w:t xml:space="preserve"> 固体废物处理</w:t>
            </w:r>
            <w:r>
              <w:rPr>
                <w:rFonts w:cs="Times New Roman"/>
              </w:rPr>
              <w:tab/>
            </w:r>
          </w:p>
          <w:p>
            <w:pPr>
              <w:pStyle w:val="46"/>
              <w:ind w:firstLine="480"/>
              <w:jc w:val="left"/>
              <w:rPr>
                <w:rFonts w:cs="Times New Roman"/>
              </w:rPr>
            </w:pPr>
            <w:r>
              <w:rPr>
                <w:rFonts w:cs="Times New Roman"/>
              </w:rPr>
              <w:t>生活垃圾：</w:t>
            </w:r>
            <w:r>
              <w:t>升压站</w:t>
            </w:r>
            <w:r>
              <w:rPr>
                <w:rFonts w:hint="eastAsia"/>
              </w:rPr>
              <w:t>内</w:t>
            </w:r>
            <w:r>
              <w:t>设置有垃圾箱，生活垃圾集中收集后，由当地环卫部门定期统一回收处理。</w:t>
            </w:r>
          </w:p>
          <w:p>
            <w:pPr>
              <w:pStyle w:val="46"/>
              <w:ind w:firstLine="480"/>
              <w:jc w:val="left"/>
            </w:pPr>
            <w:r>
              <w:t>废旧蓄电池：</w:t>
            </w:r>
            <w:r>
              <w:rPr>
                <w:rFonts w:hint="eastAsia"/>
              </w:rPr>
              <w:t>废蓄电池属危险废物（HW49其他废物，废物代码900-41-49）更换周期一般为1</w:t>
            </w:r>
            <w:r>
              <w:t>0年，</w:t>
            </w:r>
            <w:r>
              <w:rPr>
                <w:rFonts w:hint="eastAsia"/>
              </w:rPr>
              <w:t>在更换时由有资质的单位回收处置，不在站内暂存。</w:t>
            </w:r>
          </w:p>
          <w:p>
            <w:pPr>
              <w:pStyle w:val="46"/>
              <w:ind w:firstLine="480"/>
              <w:jc w:val="left"/>
            </w:pPr>
            <w:r>
              <w:rPr>
                <w:rFonts w:hint="eastAsia"/>
              </w:rPr>
              <w:t>储能装置废旧电池：储能装置运行过程中产生的废旧磷酸铁锂电池，不在《国家危险废物名录》（2021年版）内，属于一般固废，更换周期一般为1</w:t>
            </w:r>
            <w:r>
              <w:t>0年，</w:t>
            </w:r>
            <w:r>
              <w:rPr>
                <w:rFonts w:hint="eastAsia"/>
              </w:rPr>
              <w:t>在更换时由厂家直接回收处置，不在站内暂存。</w:t>
            </w:r>
          </w:p>
          <w:p>
            <w:pPr>
              <w:pStyle w:val="46"/>
              <w:ind w:firstLine="480"/>
              <w:jc w:val="left"/>
            </w:pPr>
            <w:r>
              <w:t>主变事故油：</w:t>
            </w:r>
            <w:r>
              <w:rPr>
                <w:rFonts w:cs="Times New Roman"/>
              </w:rPr>
              <w:t>按照《国家危险废物名录》（2021年版），主变压器事故油属危险废物(HW08废矿物油与含矿物油废物中900-220-08)。</w:t>
            </w:r>
            <w:r>
              <w:t>升压站新建1座事故油池，容积为80</w:t>
            </w:r>
            <w:r>
              <w:rPr>
                <w:rFonts w:hint="eastAsia"/>
              </w:rPr>
              <w:t>m³</w:t>
            </w:r>
            <w:r>
              <w:t>，</w:t>
            </w:r>
            <w:r>
              <w:rPr>
                <w:rFonts w:hint="eastAsia"/>
              </w:rPr>
              <w:t>事故油池可满足一台主变事故时的全部排油量。</w:t>
            </w:r>
            <w:r>
              <w:t>事故油池按照《危险废物贮存污染控制标准》（GB 18597—2023）的相关要求（防渗层为至少1m厚粘土层，渗透系数≤10</w:t>
            </w:r>
            <w:r>
              <w:rPr>
                <w:vertAlign w:val="superscript"/>
              </w:rPr>
              <w:t>-10</w:t>
            </w:r>
            <w:r>
              <w:t>cm/s；或2mm厚高密度聚乙烯，或至少2mm厚的其它人工材料，渗透系数≤10</w:t>
            </w:r>
            <w:r>
              <w:rPr>
                <w:vertAlign w:val="superscript"/>
              </w:rPr>
              <w:t>-10</w:t>
            </w:r>
            <w:r>
              <w:t>cm/s）进行防渗处理。</w:t>
            </w:r>
            <w:r>
              <w:rPr>
                <w:rFonts w:hint="eastAsia"/>
              </w:rPr>
              <w:t>主变</w:t>
            </w:r>
            <w:r>
              <w:t>事故油</w:t>
            </w:r>
            <w:r>
              <w:rPr>
                <w:rFonts w:hint="eastAsia"/>
              </w:rPr>
              <w:t>经事故油池</w:t>
            </w:r>
            <w:r>
              <w:t>收集</w:t>
            </w:r>
            <w:r>
              <w:rPr>
                <w:rFonts w:hint="eastAsia"/>
              </w:rPr>
              <w:t>后</w:t>
            </w:r>
            <w:r>
              <w:t>，由有资质的单位进行回收处置。</w:t>
            </w:r>
          </w:p>
          <w:p>
            <w:pPr>
              <w:pStyle w:val="46"/>
              <w:ind w:firstLine="480"/>
              <w:jc w:val="left"/>
              <w:rPr>
                <w:kern w:val="0"/>
              </w:rPr>
            </w:pPr>
            <w:r>
              <w:t>光伏场箱变事故油：</w:t>
            </w:r>
            <w:r>
              <w:rPr>
                <w:rFonts w:hint="eastAsia"/>
              </w:rPr>
              <w:t>按照《国家危险废物名录》（2021年版），箱式变压器事故油属危险废物(HW08废矿物油与含矿物油废物中900-220-08)。箱变事故油经</w:t>
            </w:r>
            <w:r>
              <w:t>箱变事故油池</w:t>
            </w:r>
            <w:r>
              <w:rPr>
                <w:rFonts w:hint="eastAsia"/>
              </w:rPr>
              <w:t>收集后</w:t>
            </w:r>
            <w:r>
              <w:rPr>
                <w:kern w:val="0"/>
              </w:rPr>
              <w:t>，由有资质单位回收处置。</w:t>
            </w:r>
          </w:p>
          <w:p>
            <w:pPr>
              <w:pStyle w:val="46"/>
              <w:ind w:firstLine="480"/>
              <w:jc w:val="left"/>
            </w:pPr>
            <w:r>
              <w:rPr>
                <w:rFonts w:hint="eastAsia"/>
              </w:rPr>
              <w:t>废光伏组件：废弃光伏板在更换时由厂家回收处理，不在站内暂存。</w:t>
            </w:r>
          </w:p>
          <w:p>
            <w:pPr>
              <w:pStyle w:val="46"/>
              <w:ind w:firstLine="480"/>
              <w:jc w:val="left"/>
            </w:pPr>
            <w:r>
              <w:rPr>
                <w:rFonts w:hint="eastAsia"/>
              </w:rPr>
              <w:t>③危废暂存间</w:t>
            </w:r>
          </w:p>
          <w:p>
            <w:pPr>
              <w:pStyle w:val="46"/>
              <w:ind w:firstLine="480"/>
              <w:jc w:val="left"/>
            </w:pPr>
            <w:r>
              <w:rPr>
                <w:rFonts w:hint="eastAsia"/>
              </w:rPr>
              <w:t>升压站设有30m²危废暂存间，检修废油暂存在危废暂存间，交由有资质单位处理，危废暂存间设于辅助用房最外边，独立房间，对外开门，设有警示标志。危废暂存间内靠外墙边设置导流槽，长度约5</w:t>
            </w:r>
            <w:r>
              <w:t>m，</w:t>
            </w:r>
            <w:r>
              <w:rPr>
                <w:rFonts w:hint="eastAsia"/>
              </w:rPr>
              <w:t>坡向收集井，导流槽末端设置收集井</w:t>
            </w:r>
            <w:r>
              <w:t>L</w:t>
            </w:r>
            <w:r>
              <w:rPr>
                <w:rFonts w:hint="eastAsia" w:ascii="宋体" w:hAnsi="宋体"/>
              </w:rPr>
              <w:t>×</w:t>
            </w:r>
            <w:r>
              <w:t>B</w:t>
            </w:r>
            <w:r>
              <w:rPr>
                <w:rFonts w:hint="eastAsia" w:ascii="宋体" w:hAnsi="宋体"/>
              </w:rPr>
              <w:t>×</w:t>
            </w:r>
            <w:r>
              <w:t>H为1</w:t>
            </w:r>
            <w:r>
              <w:rPr>
                <w:rFonts w:hint="eastAsia" w:ascii="宋体" w:hAnsi="宋体"/>
              </w:rPr>
              <w:t>×</w:t>
            </w:r>
            <w:r>
              <w:t>1</w:t>
            </w:r>
            <w:r>
              <w:rPr>
                <w:rFonts w:hint="eastAsia" w:ascii="宋体" w:hAnsi="宋体"/>
              </w:rPr>
              <w:t>×</w:t>
            </w:r>
            <w:r>
              <w:t>0.5m</w:t>
            </w:r>
            <w:r>
              <w:rPr>
                <w:rFonts w:hint="eastAsia"/>
              </w:rPr>
              <w:t>。</w:t>
            </w:r>
          </w:p>
          <w:p>
            <w:pPr>
              <w:pStyle w:val="46"/>
              <w:ind w:firstLine="480"/>
              <w:jc w:val="left"/>
            </w:pPr>
            <w:r>
              <w:rPr>
                <w:rFonts w:hint="eastAsia"/>
              </w:rPr>
              <w:t>危废暂存间设置依据的主要技术标准：《危险废物贮存污染控制标准》（GB 18597—2023），《危险废物收集 贮存 运输技术规范》（HJ 2025-2012）《危险废物处置工程技术导则》（HJ 2042-2014）。危废暂存间基本要求：</w:t>
            </w:r>
          </w:p>
          <w:p>
            <w:pPr>
              <w:pStyle w:val="46"/>
              <w:ind w:firstLine="480"/>
              <w:jc w:val="left"/>
            </w:pPr>
            <w:r>
              <w:t>1</w:t>
            </w:r>
            <w:r>
              <w:rPr>
                <w:rFonts w:hint="eastAsia"/>
              </w:rPr>
              <w:t>）房间内地面与裙脚要用坚固、防渗的材料建造，门口内侧设立围堰，地面应做好硬化及“防扬散、防流失、防渗漏”措施。</w:t>
            </w:r>
          </w:p>
          <w:p>
            <w:pPr>
              <w:pStyle w:val="46"/>
              <w:ind w:firstLine="480"/>
              <w:jc w:val="left"/>
            </w:pPr>
            <w:r>
              <w:rPr>
                <w:rFonts w:hint="eastAsia"/>
              </w:rPr>
              <w:t>2）存放装载液体、半固体危险废物容器的地方，必须有耐腐蚀的硬化地面，且表面无裂隙。</w:t>
            </w:r>
          </w:p>
          <w:p>
            <w:pPr>
              <w:pStyle w:val="46"/>
              <w:ind w:firstLine="480"/>
              <w:jc w:val="left"/>
            </w:pPr>
            <w:r>
              <w:rPr>
                <w:rFonts w:hint="eastAsia"/>
              </w:rPr>
              <w:t>3）基础必须防渗，防渗层为至少1米厚粘土层（渗透系数≤10</w:t>
            </w:r>
            <w:r>
              <w:rPr>
                <w:rFonts w:hint="eastAsia"/>
                <w:vertAlign w:val="superscript"/>
              </w:rPr>
              <w:t>-</w:t>
            </w:r>
            <w:r>
              <w:rPr>
                <w:vertAlign w:val="superscript"/>
              </w:rPr>
              <w:t>10</w:t>
            </w:r>
            <w:r>
              <w:rPr>
                <w:rFonts w:hint="eastAsia"/>
              </w:rPr>
              <w:t>c</w:t>
            </w:r>
            <w:r>
              <w:t>m</w:t>
            </w:r>
            <w:r>
              <w:rPr>
                <w:rFonts w:hint="eastAsia"/>
              </w:rPr>
              <w:t>/s），或2m</w:t>
            </w:r>
            <w:r>
              <w:t>m</w:t>
            </w:r>
            <w:r>
              <w:rPr>
                <w:rFonts w:hint="eastAsia"/>
              </w:rPr>
              <w:t>厚高密度聚乙烯，或至少2毫米厚的其它人工材料，渗透系数≤10</w:t>
            </w:r>
            <w:r>
              <w:rPr>
                <w:rFonts w:hint="eastAsia"/>
                <w:vertAlign w:val="superscript"/>
              </w:rPr>
              <w:t>-10</w:t>
            </w:r>
            <w:r>
              <w:rPr>
                <w:rFonts w:hint="eastAsia"/>
              </w:rPr>
              <w:t>c</w:t>
            </w:r>
            <w:r>
              <w:t>m</w:t>
            </w:r>
            <w:r>
              <w:rPr>
                <w:rFonts w:hint="eastAsia"/>
              </w:rPr>
              <w:t>/s。</w:t>
            </w:r>
          </w:p>
          <w:p>
            <w:pPr>
              <w:pStyle w:val="46"/>
              <w:ind w:firstLine="480"/>
              <w:jc w:val="left"/>
            </w:pPr>
            <w:r>
              <w:rPr>
                <w:rFonts w:hint="eastAsia"/>
              </w:rPr>
              <w:t>4）应设计堵截泄漏的裙脚，地面与裙脚所围建的容积不低于堵截最大容器的最大储量或总储量的五分之一。</w:t>
            </w:r>
          </w:p>
          <w:p>
            <w:pPr>
              <w:pStyle w:val="46"/>
              <w:ind w:firstLine="480"/>
              <w:jc w:val="left"/>
            </w:pPr>
            <w:r>
              <w:rPr>
                <w:rFonts w:hint="eastAsia"/>
              </w:rPr>
              <w:t>5）设施内要有安全照明设施和观察窗口。</w:t>
            </w:r>
          </w:p>
          <w:p>
            <w:pPr>
              <w:pStyle w:val="46"/>
              <w:ind w:firstLine="480"/>
              <w:jc w:val="left"/>
            </w:pPr>
            <w:r>
              <w:rPr>
                <w:rFonts w:hint="eastAsia"/>
              </w:rPr>
              <w:t>6）不相容的危险废物必须分开存放，并设有隔离间隔断。</w:t>
            </w:r>
          </w:p>
          <w:p>
            <w:pPr>
              <w:pStyle w:val="46"/>
              <w:ind w:firstLine="480"/>
              <w:jc w:val="left"/>
            </w:pPr>
            <w:r>
              <w:rPr>
                <w:rFonts w:hint="eastAsia"/>
              </w:rPr>
              <w:t>7）室外墙体粘贴危险废物警告标识。</w:t>
            </w:r>
          </w:p>
          <w:p>
            <w:pPr>
              <w:pStyle w:val="46"/>
              <w:ind w:firstLine="480"/>
              <w:jc w:val="left"/>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 噪声</w:t>
            </w:r>
          </w:p>
          <w:p>
            <w:pPr>
              <w:pStyle w:val="46"/>
              <w:ind w:firstLine="480"/>
              <w:jc w:val="left"/>
            </w:pPr>
            <w:r>
              <w:t>选用低噪声光伏组件及设备，且采取减振措施，加强日常维护，确保设备正常运行，加强道路行车管理，控制车速、严禁鸣笛、超载超速。</w:t>
            </w:r>
          </w:p>
          <w:p>
            <w:pPr>
              <w:pStyle w:val="24"/>
              <w:ind w:firstLine="482"/>
              <w:jc w:val="left"/>
              <w:rPr>
                <w:rFonts w:cs="Times New Roman"/>
              </w:rPr>
            </w:pPr>
            <w:r>
              <w:rPr>
                <w:rFonts w:hint="eastAsia" w:cs="Times New Roman"/>
              </w:rPr>
              <w:t>（5）生态治理工程</w:t>
            </w:r>
          </w:p>
          <w:p>
            <w:pPr>
              <w:pStyle w:val="46"/>
              <w:ind w:firstLine="480"/>
              <w:jc w:val="left"/>
            </w:pPr>
            <w:r>
              <w:t>生态治理工程由政府统一实施。本工程生态治理范围为光伏场</w:t>
            </w:r>
            <w:r>
              <w:rPr>
                <w:rFonts w:hint="eastAsia"/>
              </w:rPr>
              <w:t>6个地块及地块1周边，地块2边坡。地块1、地块2、地块3需外购覆土，矿区矿山修复土地在种植前，对治理区大型石块捡出，场地尽量平整，便于机械作业，避免形成洼地或梁埂。根据各地块实际情况，按照“占补平衡”，“宜林则林、宜草则草”的修复原则，将地块2露天采场边坡确定为灌木林地修复方向。根据实际面积和光伏设置及用途划分成片区，应用平地机耙平2-3遍。</w:t>
            </w:r>
          </w:p>
          <w:p>
            <w:pPr>
              <w:pStyle w:val="46"/>
              <w:ind w:firstLine="480"/>
              <w:jc w:val="left"/>
            </w:pPr>
            <w:r>
              <w:rPr>
                <w:rFonts w:hint="eastAsia"/>
              </w:rPr>
              <w:t>项目区均需进行土壤改良，针对土壤养分贫瘠，理化性状差，有机质含量少，土壤板结，可耕性差。采取有机肥、氮肥、磷肥等多种措施相结合的方式进行土壤改良，以增加土壤有机质含量，提高土壤生产力，改良方式主要为降雨前于种植区施肥，有机肥在植被建植前按量施入治理区，采用机械与人工结合，机械分散堆放，人工搂平整理，再将氮肥和磷肥按施入量均匀分散撒入修复地，有机肥、磷肥、氮肥全部施入修复地后，平台区采用机械浅层翻耕将表土与有机质充分拌合，完成后进行植被重建。</w:t>
            </w:r>
          </w:p>
          <w:p>
            <w:pPr>
              <w:pStyle w:val="46"/>
              <w:ind w:firstLine="480"/>
              <w:jc w:val="left"/>
            </w:pPr>
            <w:r>
              <w:rPr>
                <w:rFonts w:hint="eastAsia"/>
              </w:rPr>
              <w:t>项目区内光伏板之间的空地采用林光互补和草光互补的模式进行生态治理，在光伏板之间空地栽植具有产业优势的灌木或草本，为发展林草沙产业提供相应的产品。本工程选用人工牧草方式重建，人工牧草地采用的种子为碱草、羊草、燕麦草等，坡面采用灌木，播种方式为人工撒播，为增加种子成活率，设计草籽用量为15kg/亩，地块2对坡面进行清理，土壤改良后人工撒播乔灌草种子，依据坡面长度，将坡面分为上部与下部，在施工过程中要加大坡面上半部分播种量，草种选择适合当地生长的一年生和多年生乡土植物，豆科和禾本科相结合，如碱草、羊草、燕麦草、碱茅、黄芩、甘草、达乌里胡枝子、柠条、驼绒藜等。</w:t>
            </w:r>
          </w:p>
          <w:p>
            <w:pPr>
              <w:pStyle w:val="46"/>
              <w:ind w:firstLine="480"/>
              <w:jc w:val="left"/>
            </w:pPr>
            <w:r>
              <w:rPr>
                <w:rFonts w:hint="eastAsia"/>
              </w:rPr>
              <w:t>光伏场及周边顺地形进行整平，形成地势平坦的平面，再进行人工牧草地修复。</w:t>
            </w:r>
          </w:p>
          <w:p>
            <w:pPr>
              <w:pStyle w:val="46"/>
              <w:ind w:firstLine="480"/>
              <w:jc w:val="left"/>
            </w:pPr>
            <w:r>
              <w:rPr>
                <w:rFonts w:hint="eastAsia"/>
              </w:rPr>
              <w:t>利用机械对修复区表面进行覆土、地进行平整、土壤改良使其达到种植的要求。</w:t>
            </w:r>
          </w:p>
          <w:p>
            <w:pPr>
              <w:pStyle w:val="46"/>
              <w:ind w:firstLine="480"/>
              <w:jc w:val="left"/>
            </w:pPr>
            <w:r>
              <w:rPr>
                <w:rFonts w:hint="eastAsia"/>
              </w:rPr>
              <w:t>栽培成活率不合格的地段，应及时进行重新播撒草籽。伏天气温高，雨水少时要拉水灌溉抗旱；汛期，要做防汛工作，对土壤冲刷严重区域及时整平并覆客土绿化。</w:t>
            </w:r>
          </w:p>
          <w:p>
            <w:pPr>
              <w:pStyle w:val="46"/>
              <w:ind w:firstLine="480"/>
              <w:jc w:val="left"/>
            </w:pPr>
            <w:r>
              <w:rPr>
                <w:rFonts w:hint="eastAsia"/>
              </w:rPr>
              <w:t>灌溉水源采用水车浇水方式进行养护。</w:t>
            </w:r>
          </w:p>
          <w:p>
            <w:pPr>
              <w:pStyle w:val="46"/>
              <w:ind w:firstLine="480"/>
              <w:jc w:val="left"/>
            </w:pPr>
            <w:r>
              <w:rPr>
                <w:rFonts w:hint="eastAsia"/>
              </w:rPr>
              <w:t>草光互补模式是以流转使用的草地生态效益逐年增加为前提，不改变草地用途，不影响草本植物生长</w:t>
            </w:r>
            <w:r>
              <w:t>，</w:t>
            </w:r>
            <w:r>
              <w:rPr>
                <w:rFonts w:hint="eastAsia"/>
              </w:rPr>
              <w:t>光伏板最低点高度距栽植草本生长高度 0.6 m 以上。施工过程中严格按施工方案进行，加强施工现场管理，不得破坏现有植被，保证林地用途不改变。对已经栽植的灌木，生长过快的灌木进行修剪。草光互补模式既能得到光伏发电，又增加了绿地和产业林的面积，达到生态效益和经济效益双赢的效果。</w:t>
            </w:r>
          </w:p>
          <w:p>
            <w:pPr>
              <w:pStyle w:val="46"/>
              <w:ind w:firstLine="0" w:firstLineChars="0"/>
              <w:jc w:val="center"/>
              <w:rPr>
                <w:b/>
              </w:rPr>
            </w:pPr>
            <w:r>
              <w:drawing>
                <wp:anchor distT="0" distB="0" distL="114300" distR="114300" simplePos="0" relativeHeight="251742208" behindDoc="0" locked="0" layoutInCell="1" allowOverlap="1">
                  <wp:simplePos x="0" y="0"/>
                  <wp:positionH relativeFrom="column">
                    <wp:posOffset>4208780</wp:posOffset>
                  </wp:positionH>
                  <wp:positionV relativeFrom="paragraph">
                    <wp:posOffset>2696845</wp:posOffset>
                  </wp:positionV>
                  <wp:extent cx="815340" cy="895350"/>
                  <wp:effectExtent l="0" t="0" r="3810" b="0"/>
                  <wp:wrapNone/>
                  <wp:docPr id="13" name="图片 13" descr="E:\工作\2023年工作\(P732K)巴彦淖尔100万千瓦光储+生态治理项目乌拉特前旗15万千瓦项目环境影响评价报告\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工作\2023年工作\(P732K)巴彦淖尔100万千瓦光储+生态治理项目乌拉特前旗15万千瓦项目环境影响评价报告\图例1.jpg"/>
                          <pic:cNvPicPr>
                            <a:picLocks noChangeAspect="1" noChangeArrowheads="1"/>
                          </pic:cNvPicPr>
                        </pic:nvPicPr>
                        <pic:blipFill>
                          <a:blip r:embed="rId9" cstate="print">
                            <a:extLst>
                              <a:ext uri="{28A0092B-C50C-407E-A947-70E740481C1C}">
                                <a14:useLocalDpi xmlns:a14="http://schemas.microsoft.com/office/drawing/2010/main" val="0"/>
                              </a:ext>
                            </a:extLst>
                          </a:blip>
                          <a:srcRect l="14132" t="12212" r="13737" b="19357"/>
                          <a:stretch>
                            <a:fillRect/>
                          </a:stretch>
                        </pic:blipFill>
                        <pic:spPr>
                          <a:xfrm>
                            <a:off x="0" y="0"/>
                            <a:ext cx="815464" cy="895350"/>
                          </a:xfrm>
                          <a:prstGeom prst="rect">
                            <a:avLst/>
                          </a:prstGeom>
                          <a:noFill/>
                          <a:ln>
                            <a:noFill/>
                          </a:ln>
                        </pic:spPr>
                      </pic:pic>
                    </a:graphicData>
                  </a:graphic>
                </wp:anchor>
              </w:drawing>
            </w:r>
            <w:r>
              <w:rPr>
                <w:rFonts w:ascii="Calibri" w:hAnsi="Calibri" w:eastAsia="仿宋" w:cs="Times New Roman"/>
                <w:snapToGrid/>
                <w:szCs w:val="24"/>
              </w:rPr>
              <w:drawing>
                <wp:inline distT="0" distB="0" distL="114300" distR="114300">
                  <wp:extent cx="4953000" cy="3795395"/>
                  <wp:effectExtent l="19050" t="19050" r="19050" b="146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tretch>
                            <a:fillRect/>
                          </a:stretch>
                        </pic:blipFill>
                        <pic:spPr>
                          <a:xfrm>
                            <a:off x="0" y="0"/>
                            <a:ext cx="4961471" cy="3802120"/>
                          </a:xfrm>
                          <a:prstGeom prst="rect">
                            <a:avLst/>
                          </a:prstGeom>
                          <a:noFill/>
                          <a:ln>
                            <a:solidFill>
                              <a:sysClr val="windowText" lastClr="000000"/>
                            </a:solidFill>
                          </a:ln>
                        </pic:spPr>
                      </pic:pic>
                    </a:graphicData>
                  </a:graphic>
                </wp:inline>
              </w:drawing>
            </w:r>
          </w:p>
          <w:p>
            <w:pPr>
              <w:pStyle w:val="46"/>
              <w:ind w:firstLine="0" w:firstLineChars="0"/>
              <w:jc w:val="center"/>
              <w:rPr>
                <w:b/>
              </w:rPr>
            </w:pPr>
            <w:r>
              <w:rPr>
                <w:rFonts w:hint="eastAsia"/>
                <w:b/>
              </w:rPr>
              <w:t>图2</w:t>
            </w:r>
            <w:r>
              <w:rPr>
                <w:b/>
              </w:rPr>
              <w:t xml:space="preserve">.1-1  </w:t>
            </w:r>
            <w:r>
              <w:rPr>
                <w:rFonts w:hint="eastAsia"/>
                <w:b/>
              </w:rPr>
              <w:t>地块一土壤改良布置</w:t>
            </w:r>
            <w:r>
              <w:rPr>
                <w:b/>
              </w:rPr>
              <w:t>图</w:t>
            </w:r>
          </w:p>
          <w:p>
            <w:pPr>
              <w:pStyle w:val="46"/>
              <w:ind w:firstLine="0" w:firstLineChars="0"/>
              <w:jc w:val="center"/>
              <w:rPr>
                <w:b/>
              </w:rPr>
            </w:pPr>
            <w:r>
              <w:drawing>
                <wp:anchor distT="0" distB="0" distL="114300" distR="114300" simplePos="0" relativeHeight="251743232" behindDoc="0" locked="0" layoutInCell="1" allowOverlap="1">
                  <wp:simplePos x="0" y="0"/>
                  <wp:positionH relativeFrom="column">
                    <wp:posOffset>4274185</wp:posOffset>
                  </wp:positionH>
                  <wp:positionV relativeFrom="paragraph">
                    <wp:posOffset>2831465</wp:posOffset>
                  </wp:positionV>
                  <wp:extent cx="815340" cy="895350"/>
                  <wp:effectExtent l="0" t="0" r="3810" b="0"/>
                  <wp:wrapNone/>
                  <wp:docPr id="56" name="图片 56" descr="E:\工作\2023年工作\(P732K)巴彦淖尔100万千瓦光储+生态治理项目乌拉特前旗15万千瓦项目环境影响评价报告\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工作\2023年工作\(P732K)巴彦淖尔100万千瓦光储+生态治理项目乌拉特前旗15万千瓦项目环境影响评价报告\图例1.jpg"/>
                          <pic:cNvPicPr>
                            <a:picLocks noChangeAspect="1" noChangeArrowheads="1"/>
                          </pic:cNvPicPr>
                        </pic:nvPicPr>
                        <pic:blipFill>
                          <a:blip r:embed="rId9" cstate="print">
                            <a:extLst>
                              <a:ext uri="{28A0092B-C50C-407E-A947-70E740481C1C}">
                                <a14:useLocalDpi xmlns:a14="http://schemas.microsoft.com/office/drawing/2010/main" val="0"/>
                              </a:ext>
                            </a:extLst>
                          </a:blip>
                          <a:srcRect l="14132" t="12212" r="13737" b="19357"/>
                          <a:stretch>
                            <a:fillRect/>
                          </a:stretch>
                        </pic:blipFill>
                        <pic:spPr>
                          <a:xfrm>
                            <a:off x="0" y="0"/>
                            <a:ext cx="815464" cy="895350"/>
                          </a:xfrm>
                          <a:prstGeom prst="rect">
                            <a:avLst/>
                          </a:prstGeom>
                          <a:noFill/>
                          <a:ln>
                            <a:noFill/>
                          </a:ln>
                        </pic:spPr>
                      </pic:pic>
                    </a:graphicData>
                  </a:graphic>
                </wp:anchor>
              </w:drawing>
            </w:r>
            <w:r>
              <w:rPr>
                <w:rFonts w:ascii="Calibri" w:hAnsi="Calibri" w:eastAsia="仿宋" w:cs="Times New Roman"/>
                <w:snapToGrid/>
                <w:szCs w:val="24"/>
              </w:rPr>
              <w:drawing>
                <wp:inline distT="0" distB="0" distL="114300" distR="114300">
                  <wp:extent cx="5019675" cy="3863975"/>
                  <wp:effectExtent l="19050" t="19050" r="9525" b="222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5024119" cy="3867968"/>
                          </a:xfrm>
                          <a:prstGeom prst="rect">
                            <a:avLst/>
                          </a:prstGeom>
                          <a:noFill/>
                          <a:ln>
                            <a:solidFill>
                              <a:sysClr val="windowText" lastClr="000000"/>
                            </a:solidFill>
                          </a:ln>
                        </pic:spPr>
                      </pic:pic>
                    </a:graphicData>
                  </a:graphic>
                </wp:inline>
              </w:drawing>
            </w:r>
            <w:r>
              <w:drawing>
                <wp:anchor distT="0" distB="0" distL="114300" distR="114300" simplePos="0" relativeHeight="251744256" behindDoc="0" locked="0" layoutInCell="1" allowOverlap="1">
                  <wp:simplePos x="0" y="0"/>
                  <wp:positionH relativeFrom="column">
                    <wp:posOffset>4167505</wp:posOffset>
                  </wp:positionH>
                  <wp:positionV relativeFrom="paragraph">
                    <wp:posOffset>2820670</wp:posOffset>
                  </wp:positionV>
                  <wp:extent cx="815340" cy="895350"/>
                  <wp:effectExtent l="0" t="0" r="3810" b="0"/>
                  <wp:wrapNone/>
                  <wp:docPr id="59" name="图片 59" descr="E:\工作\2023年工作\(P732K)巴彦淖尔100万千瓦光储+生态治理项目乌拉特前旗15万千瓦项目环境影响评价报告\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工作\2023年工作\(P732K)巴彦淖尔100万千瓦光储+生态治理项目乌拉特前旗15万千瓦项目环境影响评价报告\图例1.jpg"/>
                          <pic:cNvPicPr>
                            <a:picLocks noChangeAspect="1" noChangeArrowheads="1"/>
                          </pic:cNvPicPr>
                        </pic:nvPicPr>
                        <pic:blipFill>
                          <a:blip r:embed="rId9" cstate="print">
                            <a:extLst>
                              <a:ext uri="{28A0092B-C50C-407E-A947-70E740481C1C}">
                                <a14:useLocalDpi xmlns:a14="http://schemas.microsoft.com/office/drawing/2010/main" val="0"/>
                              </a:ext>
                            </a:extLst>
                          </a:blip>
                          <a:srcRect l="14132" t="12212" r="13737" b="19357"/>
                          <a:stretch>
                            <a:fillRect/>
                          </a:stretch>
                        </pic:blipFill>
                        <pic:spPr>
                          <a:xfrm>
                            <a:off x="0" y="0"/>
                            <a:ext cx="815464" cy="895350"/>
                          </a:xfrm>
                          <a:prstGeom prst="rect">
                            <a:avLst/>
                          </a:prstGeom>
                          <a:noFill/>
                          <a:ln>
                            <a:noFill/>
                          </a:ln>
                        </pic:spPr>
                      </pic:pic>
                    </a:graphicData>
                  </a:graphic>
                </wp:anchor>
              </w:drawing>
            </w:r>
            <w:r>
              <w:rPr>
                <w:rFonts w:ascii="Calibri" w:hAnsi="Calibri" w:eastAsia="仿宋" w:cs="Times New Roman"/>
                <w:snapToGrid/>
                <w:szCs w:val="24"/>
              </w:rPr>
              <w:drawing>
                <wp:inline distT="0" distB="0" distL="114300" distR="114300">
                  <wp:extent cx="5019675" cy="3863975"/>
                  <wp:effectExtent l="19050" t="19050" r="9525" b="2222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5024119" cy="3867968"/>
                          </a:xfrm>
                          <a:prstGeom prst="rect">
                            <a:avLst/>
                          </a:prstGeom>
                          <a:noFill/>
                          <a:ln>
                            <a:solidFill>
                              <a:sysClr val="windowText" lastClr="000000"/>
                            </a:solidFill>
                          </a:ln>
                        </pic:spPr>
                      </pic:pic>
                    </a:graphicData>
                  </a:graphic>
                </wp:inline>
              </w:drawing>
            </w:r>
          </w:p>
          <w:p>
            <w:pPr>
              <w:pStyle w:val="44"/>
              <w:spacing w:before="120"/>
              <w:jc w:val="center"/>
              <w:rPr>
                <w:rFonts w:cs="Times New Roman"/>
                <w:color w:val="auto"/>
                <w:sz w:val="24"/>
                <w:szCs w:val="24"/>
              </w:rPr>
            </w:pPr>
            <w:r>
              <w:rPr>
                <w:rFonts w:hint="eastAsia" w:cs="Times New Roman"/>
                <w:color w:val="auto"/>
                <w:sz w:val="24"/>
                <w:szCs w:val="24"/>
              </w:rPr>
              <w:t>图2.1-</w:t>
            </w:r>
            <w:r>
              <w:rPr>
                <w:rFonts w:cs="Times New Roman"/>
                <w:color w:val="auto"/>
                <w:sz w:val="24"/>
                <w:szCs w:val="24"/>
              </w:rPr>
              <w:t>2</w:t>
            </w:r>
            <w:r>
              <w:rPr>
                <w:rFonts w:hint="eastAsia" w:cs="Times New Roman"/>
                <w:color w:val="auto"/>
                <w:sz w:val="24"/>
                <w:szCs w:val="24"/>
              </w:rPr>
              <w:t xml:space="preserve">  地块二、三土壤改良布置图</w:t>
            </w:r>
          </w:p>
          <w:p>
            <w:pPr>
              <w:pStyle w:val="44"/>
              <w:spacing w:before="120"/>
              <w:jc w:val="left"/>
              <w:rPr>
                <w:rFonts w:cs="Times New Roman"/>
                <w:color w:val="auto"/>
              </w:rPr>
            </w:pPr>
            <w:r>
              <w:rPr>
                <w:color w:val="auto"/>
              </w:rPr>
              <w:drawing>
                <wp:anchor distT="0" distB="0" distL="114300" distR="114300" simplePos="0" relativeHeight="251745280" behindDoc="0" locked="0" layoutInCell="1" allowOverlap="1">
                  <wp:simplePos x="0" y="0"/>
                  <wp:positionH relativeFrom="column">
                    <wp:posOffset>4013835</wp:posOffset>
                  </wp:positionH>
                  <wp:positionV relativeFrom="paragraph">
                    <wp:posOffset>2745740</wp:posOffset>
                  </wp:positionV>
                  <wp:extent cx="815340" cy="895350"/>
                  <wp:effectExtent l="0" t="0" r="3810" b="0"/>
                  <wp:wrapNone/>
                  <wp:docPr id="60" name="图片 60" descr="E:\工作\2023年工作\(P732K)巴彦淖尔100万千瓦光储+生态治理项目乌拉特前旗15万千瓦项目环境影响评价报告\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工作\2023年工作\(P732K)巴彦淖尔100万千瓦光储+生态治理项目乌拉特前旗15万千瓦项目环境影响评价报告\图例1.jpg"/>
                          <pic:cNvPicPr>
                            <a:picLocks noChangeAspect="1" noChangeArrowheads="1"/>
                          </pic:cNvPicPr>
                        </pic:nvPicPr>
                        <pic:blipFill>
                          <a:blip r:embed="rId9" cstate="print">
                            <a:extLst>
                              <a:ext uri="{28A0092B-C50C-407E-A947-70E740481C1C}">
                                <a14:useLocalDpi xmlns:a14="http://schemas.microsoft.com/office/drawing/2010/main" val="0"/>
                              </a:ext>
                            </a:extLst>
                          </a:blip>
                          <a:srcRect l="14132" t="12212" r="13737" b="19357"/>
                          <a:stretch>
                            <a:fillRect/>
                          </a:stretch>
                        </pic:blipFill>
                        <pic:spPr>
                          <a:xfrm>
                            <a:off x="0" y="0"/>
                            <a:ext cx="815464" cy="895350"/>
                          </a:xfrm>
                          <a:prstGeom prst="rect">
                            <a:avLst/>
                          </a:prstGeom>
                          <a:noFill/>
                          <a:ln>
                            <a:noFill/>
                          </a:ln>
                        </pic:spPr>
                      </pic:pic>
                    </a:graphicData>
                  </a:graphic>
                </wp:anchor>
              </w:drawing>
            </w:r>
            <w:r>
              <w:rPr>
                <w:rFonts w:cs="Times New Roman"/>
                <w:color w:val="auto"/>
              </w:rPr>
              <w:drawing>
                <wp:inline distT="0" distB="0" distL="0" distR="0">
                  <wp:extent cx="4876800" cy="37414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86061" cy="3748676"/>
                          </a:xfrm>
                          <a:prstGeom prst="rect">
                            <a:avLst/>
                          </a:prstGeom>
                          <a:noFill/>
                        </pic:spPr>
                      </pic:pic>
                    </a:graphicData>
                  </a:graphic>
                </wp:inline>
              </w:drawing>
            </w:r>
          </w:p>
          <w:p>
            <w:pPr>
              <w:shd w:val="clear" w:color="auto" w:fill="FFFFFF"/>
              <w:adjustRightInd w:val="0"/>
              <w:snapToGrid w:val="0"/>
              <w:spacing w:before="120" w:beforeLines="50" w:line="360" w:lineRule="auto"/>
              <w:ind w:firstLine="480"/>
              <w:jc w:val="center"/>
              <w:outlineLvl w:val="1"/>
              <w:rPr>
                <w:b/>
                <w:sz w:val="24"/>
              </w:rPr>
            </w:pPr>
            <w:r>
              <w:rPr>
                <w:rFonts w:hint="eastAsia"/>
                <w:b/>
                <w:sz w:val="24"/>
              </w:rPr>
              <w:t>图2.1-</w:t>
            </w:r>
            <w:r>
              <w:rPr>
                <w:b/>
                <w:sz w:val="24"/>
              </w:rPr>
              <w:t>3</w:t>
            </w:r>
            <w:r>
              <w:rPr>
                <w:rFonts w:hint="eastAsia"/>
                <w:b/>
                <w:sz w:val="24"/>
              </w:rPr>
              <w:t xml:space="preserve">  地块四、五、六土壤改良布置图</w:t>
            </w:r>
          </w:p>
          <w:p>
            <w:pPr>
              <w:pStyle w:val="44"/>
              <w:spacing w:before="120"/>
              <w:jc w:val="left"/>
              <w:rPr>
                <w:rFonts w:cs="Times New Roman"/>
                <w:color w:val="auto"/>
              </w:rPr>
            </w:pPr>
            <w:r>
              <w:rPr>
                <w:color w:val="auto"/>
              </w:rPr>
              <w:drawing>
                <wp:anchor distT="0" distB="0" distL="114300" distR="114300" simplePos="0" relativeHeight="251748352" behindDoc="0" locked="0" layoutInCell="1" allowOverlap="1">
                  <wp:simplePos x="0" y="0"/>
                  <wp:positionH relativeFrom="column">
                    <wp:posOffset>3735705</wp:posOffset>
                  </wp:positionH>
                  <wp:positionV relativeFrom="paragraph">
                    <wp:posOffset>182245</wp:posOffset>
                  </wp:positionV>
                  <wp:extent cx="1078865" cy="1219200"/>
                  <wp:effectExtent l="0" t="0" r="7620" b="0"/>
                  <wp:wrapNone/>
                  <wp:docPr id="64" name="图片 64" descr="E:\工作\2023年工作\(P732K)巴彦淖尔100万千瓦光储+生态治理项目乌拉特前旗15万千瓦项目环境影响评价报告\图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工作\2023年工作\(P732K)巴彦淖尔100万千瓦光储+生态治理项目乌拉特前旗15万千瓦项目环境影响评价报告\图例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176" t="15052" r="8941" b="11752"/>
                          <a:stretch>
                            <a:fillRect/>
                          </a:stretch>
                        </pic:blipFill>
                        <pic:spPr>
                          <a:xfrm>
                            <a:off x="0" y="0"/>
                            <a:ext cx="1078693" cy="1219200"/>
                          </a:xfrm>
                          <a:prstGeom prst="rect">
                            <a:avLst/>
                          </a:prstGeom>
                          <a:noFill/>
                          <a:ln>
                            <a:noFill/>
                          </a:ln>
                        </pic:spPr>
                      </pic:pic>
                    </a:graphicData>
                  </a:graphic>
                </wp:anchor>
              </w:drawing>
            </w:r>
            <w:r>
              <w:rPr>
                <w:color w:val="auto"/>
              </w:rPr>
              <w:drawing>
                <wp:inline distT="0" distB="0" distL="0" distR="0">
                  <wp:extent cx="4876800" cy="3797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flipV="1">
                            <a:off x="0" y="0"/>
                            <a:ext cx="4996661" cy="3891086"/>
                          </a:xfrm>
                          <a:prstGeom prst="rect">
                            <a:avLst/>
                          </a:prstGeom>
                          <a:noFill/>
                        </pic:spPr>
                      </pic:pic>
                    </a:graphicData>
                  </a:graphic>
                </wp:inline>
              </w:drawing>
            </w:r>
          </w:p>
          <w:p>
            <w:pPr>
              <w:pStyle w:val="46"/>
              <w:ind w:firstLine="0" w:firstLineChars="0"/>
              <w:jc w:val="center"/>
            </w:pPr>
            <w:r>
              <w:rPr>
                <w:rFonts w:hint="eastAsia"/>
                <w:b/>
              </w:rPr>
              <w:t>图2</w:t>
            </w:r>
            <w:r>
              <w:rPr>
                <w:b/>
              </w:rPr>
              <w:t>.2-1地块一</w:t>
            </w:r>
            <w:r>
              <w:rPr>
                <w:rFonts w:hint="eastAsia"/>
                <w:b/>
              </w:rPr>
              <w:t>生态治理工程种植平面</w:t>
            </w:r>
            <w:r>
              <w:rPr>
                <w:b/>
              </w:rPr>
              <w:t>布置图</w:t>
            </w:r>
          </w:p>
          <w:p>
            <w:pPr>
              <w:pStyle w:val="46"/>
              <w:ind w:firstLine="0" w:firstLineChars="0"/>
              <w:jc w:val="center"/>
              <w:rPr>
                <w:b/>
              </w:rPr>
            </w:pPr>
            <w:r>
              <w:drawing>
                <wp:anchor distT="0" distB="0" distL="114300" distR="114300" simplePos="0" relativeHeight="251747328" behindDoc="0" locked="0" layoutInCell="1" allowOverlap="1">
                  <wp:simplePos x="0" y="0"/>
                  <wp:positionH relativeFrom="column">
                    <wp:posOffset>3985260</wp:posOffset>
                  </wp:positionH>
                  <wp:positionV relativeFrom="paragraph">
                    <wp:posOffset>2120265</wp:posOffset>
                  </wp:positionV>
                  <wp:extent cx="1078865" cy="1219200"/>
                  <wp:effectExtent l="0" t="0" r="7620" b="0"/>
                  <wp:wrapNone/>
                  <wp:docPr id="62" name="图片 62" descr="E:\工作\2023年工作\(P732K)巴彦淖尔100万千瓦光储+生态治理项目乌拉特前旗15万千瓦项目环境影响评价报告\图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工作\2023年工作\(P732K)巴彦淖尔100万千瓦光储+生态治理项目乌拉特前旗15万千瓦项目环境影响评价报告\图例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176" t="15052" r="8941" b="11752"/>
                          <a:stretch>
                            <a:fillRect/>
                          </a:stretch>
                        </pic:blipFill>
                        <pic:spPr>
                          <a:xfrm>
                            <a:off x="0" y="0"/>
                            <a:ext cx="1082326" cy="1223306"/>
                          </a:xfrm>
                          <a:prstGeom prst="rect">
                            <a:avLst/>
                          </a:prstGeom>
                          <a:noFill/>
                          <a:ln>
                            <a:noFill/>
                          </a:ln>
                        </pic:spPr>
                      </pic:pic>
                    </a:graphicData>
                  </a:graphic>
                </wp:anchor>
              </w:drawing>
            </w:r>
            <w:r>
              <w:drawing>
                <wp:inline distT="0" distB="0" distL="0" distR="0">
                  <wp:extent cx="4972050" cy="38277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69146" cy="3902568"/>
                          </a:xfrm>
                          <a:prstGeom prst="rect">
                            <a:avLst/>
                          </a:prstGeom>
                          <a:noFill/>
                        </pic:spPr>
                      </pic:pic>
                    </a:graphicData>
                  </a:graphic>
                </wp:inline>
              </w:drawing>
            </w:r>
          </w:p>
          <w:p>
            <w:pPr>
              <w:pStyle w:val="46"/>
              <w:ind w:firstLine="0" w:firstLineChars="0"/>
              <w:jc w:val="center"/>
              <w:rPr>
                <w:b/>
              </w:rPr>
            </w:pPr>
            <w:r>
              <w:rPr>
                <w:rFonts w:hint="eastAsia"/>
                <w:b/>
              </w:rPr>
              <w:t>2</w:t>
            </w:r>
            <w:r>
              <w:rPr>
                <w:b/>
              </w:rPr>
              <w:t>.2-2地块二、三</w:t>
            </w:r>
            <w:r>
              <w:rPr>
                <w:rFonts w:hint="eastAsia"/>
                <w:b/>
              </w:rPr>
              <w:t>生态治理工程种植平面</w:t>
            </w:r>
            <w:r>
              <w:rPr>
                <w:b/>
              </w:rPr>
              <w:t>布置图</w:t>
            </w:r>
          </w:p>
          <w:p>
            <w:pPr>
              <w:pStyle w:val="46"/>
              <w:ind w:firstLine="0" w:firstLineChars="0"/>
              <w:jc w:val="center"/>
              <w:rPr>
                <w:b/>
              </w:rPr>
            </w:pPr>
            <w:r>
              <w:drawing>
                <wp:anchor distT="0" distB="0" distL="114300" distR="114300" simplePos="0" relativeHeight="251746304" behindDoc="0" locked="0" layoutInCell="1" allowOverlap="1">
                  <wp:simplePos x="0" y="0"/>
                  <wp:positionH relativeFrom="column">
                    <wp:posOffset>4018280</wp:posOffset>
                  </wp:positionH>
                  <wp:positionV relativeFrom="paragraph">
                    <wp:posOffset>2344420</wp:posOffset>
                  </wp:positionV>
                  <wp:extent cx="960755" cy="1085850"/>
                  <wp:effectExtent l="0" t="0" r="0" b="0"/>
                  <wp:wrapNone/>
                  <wp:docPr id="61" name="图片 61" descr="E:\工作\2023年工作\(P732K)巴彦淖尔100万千瓦光储+生态治理项目乌拉特前旗15万千瓦项目环境影响评价报告\图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工作\2023年工作\(P732K)巴彦淖尔100万千瓦光储+生态治理项目乌拉特前旗15万千瓦项目环境影响评价报告\图例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176" t="15052" r="8941" b="11752"/>
                          <a:stretch>
                            <a:fillRect/>
                          </a:stretch>
                        </pic:blipFill>
                        <pic:spPr>
                          <a:xfrm>
                            <a:off x="0" y="0"/>
                            <a:ext cx="960711" cy="1085850"/>
                          </a:xfrm>
                          <a:prstGeom prst="rect">
                            <a:avLst/>
                          </a:prstGeom>
                          <a:noFill/>
                          <a:ln>
                            <a:noFill/>
                          </a:ln>
                        </pic:spPr>
                      </pic:pic>
                    </a:graphicData>
                  </a:graphic>
                </wp:anchor>
              </w:drawing>
            </w:r>
            <w:r>
              <w:drawing>
                <wp:inline distT="0" distB="0" distL="0" distR="0">
                  <wp:extent cx="4904740" cy="3791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75914" cy="3846264"/>
                          </a:xfrm>
                          <a:prstGeom prst="rect">
                            <a:avLst/>
                          </a:prstGeom>
                          <a:noFill/>
                        </pic:spPr>
                      </pic:pic>
                    </a:graphicData>
                  </a:graphic>
                </wp:inline>
              </w:drawing>
            </w:r>
          </w:p>
          <w:p>
            <w:pPr>
              <w:pStyle w:val="44"/>
              <w:spacing w:before="120"/>
              <w:jc w:val="center"/>
              <w:rPr>
                <w:rFonts w:cs="Times New Roman"/>
                <w:color w:val="auto"/>
                <w:sz w:val="24"/>
                <w:szCs w:val="24"/>
              </w:rPr>
            </w:pPr>
            <w:r>
              <w:rPr>
                <w:rFonts w:hint="eastAsia"/>
                <w:color w:val="auto"/>
                <w:sz w:val="24"/>
                <w:szCs w:val="24"/>
              </w:rPr>
              <w:t>2</w:t>
            </w:r>
            <w:r>
              <w:rPr>
                <w:color w:val="auto"/>
                <w:sz w:val="24"/>
                <w:szCs w:val="24"/>
              </w:rPr>
              <w:t>.2-3地块四、五、六</w:t>
            </w:r>
            <w:r>
              <w:rPr>
                <w:rFonts w:hint="eastAsia"/>
                <w:color w:val="auto"/>
                <w:sz w:val="24"/>
                <w:szCs w:val="24"/>
              </w:rPr>
              <w:t>生态治理工程种植平面</w:t>
            </w:r>
            <w:r>
              <w:rPr>
                <w:color w:val="auto"/>
                <w:sz w:val="24"/>
                <w:szCs w:val="24"/>
              </w:rPr>
              <w:t>布置图</w:t>
            </w:r>
          </w:p>
          <w:p>
            <w:pPr>
              <w:pStyle w:val="44"/>
              <w:spacing w:before="120"/>
              <w:jc w:val="left"/>
              <w:rPr>
                <w:rFonts w:cs="Times New Roman"/>
                <w:color w:val="auto"/>
              </w:rPr>
            </w:pPr>
            <w:r>
              <w:rPr>
                <w:rFonts w:cs="Times New Roman"/>
                <w:color w:val="auto"/>
              </w:rPr>
              <w:t>2、工程占地</w:t>
            </w:r>
          </w:p>
          <w:p>
            <w:pPr>
              <w:pStyle w:val="46"/>
              <w:ind w:firstLine="480"/>
              <w:jc w:val="left"/>
            </w:pPr>
            <w:r>
              <w:rPr>
                <w:rFonts w:hint="eastAsia"/>
              </w:rPr>
              <w:t>本项目用地总面积为</w:t>
            </w:r>
            <w:r>
              <w:t>335.56hm</w:t>
            </w:r>
            <w:r>
              <w:rPr>
                <w:rFonts w:cs="Times New Roman"/>
              </w:rPr>
              <w:t>²</w:t>
            </w:r>
            <w:r>
              <w:rPr>
                <w:rFonts w:hint="eastAsia"/>
                <w:sz w:val="21"/>
              </w:rPr>
              <w:t>，其中</w:t>
            </w:r>
            <w:r>
              <w:t>永久占地</w:t>
            </w:r>
            <w:r>
              <w:rPr>
                <w:rFonts w:hint="eastAsia"/>
              </w:rPr>
              <w:t>面积</w:t>
            </w:r>
            <w:r>
              <w:t>3.42hm²，临时占地</w:t>
            </w:r>
            <w:r>
              <w:rPr>
                <w:rFonts w:hint="eastAsia"/>
              </w:rPr>
              <w:t>面积</w:t>
            </w:r>
            <w:r>
              <w:t>332.14hm²</w:t>
            </w:r>
            <w:r>
              <w:rPr>
                <w:rFonts w:hint="eastAsia"/>
              </w:rPr>
              <w:t>，永久占地面积与临时占地面积依据勘界、可研光伏板阵列数量、布置方式等计列。占地主要为天然牧草地和采矿用地，施工区租用当地闲置民房及院落。其中升压站占地为永久占地，含站内建筑、构筑物，光伏场永久占地为检修道路与箱变占地，临时占地含光伏板区、材料堆场及表土堆放区以及施工道路临时占地部分，施工道路利用既有道路、升压站进站道路与光伏场检修道路，采用永临结合的方式，道路宽度6-10m，满足大件运输转弯半径要求，施工结束后留检修道路，恢复检修道路两侧植被。本工程升压站水源引接自升压站南侧绿源供水公司自来水，需敷设供水管线约1</w:t>
            </w:r>
            <w:r>
              <w:t>000m，供水管线占地为临时占地。</w:t>
            </w:r>
            <w:r>
              <w:rPr>
                <w:rFonts w:hint="eastAsia"/>
              </w:rPr>
              <w:t>施工电源从附近10kV线路引接，长2000m，采用地埋电缆敷设方式，占地为临时占地。除检修道路与箱变为光伏场永久占地，其余均含在光伏场临时占地范围内。</w:t>
            </w:r>
          </w:p>
          <w:p>
            <w:pPr>
              <w:pStyle w:val="46"/>
              <w:ind w:firstLine="480"/>
              <w:jc w:val="left"/>
            </w:pPr>
            <w:r>
              <w:t>工程</w:t>
            </w:r>
            <w:r>
              <w:rPr>
                <w:rFonts w:hint="eastAsia"/>
              </w:rPr>
              <w:t>占</w:t>
            </w:r>
            <w:r>
              <w:t>地情况见表2.4。</w:t>
            </w:r>
          </w:p>
          <w:p>
            <w:pPr>
              <w:pStyle w:val="22"/>
              <w:spacing w:before="240" w:after="120"/>
            </w:pPr>
            <w:r>
              <w:t>表2.4                        工程征地情况表（hm²）</w:t>
            </w:r>
          </w:p>
          <w:tbl>
            <w:tblPr>
              <w:tblStyle w:val="16"/>
              <w:tblW w:w="8195" w:type="dxa"/>
              <w:tblInd w:w="0" w:type="dxa"/>
              <w:tblLayout w:type="fixed"/>
              <w:tblCellMar>
                <w:top w:w="0" w:type="dxa"/>
                <w:left w:w="108" w:type="dxa"/>
                <w:bottom w:w="0" w:type="dxa"/>
                <w:right w:w="108" w:type="dxa"/>
              </w:tblCellMar>
            </w:tblPr>
            <w:tblGrid>
              <w:gridCol w:w="1420"/>
              <w:gridCol w:w="1360"/>
              <w:gridCol w:w="2013"/>
              <w:gridCol w:w="1559"/>
              <w:gridCol w:w="1843"/>
            </w:tblGrid>
            <w:tr>
              <w:tblPrEx>
                <w:tblCellMar>
                  <w:top w:w="0" w:type="dxa"/>
                  <w:left w:w="108" w:type="dxa"/>
                  <w:bottom w:w="0" w:type="dxa"/>
                  <w:right w:w="108" w:type="dxa"/>
                </w:tblCellMar>
              </w:tblPrEx>
              <w:trPr>
                <w:trHeight w:val="270" w:hRule="atLeast"/>
              </w:trPr>
              <w:tc>
                <w:tcPr>
                  <w:tcW w:w="2780" w:type="dxa"/>
                  <w:gridSpan w:val="2"/>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项    目</w:t>
                  </w:r>
                </w:p>
              </w:tc>
              <w:tc>
                <w:tcPr>
                  <w:tcW w:w="5415" w:type="dxa"/>
                  <w:gridSpan w:val="3"/>
                  <w:tcBorders>
                    <w:top w:val="single" w:color="auto" w:sz="12" w:space="0"/>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占地性质</w:t>
                  </w:r>
                </w:p>
              </w:tc>
            </w:tr>
            <w:tr>
              <w:tblPrEx>
                <w:tblCellMar>
                  <w:top w:w="0" w:type="dxa"/>
                  <w:left w:w="108" w:type="dxa"/>
                  <w:bottom w:w="0" w:type="dxa"/>
                  <w:right w:w="108" w:type="dxa"/>
                </w:tblCellMar>
              </w:tblPrEx>
              <w:trPr>
                <w:trHeight w:val="270" w:hRule="atLeast"/>
              </w:trPr>
              <w:tc>
                <w:tcPr>
                  <w:tcW w:w="2780" w:type="dxa"/>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kern w:val="0"/>
                      <w:szCs w:val="21"/>
                    </w:rPr>
                  </w:pP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永久占地</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临时占地</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小计</w:t>
                  </w:r>
                </w:p>
              </w:tc>
            </w:tr>
            <w:tr>
              <w:tblPrEx>
                <w:tblCellMar>
                  <w:top w:w="0" w:type="dxa"/>
                  <w:left w:w="108" w:type="dxa"/>
                  <w:bottom w:w="0" w:type="dxa"/>
                  <w:right w:w="108" w:type="dxa"/>
                </w:tblCellMar>
              </w:tblPrEx>
              <w:trPr>
                <w:trHeight w:val="270" w:hRule="atLeast"/>
              </w:trPr>
              <w:tc>
                <w:tcPr>
                  <w:tcW w:w="2780" w:type="dxa"/>
                  <w:gridSpan w:val="2"/>
                  <w:tcBorders>
                    <w:top w:val="single" w:color="auto" w:sz="4" w:space="0"/>
                    <w:left w:val="single" w:color="auto" w:sz="12" w:space="0"/>
                    <w:bottom w:val="single" w:color="auto" w:sz="4" w:space="0"/>
                    <w:right w:val="single" w:color="000000" w:sz="4" w:space="0"/>
                  </w:tcBorders>
                  <w:shd w:val="clear" w:color="auto" w:fill="auto"/>
                  <w:vAlign w:val="center"/>
                </w:tcPr>
                <w:p>
                  <w:pPr>
                    <w:widowControl/>
                    <w:jc w:val="center"/>
                    <w:rPr>
                      <w:kern w:val="0"/>
                      <w:szCs w:val="21"/>
                    </w:rPr>
                  </w:pPr>
                  <w:r>
                    <w:rPr>
                      <w:kern w:val="0"/>
                      <w:szCs w:val="21"/>
                    </w:rPr>
                    <w:t>光伏板场区</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1.68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328.20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329.88 </w:t>
                  </w:r>
                </w:p>
              </w:tc>
            </w:tr>
            <w:tr>
              <w:tblPrEx>
                <w:tblCellMar>
                  <w:top w:w="0" w:type="dxa"/>
                  <w:left w:w="108" w:type="dxa"/>
                  <w:bottom w:w="0" w:type="dxa"/>
                  <w:right w:w="108" w:type="dxa"/>
                </w:tblCellMar>
              </w:tblPrEx>
              <w:trPr>
                <w:trHeight w:val="465" w:hRule="atLeast"/>
              </w:trPr>
              <w:tc>
                <w:tcPr>
                  <w:tcW w:w="1420" w:type="dxa"/>
                  <w:vMerge w:val="restart"/>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升压站区</w:t>
                  </w:r>
                </w:p>
              </w:tc>
              <w:tc>
                <w:tcPr>
                  <w:tcW w:w="1360" w:type="dxa"/>
                  <w:tcBorders>
                    <w:top w:val="nil"/>
                    <w:left w:val="nil"/>
                    <w:bottom w:val="single" w:color="auto" w:sz="4" w:space="0"/>
                    <w:right w:val="single" w:color="auto" w:sz="4" w:space="0"/>
                  </w:tcBorders>
                  <w:shd w:val="clear" w:color="auto" w:fill="auto"/>
                  <w:vAlign w:val="center"/>
                </w:tcPr>
                <w:p>
                  <w:pPr>
                    <w:widowControl/>
                    <w:jc w:val="left"/>
                    <w:rPr>
                      <w:kern w:val="0"/>
                      <w:szCs w:val="21"/>
                    </w:rPr>
                  </w:pPr>
                  <w:r>
                    <w:rPr>
                      <w:kern w:val="0"/>
                      <w:szCs w:val="21"/>
                    </w:rPr>
                    <w:t>站区</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1.45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1.45 </w:t>
                  </w:r>
                </w:p>
              </w:tc>
            </w:tr>
            <w:tr>
              <w:tblPrEx>
                <w:tblCellMar>
                  <w:top w:w="0" w:type="dxa"/>
                  <w:left w:w="108" w:type="dxa"/>
                  <w:bottom w:w="0" w:type="dxa"/>
                  <w:right w:w="108" w:type="dxa"/>
                </w:tblCellMar>
              </w:tblPrEx>
              <w:trPr>
                <w:trHeight w:val="270" w:hRule="atLeast"/>
              </w:trPr>
              <w:tc>
                <w:tcPr>
                  <w:tcW w:w="1420"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jc w:val="left"/>
                    <w:rPr>
                      <w:kern w:val="0"/>
                      <w:szCs w:val="21"/>
                    </w:rPr>
                  </w:pPr>
                  <w:r>
                    <w:rPr>
                      <w:kern w:val="0"/>
                      <w:szCs w:val="21"/>
                    </w:rPr>
                    <w:t>进站道路</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0.29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0.29 </w:t>
                  </w:r>
                </w:p>
              </w:tc>
            </w:tr>
            <w:tr>
              <w:tblPrEx>
                <w:tblCellMar>
                  <w:top w:w="0" w:type="dxa"/>
                  <w:left w:w="108" w:type="dxa"/>
                  <w:bottom w:w="0" w:type="dxa"/>
                  <w:right w:w="108" w:type="dxa"/>
                </w:tblCellMar>
              </w:tblPrEx>
              <w:trPr>
                <w:trHeight w:val="270" w:hRule="atLeast"/>
              </w:trPr>
              <w:tc>
                <w:tcPr>
                  <w:tcW w:w="1420" w:type="dxa"/>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360" w:type="dxa"/>
                  <w:tcBorders>
                    <w:top w:val="nil"/>
                    <w:left w:val="nil"/>
                    <w:bottom w:val="single" w:color="auto" w:sz="4" w:space="0"/>
                    <w:right w:val="single" w:color="auto" w:sz="4" w:space="0"/>
                  </w:tcBorders>
                  <w:shd w:val="clear" w:color="auto" w:fill="auto"/>
                  <w:vAlign w:val="center"/>
                </w:tcPr>
                <w:p>
                  <w:pPr>
                    <w:widowControl/>
                    <w:jc w:val="left"/>
                    <w:rPr>
                      <w:kern w:val="0"/>
                      <w:szCs w:val="21"/>
                    </w:rPr>
                  </w:pPr>
                  <w:r>
                    <w:rPr>
                      <w:kern w:val="0"/>
                      <w:szCs w:val="21"/>
                    </w:rPr>
                    <w:t>小计</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1.74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1.74 </w:t>
                  </w:r>
                </w:p>
              </w:tc>
            </w:tr>
            <w:tr>
              <w:tblPrEx>
                <w:tblCellMar>
                  <w:top w:w="0" w:type="dxa"/>
                  <w:left w:w="108" w:type="dxa"/>
                  <w:bottom w:w="0" w:type="dxa"/>
                  <w:right w:w="108" w:type="dxa"/>
                </w:tblCellMar>
              </w:tblPrEx>
              <w:trPr>
                <w:trHeight w:val="270" w:hRule="atLeast"/>
              </w:trPr>
              <w:tc>
                <w:tcPr>
                  <w:tcW w:w="278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施工生产生活区</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1.44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1.44 </w:t>
                  </w:r>
                </w:p>
              </w:tc>
            </w:tr>
            <w:tr>
              <w:tblPrEx>
                <w:tblCellMar>
                  <w:top w:w="0" w:type="dxa"/>
                  <w:left w:w="108" w:type="dxa"/>
                  <w:bottom w:w="0" w:type="dxa"/>
                  <w:right w:w="108" w:type="dxa"/>
                </w:tblCellMar>
              </w:tblPrEx>
              <w:trPr>
                <w:trHeight w:val="270" w:hRule="atLeast"/>
              </w:trPr>
              <w:tc>
                <w:tcPr>
                  <w:tcW w:w="278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供水管线</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1</w:t>
                  </w:r>
                  <w:r>
                    <w:rPr>
                      <w:kern w:val="0"/>
                      <w:szCs w:val="21"/>
                    </w:rPr>
                    <w:t>.0</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rFonts w:hint="eastAsia"/>
                      <w:kern w:val="0"/>
                      <w:szCs w:val="21"/>
                    </w:rPr>
                    <w:t>1</w:t>
                  </w:r>
                  <w:r>
                    <w:rPr>
                      <w:kern w:val="0"/>
                      <w:szCs w:val="21"/>
                    </w:rPr>
                    <w:t>.0</w:t>
                  </w:r>
                </w:p>
              </w:tc>
            </w:tr>
            <w:tr>
              <w:tblPrEx>
                <w:tblCellMar>
                  <w:top w:w="0" w:type="dxa"/>
                  <w:left w:w="108" w:type="dxa"/>
                  <w:bottom w:w="0" w:type="dxa"/>
                  <w:right w:w="108" w:type="dxa"/>
                </w:tblCellMar>
              </w:tblPrEx>
              <w:trPr>
                <w:trHeight w:val="270" w:hRule="atLeast"/>
              </w:trPr>
              <w:tc>
                <w:tcPr>
                  <w:tcW w:w="278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供电线路区</w:t>
                  </w:r>
                </w:p>
              </w:tc>
              <w:tc>
                <w:tcPr>
                  <w:tcW w:w="201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1.50 </w:t>
                  </w:r>
                </w:p>
              </w:tc>
              <w:tc>
                <w:tcPr>
                  <w:tcW w:w="1843" w:type="dxa"/>
                  <w:tcBorders>
                    <w:top w:val="nil"/>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 xml:space="preserve">1.50 </w:t>
                  </w:r>
                </w:p>
              </w:tc>
            </w:tr>
            <w:tr>
              <w:tblPrEx>
                <w:tblCellMar>
                  <w:top w:w="0" w:type="dxa"/>
                  <w:left w:w="108" w:type="dxa"/>
                  <w:bottom w:w="0" w:type="dxa"/>
                  <w:right w:w="108" w:type="dxa"/>
                </w:tblCellMar>
              </w:tblPrEx>
              <w:trPr>
                <w:trHeight w:val="270" w:hRule="atLeast"/>
              </w:trPr>
              <w:tc>
                <w:tcPr>
                  <w:tcW w:w="2780"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pPr>
                    <w:widowControl/>
                    <w:jc w:val="center"/>
                    <w:rPr>
                      <w:kern w:val="0"/>
                      <w:szCs w:val="21"/>
                    </w:rPr>
                  </w:pPr>
                  <w:r>
                    <w:rPr>
                      <w:kern w:val="0"/>
                      <w:szCs w:val="21"/>
                    </w:rPr>
                    <w:t>合计</w:t>
                  </w:r>
                </w:p>
              </w:tc>
              <w:tc>
                <w:tcPr>
                  <w:tcW w:w="2013" w:type="dxa"/>
                  <w:tcBorders>
                    <w:top w:val="single" w:color="auto" w:sz="4" w:space="0"/>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3.42 </w:t>
                  </w:r>
                </w:p>
              </w:tc>
              <w:tc>
                <w:tcPr>
                  <w:tcW w:w="1559" w:type="dxa"/>
                  <w:tcBorders>
                    <w:top w:val="single" w:color="auto" w:sz="4" w:space="0"/>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332.14 </w:t>
                  </w:r>
                </w:p>
              </w:tc>
              <w:tc>
                <w:tcPr>
                  <w:tcW w:w="1843" w:type="dxa"/>
                  <w:tcBorders>
                    <w:top w:val="single" w:color="auto" w:sz="4" w:space="0"/>
                    <w:left w:val="nil"/>
                    <w:bottom w:val="single" w:color="auto" w:sz="12" w:space="0"/>
                    <w:right w:val="single" w:color="auto" w:sz="12" w:space="0"/>
                  </w:tcBorders>
                  <w:shd w:val="clear" w:color="auto" w:fill="auto"/>
                  <w:vAlign w:val="center"/>
                </w:tcPr>
                <w:p>
                  <w:pPr>
                    <w:widowControl/>
                    <w:jc w:val="center"/>
                    <w:rPr>
                      <w:kern w:val="0"/>
                      <w:szCs w:val="21"/>
                    </w:rPr>
                  </w:pPr>
                  <w:r>
                    <w:rPr>
                      <w:kern w:val="0"/>
                      <w:szCs w:val="21"/>
                    </w:rPr>
                    <w:t xml:space="preserve">335.56 </w:t>
                  </w:r>
                </w:p>
              </w:tc>
            </w:tr>
          </w:tbl>
          <w:p>
            <w:pPr>
              <w:pStyle w:val="44"/>
              <w:spacing w:before="120"/>
              <w:jc w:val="left"/>
              <w:rPr>
                <w:rFonts w:cs="Times New Roman"/>
                <w:color w:val="auto"/>
              </w:rPr>
            </w:pPr>
            <w:r>
              <w:rPr>
                <w:rFonts w:cs="Times New Roman"/>
                <w:color w:val="auto"/>
              </w:rPr>
              <w:t>3、土石方平衡</w:t>
            </w:r>
          </w:p>
          <w:p>
            <w:pPr>
              <w:pStyle w:val="46"/>
              <w:ind w:firstLine="480"/>
              <w:jc w:val="left"/>
              <w:rPr>
                <w:rFonts w:cs="Times New Roman"/>
              </w:rPr>
            </w:pPr>
            <w:r>
              <w:rPr>
                <w:rFonts w:hint="eastAsia"/>
              </w:rPr>
              <w:t>本工程</w:t>
            </w:r>
            <w:r>
              <w:rPr>
                <w:rFonts w:cs="Times New Roman"/>
              </w:rPr>
              <w:t>挖方工程量426.34万m³，</w:t>
            </w:r>
            <w:r>
              <w:rPr>
                <w:rFonts w:hint="eastAsia" w:cs="Times New Roman"/>
              </w:rPr>
              <w:t>其中</w:t>
            </w:r>
            <w:r>
              <w:rPr>
                <w:rFonts w:cs="Times New Roman"/>
              </w:rPr>
              <w:t>填方工程量213.31万m³，含地块</w:t>
            </w:r>
            <w:r>
              <w:rPr>
                <w:rFonts w:hint="eastAsia" w:cs="Times New Roman"/>
              </w:rPr>
              <w:t>1、地块2</w:t>
            </w:r>
            <w:r>
              <w:rPr>
                <w:rFonts w:cs="Times New Roman"/>
              </w:rPr>
              <w:t>、地块</w:t>
            </w:r>
            <w:r>
              <w:rPr>
                <w:rFonts w:hint="eastAsia" w:cs="Times New Roman"/>
              </w:rPr>
              <w:t>3</w:t>
            </w:r>
            <w:r>
              <w:rPr>
                <w:rFonts w:cs="Times New Roman"/>
              </w:rPr>
              <w:t>外购覆土</w:t>
            </w:r>
            <w:r>
              <w:rPr>
                <w:rFonts w:hint="eastAsia" w:cs="Times New Roman"/>
              </w:rPr>
              <w:t>0</w:t>
            </w:r>
            <w:r>
              <w:rPr>
                <w:rFonts w:cs="Times New Roman"/>
              </w:rPr>
              <w:t>.28万m³，</w:t>
            </w:r>
            <w:r>
              <w:rPr>
                <w:rFonts w:hint="eastAsia" w:cs="Times New Roman"/>
              </w:rPr>
              <w:t>无弃方</w:t>
            </w:r>
            <w:r>
              <w:rPr>
                <w:rFonts w:cs="Times New Roman"/>
              </w:rPr>
              <w:t>。土方统计情况见表2.5。</w:t>
            </w:r>
          </w:p>
          <w:p>
            <w:pPr>
              <w:pStyle w:val="22"/>
              <w:spacing w:before="240" w:after="120"/>
              <w:rPr>
                <w:sz w:val="21"/>
                <w:szCs w:val="21"/>
              </w:rPr>
            </w:pPr>
            <w:r>
              <w:t>表2.5                       土方统计表（万m³）</w:t>
            </w:r>
          </w:p>
          <w:tbl>
            <w:tblPr>
              <w:tblStyle w:val="16"/>
              <w:tblW w:w="8185" w:type="dxa"/>
              <w:tblInd w:w="0" w:type="dxa"/>
              <w:tblLayout w:type="fixed"/>
              <w:tblCellMar>
                <w:top w:w="0" w:type="dxa"/>
                <w:left w:w="108" w:type="dxa"/>
                <w:bottom w:w="0" w:type="dxa"/>
                <w:right w:w="108" w:type="dxa"/>
              </w:tblCellMar>
            </w:tblPr>
            <w:tblGrid>
              <w:gridCol w:w="814"/>
              <w:gridCol w:w="850"/>
              <w:gridCol w:w="993"/>
              <w:gridCol w:w="850"/>
              <w:gridCol w:w="851"/>
              <w:gridCol w:w="708"/>
              <w:gridCol w:w="993"/>
              <w:gridCol w:w="708"/>
              <w:gridCol w:w="709"/>
              <w:gridCol w:w="709"/>
            </w:tblGrid>
            <w:tr>
              <w:tblPrEx>
                <w:tblCellMar>
                  <w:top w:w="0" w:type="dxa"/>
                  <w:left w:w="108" w:type="dxa"/>
                  <w:bottom w:w="0" w:type="dxa"/>
                  <w:right w:w="108" w:type="dxa"/>
                </w:tblCellMar>
              </w:tblPrEx>
              <w:trPr>
                <w:trHeight w:val="270" w:hRule="atLeast"/>
              </w:trPr>
              <w:tc>
                <w:tcPr>
                  <w:tcW w:w="1664" w:type="dxa"/>
                  <w:gridSpan w:val="2"/>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项   目</w:t>
                  </w:r>
                </w:p>
              </w:tc>
              <w:tc>
                <w:tcPr>
                  <w:tcW w:w="99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土石方总量</w:t>
                  </w:r>
                </w:p>
              </w:tc>
              <w:tc>
                <w:tcPr>
                  <w:tcW w:w="85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挖方</w:t>
                  </w:r>
                </w:p>
              </w:tc>
              <w:tc>
                <w:tcPr>
                  <w:tcW w:w="85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填方</w:t>
                  </w:r>
                </w:p>
              </w:tc>
              <w:tc>
                <w:tcPr>
                  <w:tcW w:w="1701" w:type="dxa"/>
                  <w:gridSpan w:val="2"/>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区内调入</w:t>
                  </w:r>
                </w:p>
              </w:tc>
              <w:tc>
                <w:tcPr>
                  <w:tcW w:w="1417" w:type="dxa"/>
                  <w:gridSpan w:val="2"/>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区内调出</w:t>
                  </w:r>
                </w:p>
              </w:tc>
              <w:tc>
                <w:tcPr>
                  <w:tcW w:w="709" w:type="dxa"/>
                  <w:vMerge w:val="restart"/>
                  <w:tcBorders>
                    <w:top w:val="single" w:color="auto" w:sz="12" w:space="0"/>
                    <w:left w:val="single" w:color="auto" w:sz="4" w:space="0"/>
                    <w:right w:val="single" w:color="auto" w:sz="12" w:space="0"/>
                  </w:tcBorders>
                </w:tcPr>
                <w:p>
                  <w:pPr>
                    <w:widowControl/>
                    <w:jc w:val="center"/>
                    <w:rPr>
                      <w:kern w:val="0"/>
                      <w:szCs w:val="21"/>
                    </w:rPr>
                  </w:pPr>
                  <w:r>
                    <w:rPr>
                      <w:kern w:val="0"/>
                      <w:szCs w:val="21"/>
                    </w:rPr>
                    <w:t>外购覆土</w:t>
                  </w:r>
                </w:p>
              </w:tc>
            </w:tr>
            <w:tr>
              <w:tblPrEx>
                <w:tblCellMar>
                  <w:top w:w="0" w:type="dxa"/>
                  <w:left w:w="108" w:type="dxa"/>
                  <w:bottom w:w="0" w:type="dxa"/>
                  <w:right w:w="108" w:type="dxa"/>
                </w:tblCellMar>
              </w:tblPrEx>
              <w:trPr>
                <w:trHeight w:val="270" w:hRule="atLeast"/>
              </w:trPr>
              <w:tc>
                <w:tcPr>
                  <w:tcW w:w="1664" w:type="dxa"/>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kern w:val="0"/>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数量</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来源</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去向</w:t>
                  </w:r>
                </w:p>
              </w:tc>
              <w:tc>
                <w:tcPr>
                  <w:tcW w:w="709" w:type="dxa"/>
                  <w:vMerge w:val="continue"/>
                  <w:tcBorders>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675" w:hRule="atLeast"/>
              </w:trPr>
              <w:tc>
                <w:tcPr>
                  <w:tcW w:w="814" w:type="dxa"/>
                  <w:vMerge w:val="restart"/>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光伏板发电区</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场平平整（含检修道路）</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387.51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192.80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194.71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1.63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箱变基础、升压站基础开挖</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vAlign w:val="center"/>
                </w:tcPr>
                <w:p>
                  <w:pPr>
                    <w:widowControl/>
                    <w:jc w:val="center"/>
                    <w:rPr>
                      <w:kern w:val="0"/>
                      <w:szCs w:val="21"/>
                    </w:rPr>
                  </w:pPr>
                  <w:r>
                    <w:rPr>
                      <w:rFonts w:hint="eastAsia"/>
                      <w:kern w:val="0"/>
                      <w:szCs w:val="21"/>
                    </w:rPr>
                    <w:t>0</w:t>
                  </w:r>
                  <w:r>
                    <w:rPr>
                      <w:kern w:val="0"/>
                      <w:szCs w:val="21"/>
                    </w:rPr>
                    <w:t>.28</w:t>
                  </w:r>
                </w:p>
              </w:tc>
            </w:tr>
            <w:tr>
              <w:tblPrEx>
                <w:tblCellMar>
                  <w:top w:w="0" w:type="dxa"/>
                  <w:left w:w="108" w:type="dxa"/>
                  <w:bottom w:w="0" w:type="dxa"/>
                  <w:right w:w="108" w:type="dxa"/>
                </w:tblCellMar>
              </w:tblPrEx>
              <w:trPr>
                <w:trHeight w:val="270" w:hRule="atLeast"/>
              </w:trPr>
              <w:tc>
                <w:tcPr>
                  <w:tcW w:w="814"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箱变基础</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3.03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2.13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0.90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1.23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光伏场场平</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电缆沟</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30.98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15.49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15.49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小计</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421.52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210.42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211.10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1.63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1.23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r>
                    <w:rPr>
                      <w:rFonts w:hint="eastAsia"/>
                      <w:kern w:val="0"/>
                      <w:szCs w:val="21"/>
                    </w:rPr>
                    <w:t>0</w:t>
                  </w:r>
                  <w:r>
                    <w:rPr>
                      <w:kern w:val="0"/>
                      <w:szCs w:val="21"/>
                    </w:rPr>
                    <w:t>.28</w:t>
                  </w:r>
                </w:p>
              </w:tc>
            </w:tr>
            <w:tr>
              <w:tblPrEx>
                <w:tblCellMar>
                  <w:top w:w="0" w:type="dxa"/>
                  <w:left w:w="108" w:type="dxa"/>
                  <w:bottom w:w="0" w:type="dxa"/>
                  <w:right w:w="108" w:type="dxa"/>
                </w:tblCellMar>
              </w:tblPrEx>
              <w:trPr>
                <w:trHeight w:val="270" w:hRule="atLeast"/>
              </w:trPr>
              <w:tc>
                <w:tcPr>
                  <w:tcW w:w="814" w:type="dxa"/>
                  <w:vMerge w:val="restart"/>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升压站</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场地平整</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2.20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1.10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1.10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基础开挖</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0.60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0.50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0.10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0.40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光伏场场平</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小计</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2.80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1.60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1.20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0.40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施工生产生活区</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场地平整</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0.40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0.20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0.20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供水管线</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管沟开挖</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w:t>
                  </w:r>
                  <w:r>
                    <w:rPr>
                      <w:kern w:val="0"/>
                      <w:szCs w:val="21"/>
                    </w:rPr>
                    <w:t>.86</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w:t>
                  </w:r>
                  <w:r>
                    <w:rPr>
                      <w:kern w:val="0"/>
                      <w:szCs w:val="21"/>
                    </w:rPr>
                    <w:t>.43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w:t>
                  </w:r>
                  <w:r>
                    <w:rPr>
                      <w:kern w:val="0"/>
                      <w:szCs w:val="21"/>
                    </w:rPr>
                    <w:t>.43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814" w:type="dxa"/>
                  <w:tcBorders>
                    <w:top w:val="nil"/>
                    <w:left w:val="single" w:color="auto" w:sz="12"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供电线路区</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管沟开挖</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0.76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0.38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xml:space="preserve">0.38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4" w:space="0"/>
                    <w:right w:val="single" w:color="auto" w:sz="12" w:space="0"/>
                  </w:tcBorders>
                </w:tcPr>
                <w:p>
                  <w:pPr>
                    <w:widowControl/>
                    <w:jc w:val="center"/>
                    <w:rPr>
                      <w:kern w:val="0"/>
                      <w:szCs w:val="21"/>
                    </w:rPr>
                  </w:pPr>
                </w:p>
              </w:tc>
            </w:tr>
            <w:tr>
              <w:tblPrEx>
                <w:tblCellMar>
                  <w:top w:w="0" w:type="dxa"/>
                  <w:left w:w="108" w:type="dxa"/>
                  <w:bottom w:w="0" w:type="dxa"/>
                  <w:right w:w="108" w:type="dxa"/>
                </w:tblCellMar>
              </w:tblPrEx>
              <w:trPr>
                <w:trHeight w:val="270" w:hRule="atLeast"/>
              </w:trPr>
              <w:tc>
                <w:tcPr>
                  <w:tcW w:w="1664"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pPr>
                    <w:widowControl/>
                    <w:jc w:val="center"/>
                    <w:rPr>
                      <w:kern w:val="0"/>
                      <w:szCs w:val="21"/>
                    </w:rPr>
                  </w:pPr>
                  <w:r>
                    <w:rPr>
                      <w:kern w:val="0"/>
                      <w:szCs w:val="21"/>
                    </w:rPr>
                    <w:t>合计</w:t>
                  </w:r>
                </w:p>
              </w:tc>
              <w:tc>
                <w:tcPr>
                  <w:tcW w:w="993"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426.34 </w:t>
                  </w:r>
                </w:p>
              </w:tc>
              <w:tc>
                <w:tcPr>
                  <w:tcW w:w="850"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213.03 </w:t>
                  </w:r>
                </w:p>
              </w:tc>
              <w:tc>
                <w:tcPr>
                  <w:tcW w:w="851"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213.31 </w:t>
                  </w:r>
                </w:p>
              </w:tc>
              <w:tc>
                <w:tcPr>
                  <w:tcW w:w="708"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1.63 </w:t>
                  </w:r>
                </w:p>
              </w:tc>
              <w:tc>
                <w:tcPr>
                  <w:tcW w:w="993"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w:t>
                  </w:r>
                </w:p>
              </w:tc>
              <w:tc>
                <w:tcPr>
                  <w:tcW w:w="708"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xml:space="preserve">1.63 </w:t>
                  </w:r>
                </w:p>
              </w:tc>
              <w:tc>
                <w:tcPr>
                  <w:tcW w:w="709" w:type="dxa"/>
                  <w:tcBorders>
                    <w:top w:val="nil"/>
                    <w:left w:val="nil"/>
                    <w:bottom w:val="single" w:color="auto" w:sz="12" w:space="0"/>
                    <w:right w:val="single" w:color="auto" w:sz="4" w:space="0"/>
                  </w:tcBorders>
                  <w:shd w:val="clear" w:color="auto" w:fill="auto"/>
                  <w:vAlign w:val="center"/>
                </w:tcPr>
                <w:p>
                  <w:pPr>
                    <w:widowControl/>
                    <w:jc w:val="center"/>
                    <w:rPr>
                      <w:kern w:val="0"/>
                      <w:szCs w:val="21"/>
                    </w:rPr>
                  </w:pPr>
                  <w:r>
                    <w:rPr>
                      <w:kern w:val="0"/>
                      <w:szCs w:val="21"/>
                    </w:rPr>
                    <w:t>　</w:t>
                  </w:r>
                </w:p>
              </w:tc>
              <w:tc>
                <w:tcPr>
                  <w:tcW w:w="709" w:type="dxa"/>
                  <w:tcBorders>
                    <w:top w:val="nil"/>
                    <w:left w:val="single" w:color="auto" w:sz="4" w:space="0"/>
                    <w:bottom w:val="single" w:color="auto" w:sz="12" w:space="0"/>
                    <w:right w:val="single" w:color="auto" w:sz="12" w:space="0"/>
                  </w:tcBorders>
                </w:tcPr>
                <w:p>
                  <w:pPr>
                    <w:widowControl/>
                    <w:jc w:val="center"/>
                    <w:rPr>
                      <w:kern w:val="0"/>
                      <w:szCs w:val="21"/>
                    </w:rPr>
                  </w:pPr>
                  <w:r>
                    <w:rPr>
                      <w:rFonts w:hint="eastAsia"/>
                      <w:kern w:val="0"/>
                      <w:szCs w:val="21"/>
                    </w:rPr>
                    <w:t>0</w:t>
                  </w:r>
                  <w:r>
                    <w:rPr>
                      <w:kern w:val="0"/>
                      <w:szCs w:val="21"/>
                    </w:rPr>
                    <w:t>.28</w:t>
                  </w:r>
                </w:p>
              </w:tc>
            </w:tr>
          </w:tbl>
          <w:p>
            <w:pPr>
              <w:jc w:val="left"/>
            </w:pPr>
          </w:p>
          <w:p>
            <w:pPr>
              <w:jc w:val="lef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1776" w:hRule="atLeast"/>
          <w:jc w:val="center"/>
        </w:trPr>
        <w:tc>
          <w:tcPr>
            <w:tcW w:w="466" w:type="dxa"/>
            <w:vAlign w:val="center"/>
          </w:tcPr>
          <w:p>
            <w:pPr>
              <w:adjustRightInd w:val="0"/>
              <w:snapToGrid w:val="0"/>
              <w:jc w:val="center"/>
              <w:rPr>
                <w:kern w:val="0"/>
                <w:sz w:val="24"/>
              </w:rPr>
            </w:pPr>
            <w:r>
              <w:rPr>
                <w:kern w:val="0"/>
                <w:sz w:val="24"/>
              </w:rPr>
              <w:t>总平面及现场布置</w:t>
            </w:r>
          </w:p>
        </w:tc>
        <w:tc>
          <w:tcPr>
            <w:tcW w:w="8455" w:type="dxa"/>
            <w:vAlign w:val="center"/>
          </w:tcPr>
          <w:p>
            <w:pPr>
              <w:pStyle w:val="44"/>
              <w:spacing w:before="120"/>
              <w:rPr>
                <w:rFonts w:cs="Times New Roman"/>
                <w:color w:val="auto"/>
              </w:rPr>
            </w:pPr>
            <w:r>
              <w:rPr>
                <w:rFonts w:cs="Times New Roman"/>
                <w:color w:val="auto"/>
              </w:rPr>
              <w:t>1、</w:t>
            </w:r>
            <w:r>
              <w:rPr>
                <w:rFonts w:hint="eastAsia" w:cs="Times New Roman"/>
                <w:color w:val="auto"/>
              </w:rPr>
              <w:t>光伏阵列区总平面布置</w:t>
            </w:r>
          </w:p>
          <w:p>
            <w:pPr>
              <w:pStyle w:val="46"/>
              <w:ind w:firstLine="480"/>
            </w:pPr>
            <w:r>
              <w:rPr>
                <w:rFonts w:hint="eastAsia"/>
              </w:rPr>
              <w:t>光伏区总平面布置总体考虑进出线走廊、光伏板布置形式、站址地形条件、用地范围等各方面因素，进行统筹安排，统一布局。结合站区的总体规划及太阳能光伏工艺要求进行布置，在满足自然条件和工程特点的前提下，按照安全、防火、卫生、运行检修、交通运输、环境保护、各建筑物之间联系等各方面因素进行了布置。</w:t>
            </w:r>
          </w:p>
          <w:p>
            <w:pPr>
              <w:pStyle w:val="46"/>
              <w:ind w:firstLine="480"/>
            </w:pPr>
            <w:r>
              <w:rPr>
                <w:rFonts w:hint="eastAsia"/>
              </w:rPr>
              <w:t>本子项目光伏区分六个地块。地块1位于华拓矿东侧，为已整治的尾矿，现已闭库，地势较为平坦。地块2位于金龙矿，为金龙矿业尾矿库排土场，现已闭库，现状为尾细砂土堆。地块3为较为平坦的裸露土地。地块4、地块5位于金龙矿业修复区为表土、废弃土渣、沙地。地块6现状为沙漠地貌。光伏场进场道路地块1接场区现有土路，地块3接进站道路，地块6接场区东侧道路。</w:t>
            </w:r>
          </w:p>
          <w:p>
            <w:pPr>
              <w:pStyle w:val="46"/>
              <w:ind w:firstLine="480"/>
            </w:pPr>
            <w:r>
              <w:rPr>
                <w:rFonts w:hint="eastAsia"/>
              </w:rPr>
              <w:t>本工程采用固定支架。本工程光伏组件共35个子阵。本工程光伏固定支架阵列为2行×13列组件单元，每个光伏组件单元长度为14982 mm，固定支架共13056个。支架组件最小离地距离为0.5m，支架采用双立柱结构，倾角为39°。</w:t>
            </w:r>
          </w:p>
          <w:p>
            <w:pPr>
              <w:pStyle w:val="46"/>
              <w:ind w:firstLine="480"/>
            </w:pPr>
            <w:r>
              <w:rPr>
                <w:rFonts w:hint="eastAsia"/>
              </w:rPr>
              <w:t>在平地上光伏方阵区布置采用单元模块化布置形式，包括太阳能电池组件子方阵、箱变及检修道路等。本工程采用固定支架。</w:t>
            </w:r>
          </w:p>
          <w:p>
            <w:pPr>
              <w:pStyle w:val="46"/>
              <w:ind w:firstLine="480"/>
            </w:pPr>
            <w:r>
              <w:rPr>
                <w:rFonts w:hint="eastAsia"/>
              </w:rPr>
              <w:t>地块1地势较为平坦，整体南高北低，东西坡度在2%左右，光伏布置根据地势计算将光伏板间距调大至18.6m。光伏板间距按平地间距。</w:t>
            </w:r>
          </w:p>
          <w:p>
            <w:pPr>
              <w:pStyle w:val="46"/>
              <w:ind w:firstLine="480"/>
            </w:pPr>
            <w:r>
              <w:rPr>
                <w:rFonts w:hint="eastAsia"/>
              </w:rPr>
              <w:t>施工场地考虑布置在光伏场区与升压站附近的场地，方便施工。</w:t>
            </w:r>
          </w:p>
          <w:p>
            <w:pPr>
              <w:pStyle w:val="46"/>
              <w:ind w:firstLine="480"/>
              <w:rPr>
                <w:snapToGrid/>
              </w:rPr>
            </w:pPr>
            <w:r>
              <w:rPr>
                <w:rFonts w:hint="eastAsia"/>
              </w:rPr>
              <w:t>本工程共配置35台箱逆变一体机，每台箱变单独设立油池。</w:t>
            </w:r>
          </w:p>
          <w:p>
            <w:pPr>
              <w:pStyle w:val="44"/>
              <w:spacing w:before="120"/>
              <w:rPr>
                <w:rFonts w:cs="Times New Roman"/>
                <w:color w:val="auto"/>
              </w:rPr>
            </w:pPr>
            <w:r>
              <w:rPr>
                <w:rFonts w:cs="Times New Roman"/>
                <w:color w:val="auto"/>
              </w:rPr>
              <w:t>2、</w:t>
            </w:r>
            <w:r>
              <w:rPr>
                <w:rFonts w:hint="eastAsia" w:cs="Times New Roman"/>
                <w:color w:val="auto"/>
              </w:rPr>
              <w:t>升压站总平面布置</w:t>
            </w:r>
          </w:p>
          <w:p>
            <w:pPr>
              <w:pStyle w:val="46"/>
              <w:ind w:firstLine="480"/>
            </w:pPr>
            <w:r>
              <w:rPr>
                <w:rFonts w:hint="eastAsia"/>
              </w:rPr>
              <w:t>本期新建1座220kV升压站，布置于地块</w:t>
            </w:r>
            <w:r>
              <w:t>3</w:t>
            </w:r>
            <w:r>
              <w:rPr>
                <w:rFonts w:hint="eastAsia"/>
              </w:rPr>
              <w:t>东侧。出线向东，大门向南。由北向南依次为储能区—生产区—生活区。</w:t>
            </w:r>
          </w:p>
          <w:p>
            <w:pPr>
              <w:pStyle w:val="46"/>
              <w:ind w:firstLine="480"/>
            </w:pPr>
            <w:r>
              <w:rPr>
                <w:rFonts w:hint="eastAsia"/>
              </w:rPr>
              <w:t>站区竖向采用连续平坡式布置，站区的排水采用自然散排与道路坡度排水相结合的方式。</w:t>
            </w:r>
          </w:p>
          <w:p>
            <w:pPr>
              <w:pStyle w:val="46"/>
              <w:ind w:firstLine="480"/>
            </w:pPr>
            <w:r>
              <w:rPr>
                <w:rFonts w:hint="eastAsia"/>
              </w:rPr>
              <w:t>升压站进站道路采用4.5m宽郊区型水泥混凝土路面，由升压站临近现有沙公线引接，最大纵坡不大于6%；升压站站内道路采用4.5m宽郊区型水泥混凝土路面，为满足消防车道要求，呈环形布置，道路转弯半径为7m。</w:t>
            </w:r>
          </w:p>
          <w:p>
            <w:pPr>
              <w:pStyle w:val="46"/>
              <w:ind w:firstLine="480"/>
            </w:pPr>
            <w:r>
              <w:rPr>
                <w:rFonts w:hint="eastAsia"/>
              </w:rPr>
              <w:t>储能装置布置于升压站北侧，最大程度减少储能集电线路长度。根据本工程需求拟配置22.5MW/45MWh储能系统，储能区四周设有消防通道。</w:t>
            </w:r>
          </w:p>
          <w:p>
            <w:pPr>
              <w:pStyle w:val="46"/>
              <w:ind w:firstLine="0" w:firstLineChars="0"/>
              <w:rPr>
                <w:rFonts w:cs="Times New Roman"/>
                <w:b/>
                <w:snapToGrid/>
                <w:sz w:val="28"/>
                <w:szCs w:val="28"/>
              </w:rPr>
            </w:pPr>
            <w:r>
              <w:rPr>
                <w:rFonts w:hint="eastAsia" w:cs="Times New Roman"/>
                <w:b/>
                <w:snapToGrid/>
                <w:sz w:val="28"/>
                <w:szCs w:val="28"/>
              </w:rPr>
              <w:t>3、生态治理工程</w:t>
            </w:r>
          </w:p>
          <w:p>
            <w:pPr>
              <w:pStyle w:val="46"/>
              <w:ind w:firstLine="480"/>
            </w:pPr>
            <w:r>
              <w:rPr>
                <w:rFonts w:hint="eastAsia"/>
              </w:rPr>
              <w:t>在光伏板下方和板间空地栽植草本和灌木。光伏板最低点高度距栽植草本生长高度0.6 m 以上。采用灌草结合方式，种子选择草本植物有碱草、羊草、燕麦草、碱茅、黄芩、甘草、达乌里胡枝子等，采用人工撒播方式播种。边坡灌木选取柠条、胡枝子、岩黄芪、驼绒藜等。</w:t>
            </w:r>
          </w:p>
          <w:p>
            <w:pPr>
              <w:pStyle w:val="46"/>
              <w:ind w:firstLine="480"/>
            </w:pPr>
            <w:r>
              <w:rPr>
                <w:rFonts w:hint="eastAsia"/>
              </w:rPr>
              <w:t>地块一地势较为平坦，进行人工牧草地修复。地块二项目区为金龙矿业尾矿库，将现状排土场平台采用人工牧草地修复，边坡栽植灌木苗。地块三</w:t>
            </w:r>
            <w:r>
              <w:rPr>
                <w:rFonts w:hint="eastAsia" w:ascii="宋体" w:hAnsi="宋体"/>
              </w:rPr>
              <w:t>～</w:t>
            </w:r>
            <w:r>
              <w:rPr>
                <w:rFonts w:hint="eastAsia"/>
              </w:rPr>
              <w:t>六现状地势平坦，进行人工牧草地修复。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3119" w:hRule="atLeast"/>
          <w:jc w:val="center"/>
        </w:trPr>
        <w:tc>
          <w:tcPr>
            <w:tcW w:w="466" w:type="dxa"/>
            <w:vAlign w:val="center"/>
          </w:tcPr>
          <w:p>
            <w:pPr>
              <w:adjustRightInd w:val="0"/>
              <w:snapToGrid w:val="0"/>
              <w:jc w:val="center"/>
              <w:rPr>
                <w:kern w:val="0"/>
                <w:sz w:val="24"/>
              </w:rPr>
            </w:pPr>
            <w:r>
              <w:rPr>
                <w:kern w:val="0"/>
                <w:sz w:val="24"/>
              </w:rPr>
              <w:t>施工方案</w:t>
            </w:r>
          </w:p>
        </w:tc>
        <w:tc>
          <w:tcPr>
            <w:tcW w:w="8455" w:type="dxa"/>
            <w:vAlign w:val="center"/>
          </w:tcPr>
          <w:p>
            <w:pPr>
              <w:pStyle w:val="44"/>
              <w:spacing w:before="120"/>
              <w:rPr>
                <w:rFonts w:cs="Times New Roman"/>
                <w:color w:val="auto"/>
              </w:rPr>
            </w:pPr>
            <w:r>
              <w:rPr>
                <w:rFonts w:cs="Times New Roman"/>
                <w:color w:val="auto"/>
              </w:rPr>
              <w:t>1、施工工艺、施工时序</w:t>
            </w:r>
          </w:p>
          <w:p>
            <w:pPr>
              <w:pStyle w:val="24"/>
              <w:ind w:firstLine="482"/>
              <w:rPr>
                <w:sz w:val="28"/>
                <w:szCs w:val="28"/>
              </w:rPr>
            </w:pPr>
            <w:r>
              <w:rPr>
                <w:rFonts w:hint="eastAsia"/>
              </w:rPr>
              <w:t>（1）光伏阵列施工工艺</w:t>
            </w:r>
          </w:p>
          <w:p>
            <w:pPr>
              <w:pStyle w:val="46"/>
              <w:ind w:firstLine="480"/>
            </w:pPr>
            <w:r>
              <w:rPr>
                <w:rFonts w:hint="eastAsia"/>
              </w:rPr>
              <w:t>① 首先进行场地范围界定；</w:t>
            </w:r>
          </w:p>
          <w:p>
            <w:pPr>
              <w:pStyle w:val="46"/>
              <w:ind w:firstLine="480"/>
            </w:pPr>
            <w:r>
              <w:rPr>
                <w:rFonts w:hint="eastAsia"/>
              </w:rPr>
              <w:t>② 根据施工方案，建设进站道路，为全面施工做准备；</w:t>
            </w:r>
          </w:p>
          <w:p>
            <w:pPr>
              <w:pStyle w:val="46"/>
              <w:ind w:firstLine="480"/>
            </w:pPr>
            <w:r>
              <w:rPr>
                <w:rFonts w:hint="eastAsia"/>
              </w:rPr>
              <w:t>③ 场地平整及场区道路建设、围墙构筑；</w:t>
            </w:r>
          </w:p>
          <w:p>
            <w:pPr>
              <w:pStyle w:val="46"/>
              <w:ind w:firstLine="480"/>
            </w:pPr>
            <w:r>
              <w:rPr>
                <w:rFonts w:hint="eastAsia"/>
              </w:rPr>
              <w:t>④ 土建开始施工，光伏面板基础、各种建筑物基础放线开挖，各类土建工程基座浇筑、开挖土方回填、各种建筑物建设；</w:t>
            </w:r>
          </w:p>
          <w:p>
            <w:pPr>
              <w:pStyle w:val="46"/>
              <w:ind w:firstLine="480"/>
            </w:pPr>
            <w:r>
              <w:rPr>
                <w:rFonts w:hint="eastAsia"/>
              </w:rPr>
              <w:t>⑤ 工程光伏电池组件安装及其他设备安装；</w:t>
            </w:r>
          </w:p>
          <w:p>
            <w:pPr>
              <w:pStyle w:val="46"/>
              <w:ind w:firstLine="480"/>
            </w:pPr>
            <w:r>
              <w:rPr>
                <w:rFonts w:hint="eastAsia"/>
              </w:rPr>
              <w:t>⑥ 厂区电缆沟开挖、砌筑，电缆铺设；</w:t>
            </w:r>
          </w:p>
          <w:p>
            <w:pPr>
              <w:pStyle w:val="46"/>
              <w:ind w:firstLine="480"/>
            </w:pPr>
            <w:r>
              <w:rPr>
                <w:rFonts w:hint="eastAsia"/>
              </w:rPr>
              <w:t>⑦ 设备调试、试运行、投入运营。</w:t>
            </w:r>
          </w:p>
          <w:p>
            <w:pPr>
              <w:pStyle w:val="24"/>
              <w:ind w:firstLine="0" w:firstLineChars="0"/>
            </w:pPr>
            <w:r>
              <w:drawing>
                <wp:inline distT="0" distB="0" distL="0" distR="0">
                  <wp:extent cx="5123815" cy="8566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82206" cy="866628"/>
                          </a:xfrm>
                          <a:prstGeom prst="rect">
                            <a:avLst/>
                          </a:prstGeom>
                          <a:noFill/>
                        </pic:spPr>
                      </pic:pic>
                    </a:graphicData>
                  </a:graphic>
                </wp:inline>
              </w:drawing>
            </w:r>
          </w:p>
          <w:p>
            <w:pPr>
              <w:pStyle w:val="24"/>
              <w:ind w:firstLine="482"/>
              <w:jc w:val="center"/>
            </w:pPr>
            <w:r>
              <w:rPr>
                <w:rFonts w:hint="eastAsia"/>
              </w:rPr>
              <w:t>图</w:t>
            </w:r>
            <w:r>
              <w:t>2</w:t>
            </w:r>
            <w:r>
              <w:rPr>
                <w:rFonts w:hint="eastAsia"/>
              </w:rPr>
              <w:t>.</w:t>
            </w:r>
            <w:r>
              <w:t>3</w:t>
            </w:r>
            <w:r>
              <w:rPr>
                <w:rFonts w:hint="eastAsia"/>
              </w:rPr>
              <w:t xml:space="preserve">  项目施工期工艺流程图</w:t>
            </w:r>
          </w:p>
          <w:p>
            <w:pPr>
              <w:pStyle w:val="24"/>
              <w:ind w:firstLine="482"/>
            </w:pPr>
            <w:r>
              <w:rPr>
                <w:rFonts w:hint="eastAsia"/>
              </w:rPr>
              <w:t>（2）升压站施工工艺</w:t>
            </w:r>
          </w:p>
          <w:p>
            <w:pPr>
              <w:pStyle w:val="46"/>
              <w:ind w:firstLine="480"/>
              <w:rPr>
                <w:rFonts w:cs="Times New Roman"/>
                <w:szCs w:val="24"/>
              </w:rPr>
            </w:pPr>
            <w:r>
              <w:rPr>
                <w:rFonts w:hint="eastAsia"/>
              </w:rPr>
              <w:t xml:space="preserve">① </w:t>
            </w:r>
            <w:r>
              <w:t>基础开挖及基础施工。</w:t>
            </w:r>
          </w:p>
          <w:p>
            <w:pPr>
              <w:pStyle w:val="46"/>
              <w:ind w:firstLine="480"/>
              <w:rPr>
                <w:rFonts w:cs="Times New Roman"/>
              </w:rPr>
            </w:pPr>
            <w:r>
              <w:rPr>
                <w:rFonts w:hint="eastAsia"/>
              </w:rPr>
              <w:t>②</w:t>
            </w:r>
            <w:r>
              <w:t xml:space="preserve"> 脚手架工程。</w:t>
            </w:r>
          </w:p>
          <w:p>
            <w:pPr>
              <w:pStyle w:val="46"/>
              <w:ind w:firstLine="480"/>
              <w:rPr>
                <w:rFonts w:cs="Times New Roman"/>
              </w:rPr>
            </w:pPr>
            <w:r>
              <w:rPr>
                <w:rFonts w:hint="eastAsia"/>
              </w:rPr>
              <w:t xml:space="preserve">③ </w:t>
            </w:r>
            <w:r>
              <w:t>主体砌筑工程及封顶。</w:t>
            </w:r>
          </w:p>
          <w:p>
            <w:pPr>
              <w:pStyle w:val="46"/>
              <w:ind w:firstLine="480"/>
              <w:rPr>
                <w:rFonts w:cs="Times New Roman"/>
              </w:rPr>
            </w:pPr>
            <w:r>
              <w:rPr>
                <w:rFonts w:hint="eastAsia"/>
              </w:rPr>
              <w:t>④</w:t>
            </w:r>
            <w:r>
              <w:t xml:space="preserve"> 屋面及防水工程。</w:t>
            </w:r>
          </w:p>
          <w:p>
            <w:pPr>
              <w:pStyle w:val="46"/>
              <w:ind w:firstLine="480"/>
              <w:rPr>
                <w:rFonts w:cs="Times New Roman"/>
              </w:rPr>
            </w:pPr>
            <w:r>
              <w:rPr>
                <w:rFonts w:hint="eastAsia"/>
              </w:rPr>
              <w:t xml:space="preserve">⑤ </w:t>
            </w:r>
            <w:r>
              <w:t>内外装修工程。</w:t>
            </w:r>
          </w:p>
          <w:p>
            <w:pPr>
              <w:pStyle w:val="46"/>
              <w:ind w:firstLine="480"/>
            </w:pPr>
            <w:r>
              <w:rPr>
                <w:rFonts w:hint="eastAsia"/>
              </w:rPr>
              <w:t>⑥</w:t>
            </w:r>
            <w:r>
              <w:t xml:space="preserve"> 在土建专业施工时，电气专业技术人员应到现场配合土建施工，做好预埋件、预留孔洞、过路电缆预埋管、接地网的施工。</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7 \* GB3</w:instrText>
            </w:r>
            <w:r>
              <w:rPr>
                <w:rFonts w:cs="Times New Roman"/>
              </w:rPr>
              <w:instrText xml:space="preserve"> </w:instrText>
            </w:r>
            <w:r>
              <w:rPr>
                <w:rFonts w:cs="Times New Roman"/>
              </w:rPr>
              <w:fldChar w:fldCharType="separate"/>
            </w:r>
            <w:r>
              <w:rPr>
                <w:rFonts w:hint="eastAsia" w:cs="Times New Roman"/>
              </w:rPr>
              <w:t>⑦</w:t>
            </w:r>
            <w:r>
              <w:rPr>
                <w:rFonts w:cs="Times New Roman"/>
              </w:rPr>
              <w:fldChar w:fldCharType="end"/>
            </w:r>
            <w:r>
              <w:rPr>
                <w:rFonts w:cs="Times New Roman"/>
              </w:rPr>
              <w:t xml:space="preserve"> </w:t>
            </w:r>
            <w:r>
              <w:rPr>
                <w:rFonts w:hint="eastAsia" w:cs="Times New Roman"/>
              </w:rPr>
              <w:t>项目主体工程光伏板安装结束后，对整个区域先进行土地平整，平整之后进行整地，根据植株种植方式全面整地、移植植株进行穴状整地，之后需在光伏板下按治理规划要求，进行植被种植，植被种植时分段、分批进行。</w:t>
            </w:r>
          </w:p>
          <w:p>
            <w:pPr>
              <w:pStyle w:val="24"/>
              <w:ind w:firstLine="482"/>
              <w:rPr>
                <w:rFonts w:ascii="宋体" w:hAnsi="宋体" w:cs="宋体"/>
              </w:rPr>
            </w:pPr>
            <w:r>
              <w:rPr>
                <w:rFonts w:hint="eastAsia"/>
              </w:rPr>
              <w:t>（3）施工时序</w:t>
            </w:r>
          </w:p>
          <w:p>
            <w:pPr>
              <w:pStyle w:val="22"/>
              <w:spacing w:before="240" w:after="120"/>
            </w:pPr>
            <w:r>
              <w:t xml:space="preserve">表2.6                             </w:t>
            </w:r>
            <w:r>
              <w:rPr>
                <w:rFonts w:hint="eastAsia"/>
              </w:rPr>
              <w:t>施工进度表</w:t>
            </w:r>
          </w:p>
          <w:tbl>
            <w:tblPr>
              <w:tblStyle w:val="16"/>
              <w:tblW w:w="784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707"/>
              <w:gridCol w:w="3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b/>
                      <w:snapToGrid/>
                      <w:kern w:val="2"/>
                    </w:rPr>
                  </w:pPr>
                  <w:r>
                    <w:rPr>
                      <w:rFonts w:ascii="Times New Roman" w:hAnsi="Times New Roman" w:eastAsia="宋体" w:cs="Times New Roman"/>
                      <w:b/>
                      <w:snapToGrid/>
                      <w:kern w:val="2"/>
                    </w:rPr>
                    <w:t>序号</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b/>
                      <w:snapToGrid/>
                      <w:kern w:val="2"/>
                    </w:rPr>
                  </w:pPr>
                  <w:r>
                    <w:rPr>
                      <w:rFonts w:ascii="Times New Roman" w:hAnsi="Times New Roman" w:eastAsia="宋体" w:cs="Times New Roman"/>
                      <w:b/>
                      <w:snapToGrid/>
                      <w:kern w:val="2"/>
                    </w:rPr>
                    <w:t>主要进度</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b/>
                      <w:snapToGrid/>
                      <w:kern w:val="2"/>
                    </w:rPr>
                  </w:pPr>
                  <w:r>
                    <w:rPr>
                      <w:rFonts w:ascii="Times New Roman" w:hAnsi="Times New Roman" w:eastAsia="宋体" w:cs="Times New Roman"/>
                      <w:b/>
                      <w:snapToGrid/>
                      <w:kern w:val="2"/>
                    </w:rPr>
                    <w:t>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1</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施工准备及开工准备</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w:t>
                  </w:r>
                  <w:r>
                    <w:rPr>
                      <w:rFonts w:hint="eastAsia" w:ascii="Times New Roman" w:hAnsi="Times New Roman" w:eastAsia="宋体" w:cs="Times New Roman"/>
                      <w:snapToGrid/>
                      <w:kern w:val="2"/>
                      <w:lang w:val="en-US"/>
                    </w:rPr>
                    <w:t>3</w:t>
                  </w:r>
                  <w:r>
                    <w:rPr>
                      <w:rFonts w:ascii="Times New Roman" w:hAnsi="Times New Roman" w:eastAsia="宋体" w:cs="Times New Roman"/>
                      <w:snapToGrid/>
                      <w:kern w:val="2"/>
                    </w:rPr>
                    <w:t>.05.1~202</w:t>
                  </w:r>
                  <w:r>
                    <w:rPr>
                      <w:rFonts w:ascii="Times New Roman" w:hAnsi="Times New Roman" w:eastAsia="宋体" w:cs="Times New Roman"/>
                      <w:snapToGrid/>
                      <w:kern w:val="2"/>
                      <w:lang w:val="en-US"/>
                    </w:rPr>
                    <w:t>3</w:t>
                  </w:r>
                  <w:r>
                    <w:rPr>
                      <w:rFonts w:ascii="Times New Roman" w:hAnsi="Times New Roman" w:eastAsia="宋体" w:cs="Times New Roman"/>
                      <w:snapToGrid/>
                      <w:kern w:val="2"/>
                    </w:rPr>
                    <w:t>.</w:t>
                  </w:r>
                  <w:r>
                    <w:rPr>
                      <w:rFonts w:hint="eastAsia" w:ascii="Times New Roman" w:hAnsi="Times New Roman" w:eastAsia="宋体" w:cs="Times New Roman"/>
                      <w:snapToGrid/>
                      <w:kern w:val="2"/>
                    </w:rPr>
                    <w:t>0</w:t>
                  </w:r>
                  <w:r>
                    <w:rPr>
                      <w:rFonts w:ascii="Times New Roman" w:hAnsi="Times New Roman" w:eastAsia="宋体" w:cs="Times New Roman"/>
                      <w:snapToGrid/>
                      <w:kern w:val="2"/>
                    </w:rPr>
                    <w:t>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光伏阵列基础施工</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2023.0</w:t>
                  </w:r>
                  <w:r>
                    <w:rPr>
                      <w:rFonts w:ascii="Times New Roman" w:hAnsi="Times New Roman" w:eastAsia="宋体" w:cs="Times New Roman"/>
                      <w:snapToGrid/>
                      <w:kern w:val="2"/>
                      <w:lang w:val="en-US"/>
                    </w:rPr>
                    <w:t>6</w:t>
                  </w:r>
                  <w:r>
                    <w:rPr>
                      <w:rFonts w:ascii="Times New Roman" w:hAnsi="Times New Roman" w:eastAsia="宋体" w:cs="Times New Roman"/>
                      <w:snapToGrid/>
                      <w:kern w:val="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3</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升压站建构筑物基础施工开始</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2023.0</w:t>
                  </w:r>
                  <w:r>
                    <w:rPr>
                      <w:rFonts w:ascii="Times New Roman" w:hAnsi="Times New Roman" w:eastAsia="宋体" w:cs="Times New Roman"/>
                      <w:snapToGrid/>
                      <w:kern w:val="2"/>
                      <w:lang w:val="en-US"/>
                    </w:rPr>
                    <w:t>6</w:t>
                  </w:r>
                  <w:r>
                    <w:rPr>
                      <w:rFonts w:ascii="Times New Roman" w:hAnsi="Times New Roman" w:eastAsia="宋体" w:cs="Times New Roman"/>
                      <w:snapToGrid/>
                      <w:kern w:val="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4</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电气设备安装调试</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2023.</w:t>
                  </w:r>
                  <w:r>
                    <w:rPr>
                      <w:rFonts w:ascii="Times New Roman" w:hAnsi="Times New Roman" w:eastAsia="宋体" w:cs="Times New Roman"/>
                      <w:snapToGrid/>
                      <w:kern w:val="2"/>
                      <w:lang w:val="en-US"/>
                    </w:rPr>
                    <w:t>10</w:t>
                  </w:r>
                  <w:r>
                    <w:rPr>
                      <w:rFonts w:ascii="Times New Roman" w:hAnsi="Times New Roman" w:eastAsia="宋体" w:cs="Times New Roman"/>
                      <w:snapToGrid/>
                      <w:kern w:val="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5</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第一批光伏组件安装完毕</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2023.</w:t>
                  </w:r>
                  <w:r>
                    <w:rPr>
                      <w:rFonts w:ascii="Times New Roman" w:hAnsi="Times New Roman" w:eastAsia="宋体" w:cs="Times New Roman"/>
                      <w:snapToGrid/>
                      <w:kern w:val="2"/>
                      <w:lang w:val="en-US"/>
                    </w:rPr>
                    <w:t>10</w:t>
                  </w:r>
                  <w:r>
                    <w:rPr>
                      <w:rFonts w:ascii="Times New Roman" w:hAnsi="Times New Roman" w:eastAsia="宋体" w:cs="Times New Roman"/>
                      <w:snapToGrid/>
                      <w:kern w:val="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6</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第一批光伏组件并网发电</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7</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最后一批光伏组件并网发电</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8</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工程整体移交生产</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9</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光伏工程整体竣工</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hint="eastAsia" w:ascii="Times New Roman" w:hAnsi="Times New Roman" w:eastAsia="宋体" w:cs="Times New Roman"/>
                      <w:snapToGrid/>
                      <w:kern w:val="2"/>
                    </w:rPr>
                    <w:t>1</w:t>
                  </w:r>
                  <w:r>
                    <w:rPr>
                      <w:rFonts w:ascii="Times New Roman" w:hAnsi="Times New Roman" w:eastAsia="宋体" w:cs="Times New Roman"/>
                      <w:snapToGrid/>
                      <w:kern w:val="2"/>
                    </w:rPr>
                    <w:t>0</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生态治理工程开始实施，植物定植</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2024.5. 1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2"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hint="eastAsia" w:ascii="Times New Roman" w:hAnsi="Times New Roman" w:eastAsia="宋体" w:cs="Times New Roman"/>
                      <w:snapToGrid/>
                      <w:kern w:val="2"/>
                    </w:rPr>
                    <w:t>1</w:t>
                  </w:r>
                  <w:r>
                    <w:rPr>
                      <w:rFonts w:ascii="Times New Roman" w:hAnsi="Times New Roman" w:eastAsia="宋体" w:cs="Times New Roman"/>
                      <w:snapToGrid/>
                      <w:kern w:val="2"/>
                    </w:rPr>
                    <w:t>2</w:t>
                  </w:r>
                </w:p>
              </w:tc>
              <w:tc>
                <w:tcPr>
                  <w:tcW w:w="2363"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生态治理工程施工完毕，植物养护</w:t>
                  </w:r>
                </w:p>
              </w:tc>
              <w:tc>
                <w:tcPr>
                  <w:tcW w:w="2095" w:type="pct"/>
                  <w:shd w:val="clear" w:color="auto" w:fill="auto"/>
                  <w:vAlign w:val="center"/>
                </w:tcPr>
                <w:p>
                  <w:pPr>
                    <w:pStyle w:val="65"/>
                    <w:overflowPunct w:val="0"/>
                    <w:autoSpaceDE w:val="0"/>
                    <w:autoSpaceDN w:val="0"/>
                    <w:jc w:val="center"/>
                    <w:rPr>
                      <w:rFonts w:ascii="Times New Roman" w:hAnsi="Times New Roman" w:eastAsia="宋体" w:cs="Times New Roman"/>
                      <w:snapToGrid/>
                      <w:kern w:val="2"/>
                    </w:rPr>
                  </w:pPr>
                  <w:r>
                    <w:rPr>
                      <w:rFonts w:ascii="Times New Roman" w:hAnsi="Times New Roman" w:eastAsia="宋体" w:cs="Times New Roman"/>
                      <w:snapToGrid/>
                      <w:kern w:val="2"/>
                    </w:rPr>
                    <w:t>2024.9. 31</w:t>
                  </w:r>
                </w:p>
              </w:tc>
            </w:tr>
          </w:tbl>
          <w:p>
            <w:pPr>
              <w:pStyle w:val="44"/>
              <w:spacing w:before="120"/>
              <w:rPr>
                <w:rFonts w:cs="Times New Roman"/>
                <w:color w:val="auto"/>
              </w:rPr>
            </w:pPr>
            <w:r>
              <w:rPr>
                <w:rFonts w:cs="Times New Roman"/>
                <w:color w:val="auto"/>
              </w:rPr>
              <w:t>2、建设周期</w:t>
            </w:r>
          </w:p>
          <w:p>
            <w:pPr>
              <w:pStyle w:val="46"/>
              <w:ind w:firstLine="480"/>
              <w:rPr>
                <w:rFonts w:cs="Times New Roman"/>
                <w:szCs w:val="24"/>
              </w:rPr>
            </w:pPr>
            <w:r>
              <w:rPr>
                <w:rFonts w:hint="eastAsia"/>
              </w:rPr>
              <w:t>本项目光伏项目</w:t>
            </w:r>
            <w:r>
              <w:rPr>
                <w:rFonts w:hint="eastAsia" w:cs="Times New Roman"/>
                <w:szCs w:val="24"/>
              </w:rPr>
              <w:t>施工总工期</w:t>
            </w:r>
            <w:r>
              <w:rPr>
                <w:rFonts w:cs="Times New Roman"/>
                <w:szCs w:val="24"/>
              </w:rPr>
              <w:t>9</w:t>
            </w:r>
            <w:r>
              <w:rPr>
                <w:rFonts w:hint="eastAsia" w:cs="Times New Roman"/>
                <w:szCs w:val="24"/>
              </w:rPr>
              <w:t>个月，生态治理项目施工期5个月。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769" w:hRule="atLeast"/>
          <w:jc w:val="center"/>
        </w:trPr>
        <w:tc>
          <w:tcPr>
            <w:tcW w:w="466" w:type="dxa"/>
            <w:vAlign w:val="center"/>
          </w:tcPr>
          <w:p>
            <w:pPr>
              <w:adjustRightInd w:val="0"/>
              <w:snapToGrid w:val="0"/>
              <w:jc w:val="center"/>
              <w:rPr>
                <w:kern w:val="0"/>
                <w:sz w:val="24"/>
              </w:rPr>
            </w:pPr>
            <w:r>
              <w:rPr>
                <w:kern w:val="0"/>
                <w:sz w:val="24"/>
              </w:rPr>
              <w:t>其他</w:t>
            </w:r>
          </w:p>
        </w:tc>
        <w:tc>
          <w:tcPr>
            <w:tcW w:w="8455" w:type="dxa"/>
            <w:vAlign w:val="center"/>
          </w:tcPr>
          <w:p>
            <w:pPr>
              <w:adjustRightInd w:val="0"/>
              <w:snapToGrid w:val="0"/>
              <w:ind w:firstLine="480" w:firstLineChars="200"/>
              <w:rPr>
                <w:kern w:val="0"/>
                <w:sz w:val="24"/>
              </w:rPr>
            </w:pPr>
            <w:r>
              <w:rPr>
                <w:kern w:val="0"/>
                <w:sz w:val="24"/>
              </w:rPr>
              <w:t>无。</w:t>
            </w:r>
          </w:p>
        </w:tc>
      </w:tr>
    </w:tbl>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Times New Roman" w:hAnsi="Times New Roman"/>
          <w:b/>
          <w:bCs/>
        </w:rPr>
        <w:br w:type="page"/>
      </w:r>
      <w:r>
        <w:rPr>
          <w:rFonts w:ascii="黑体" w:hAnsi="黑体" w:eastAsia="黑体"/>
          <w:snapToGrid w:val="0"/>
          <w:sz w:val="30"/>
          <w:szCs w:val="30"/>
        </w:rPr>
        <w:t>三、生态环境现状、保护目标及评价标准</w:t>
      </w:r>
    </w:p>
    <w:tbl>
      <w:tblPr>
        <w:tblStyle w:val="16"/>
        <w:tblW w:w="8774"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113" w:type="dxa"/>
          <w:left w:w="108" w:type="dxa"/>
          <w:bottom w:w="113" w:type="dxa"/>
          <w:right w:w="108" w:type="dxa"/>
        </w:tblCellMar>
      </w:tblPr>
      <w:tblGrid>
        <w:gridCol w:w="456"/>
        <w:gridCol w:w="831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13" w:type="dxa"/>
            <w:left w:w="108" w:type="dxa"/>
            <w:bottom w:w="113" w:type="dxa"/>
            <w:right w:w="108" w:type="dxa"/>
          </w:tblCellMar>
        </w:tblPrEx>
        <w:trPr>
          <w:jc w:val="center"/>
        </w:trPr>
        <w:tc>
          <w:tcPr>
            <w:tcW w:w="456" w:type="dxa"/>
            <w:vAlign w:val="center"/>
          </w:tcPr>
          <w:p>
            <w:pPr>
              <w:adjustRightInd w:val="0"/>
              <w:snapToGrid w:val="0"/>
              <w:jc w:val="center"/>
              <w:rPr>
                <w:kern w:val="0"/>
                <w:szCs w:val="21"/>
              </w:rPr>
            </w:pPr>
            <w:r>
              <w:rPr>
                <w:kern w:val="0"/>
                <w:sz w:val="24"/>
                <w:szCs w:val="21"/>
              </w:rPr>
              <w:t>生态环境现状</w:t>
            </w:r>
          </w:p>
        </w:tc>
        <w:tc>
          <w:tcPr>
            <w:tcW w:w="8318" w:type="dxa"/>
          </w:tcPr>
          <w:p>
            <w:pPr>
              <w:pStyle w:val="44"/>
              <w:spacing w:before="120"/>
              <w:rPr>
                <w:rFonts w:cs="Times New Roman"/>
                <w:color w:val="auto"/>
              </w:rPr>
            </w:pPr>
            <w:r>
              <w:rPr>
                <w:rFonts w:cs="Times New Roman"/>
                <w:color w:val="auto"/>
              </w:rPr>
              <w:t>1、生态功能区划</w:t>
            </w:r>
          </w:p>
          <w:p>
            <w:pPr>
              <w:pStyle w:val="46"/>
              <w:ind w:firstLine="480"/>
            </w:pPr>
            <w:r>
              <w:t>根据《全国生态功能区划》（环境保护部公告2015年第61号），</w:t>
            </w:r>
            <w:r>
              <w:rPr>
                <w:rFonts w:hint="eastAsia"/>
              </w:rPr>
              <w:t>本项目所涉及的评价区处于内蒙西部，属阴山北部防风固沙功能区（I-04-05）。该区气候干旱，多大风，沙漠化敏感性程度极高，是主要风沙源之一，属于防风固沙重要区。主要生态问题：长期以来农牧交错经济结构带来的草地资源不合理开发利用，导致草原生态系统严重退化，表现为退化草地面积大、土地沙化严重、耕地土壤贫瘠化、干旱缺水，对华北地区生态安全构成威胁。生态保护主要措施：加强对流动沙丘的固定；改变粗放的生产经营方式，停止一切导致生态功能继续恶化的人为破坏活动，控制农垦范围北移，坚持退耕还草方针；以草定畜，推行舍饲圈养，划区轮牧、退牧、禁牧和季节性休牧。</w:t>
            </w:r>
          </w:p>
          <w:p>
            <w:pPr>
              <w:pStyle w:val="46"/>
              <w:ind w:firstLine="480"/>
            </w:pPr>
            <w:r>
              <w:rPr>
                <w:rFonts w:hint="eastAsia"/>
              </w:rPr>
              <w:t>根据《内蒙</w:t>
            </w:r>
            <w:r>
              <w:rPr>
                <w:rFonts w:hint="eastAsia"/>
                <w:lang w:eastAsia="zh-CN"/>
              </w:rPr>
              <w:t>古</w:t>
            </w:r>
            <w:r>
              <w:rPr>
                <w:rFonts w:hint="eastAsia"/>
              </w:rPr>
              <w:t>自治区主体功能区规划》，巴彦淖尔市乌拉特前旗属于国家级农产品主产区。其功能定位是国家绿色农产品生产基地，我区建设新农村新牧区的主要区域。围绕县城所在地和资源富集地区，在符合主体功能定位条件下，依托资源环境承载能力，合理发展农产品加工业，适度发展能源、化工、冶金等特色优势产业，鼓励发展生态旅游等服务业。</w:t>
            </w:r>
          </w:p>
          <w:p>
            <w:pPr>
              <w:pStyle w:val="46"/>
              <w:ind w:firstLine="480"/>
            </w:pPr>
            <w:r>
              <w:rPr>
                <w:rFonts w:hint="eastAsia"/>
              </w:rPr>
              <w:t>本项目在全国生态功能区划综合方案及内蒙古自治区主体功能区划中所处位置见图3.1、图3.2。</w:t>
            </w:r>
          </w:p>
          <w:p>
            <w:pPr>
              <w:pStyle w:val="46"/>
              <w:ind w:firstLine="0" w:firstLineChars="0"/>
            </w:pPr>
            <w:r>
              <w:rPr>
                <w:snapToGrid/>
              </w:rPr>
              <mc:AlternateContent>
                <mc:Choice Requires="wps">
                  <w:drawing>
                    <wp:anchor distT="0" distB="0" distL="114300" distR="114300" simplePos="0" relativeHeight="251660288" behindDoc="0" locked="0" layoutInCell="1" allowOverlap="1">
                      <wp:simplePos x="0" y="0"/>
                      <wp:positionH relativeFrom="column">
                        <wp:posOffset>2129790</wp:posOffset>
                      </wp:positionH>
                      <wp:positionV relativeFrom="paragraph">
                        <wp:posOffset>458470</wp:posOffset>
                      </wp:positionV>
                      <wp:extent cx="1032510" cy="290195"/>
                      <wp:effectExtent l="0" t="0" r="15240" b="605155"/>
                      <wp:wrapNone/>
                      <wp:docPr id="2" name="圆角矩形标注 2"/>
                      <wp:cNvGraphicFramePr/>
                      <a:graphic xmlns:a="http://schemas.openxmlformats.org/drawingml/2006/main">
                        <a:graphicData uri="http://schemas.microsoft.com/office/word/2010/wordprocessingShape">
                          <wps:wsp>
                            <wps:cNvSpPr/>
                            <wps:spPr>
                              <a:xfrm>
                                <a:off x="0" y="0"/>
                                <a:ext cx="1032510" cy="290195"/>
                              </a:xfrm>
                              <a:prstGeom prst="wedgeRoundRectCallout">
                                <a:avLst>
                                  <a:gd name="adj1" fmla="val 30705"/>
                                  <a:gd name="adj2" fmla="val 242100"/>
                                  <a:gd name="adj3" fmla="val 16667"/>
                                </a:avLst>
                              </a:prstGeom>
                              <a:noFill/>
                              <a:ln w="12700" cap="flat" cmpd="sng" algn="ctr">
                                <a:solidFill>
                                  <a:sysClr val="windowText" lastClr="000000"/>
                                </a:solidFill>
                                <a:prstDash val="solid"/>
                                <a:miter lim="800000"/>
                              </a:ln>
                              <a:effectLst/>
                            </wps:spPr>
                            <wps:txbx>
                              <w:txbxContent>
                                <w:p>
                                  <w:pPr>
                                    <w:jc w:val="center"/>
                                    <w:rPr>
                                      <w:b/>
                                      <w:color w:val="262626" w:themeColor="text1" w:themeTint="D9"/>
                                      <w14:textFill>
                                        <w14:solidFill>
                                          <w14:schemeClr w14:val="tx1">
                                            <w14:lumMod w14:val="85000"/>
                                            <w14:lumOff w14:val="15000"/>
                                          </w14:schemeClr>
                                        </w14:solidFill>
                                      </w14:textFill>
                                    </w:rPr>
                                  </w:pPr>
                                  <w:r>
                                    <w:rPr>
                                      <w:rFonts w:hint="eastAsia"/>
                                      <w:b/>
                                      <w:color w:val="262626" w:themeColor="text1" w:themeTint="D9"/>
                                      <w:szCs w:val="21"/>
                                      <w14:textFill>
                                        <w14:solidFill>
                                          <w14:schemeClr w14:val="tx1">
                                            <w14:lumMod w14:val="85000"/>
                                            <w14:lumOff w14:val="15000"/>
                                          </w14:schemeClr>
                                        </w14:solidFill>
                                      </w14:textFill>
                                    </w:rPr>
                                    <w:t>本项目</w:t>
                                  </w:r>
                                  <w:r>
                                    <w:rPr>
                                      <w:rFonts w:hint="eastAsia"/>
                                      <w:b/>
                                      <w:color w:val="262626" w:themeColor="text1" w:themeTint="D9"/>
                                      <w14:textFill>
                                        <w14:solidFill>
                                          <w14:schemeClr w14:val="tx1">
                                            <w14:lumMod w14:val="85000"/>
                                            <w14:lumOff w14:val="15000"/>
                                          </w14:schemeClr>
                                        </w14:solidFill>
                                      </w14:textFill>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7pt;margin-top:36.1pt;height:22.85pt;width:81.3pt;z-index:251660288;v-text-anchor:middle;mso-width-relative:page;mso-height-relative:page;" filled="f" stroked="t" coordsize="21600,21600" o:gfxdata="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5vPP/2QAAAAoBAAAPAAAAAAAAAAEAIAAAACIAAABkcnMvZG93bnJldi54bWxQSwECFAAU&#10;AAAACACHTuJAXqnOcdQCAACLBQAADgAAAAAAAAABACAAAAAoAQAAZHJzL2Uyb0RvYy54bWxQSwUG&#10;AAAAAAYABgBZAQAAbgYAAAAA&#10;" adj="17432,63094,14400">
                      <v:fill on="f" focussize="0,0"/>
                      <v:stroke weight="1pt" color="#000000" miterlimit="8" joinstyle="miter"/>
                      <v:imagedata o:title=""/>
                      <o:lock v:ext="edit" aspectratio="f"/>
                      <v:textbox>
                        <w:txbxContent>
                          <w:p>
                            <w:pPr>
                              <w:jc w:val="center"/>
                              <w:rPr>
                                <w:b/>
                                <w:color w:val="262626" w:themeColor="text1" w:themeTint="D9"/>
                                <w14:textFill>
                                  <w14:solidFill>
                                    <w14:schemeClr w14:val="tx1">
                                      <w14:lumMod w14:val="85000"/>
                                      <w14:lumOff w14:val="15000"/>
                                    </w14:schemeClr>
                                  </w14:solidFill>
                                </w14:textFill>
                              </w:rPr>
                            </w:pPr>
                            <w:r>
                              <w:rPr>
                                <w:rFonts w:hint="eastAsia"/>
                                <w:b/>
                                <w:color w:val="262626" w:themeColor="text1" w:themeTint="D9"/>
                                <w:szCs w:val="21"/>
                                <w14:textFill>
                                  <w14:solidFill>
                                    <w14:schemeClr w14:val="tx1">
                                      <w14:lumMod w14:val="85000"/>
                                      <w14:lumOff w14:val="15000"/>
                                    </w14:schemeClr>
                                  </w14:solidFill>
                                </w14:textFill>
                              </w:rPr>
                              <w:t>本项目</w:t>
                            </w:r>
                            <w:r>
                              <w:rPr>
                                <w:rFonts w:hint="eastAsia"/>
                                <w:b/>
                                <w:color w:val="262626" w:themeColor="text1" w:themeTint="D9"/>
                                <w14:textFill>
                                  <w14:solidFill>
                                    <w14:schemeClr w14:val="tx1">
                                      <w14:lumMod w14:val="85000"/>
                                      <w14:lumOff w14:val="15000"/>
                                    </w14:schemeClr>
                                  </w14:solidFill>
                                </w14:textFill>
                              </w:rPr>
                              <w:t>位置</w:t>
                            </w:r>
                          </w:p>
                        </w:txbxContent>
                      </v:textbox>
                    </v:shape>
                  </w:pict>
                </mc:Fallback>
              </mc:AlternateContent>
            </w:r>
            <w:r>
              <w:rPr>
                <w:snapToGrid/>
              </w:rPr>
              <mc:AlternateContent>
                <mc:Choice Requires="wps">
                  <w:drawing>
                    <wp:anchor distT="0" distB="0" distL="114300" distR="114300" simplePos="0" relativeHeight="251669504" behindDoc="0" locked="0" layoutInCell="1" allowOverlap="1">
                      <wp:simplePos x="0" y="0"/>
                      <wp:positionH relativeFrom="column">
                        <wp:posOffset>2943225</wp:posOffset>
                      </wp:positionH>
                      <wp:positionV relativeFrom="paragraph">
                        <wp:posOffset>1303655</wp:posOffset>
                      </wp:positionV>
                      <wp:extent cx="45720" cy="45720"/>
                      <wp:effectExtent l="0" t="0" r="12065" b="12065"/>
                      <wp:wrapNone/>
                      <wp:docPr id="51" name="流程图: 联系 51"/>
                      <wp:cNvGraphicFramePr/>
                      <a:graphic xmlns:a="http://schemas.openxmlformats.org/drawingml/2006/main">
                        <a:graphicData uri="http://schemas.microsoft.com/office/word/2010/wordprocessingShape">
                          <wps:wsp>
                            <wps:cNvSpPr/>
                            <wps:spPr>
                              <a:xfrm flipV="1">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flip:y;margin-left:231.75pt;margin-top:102.65pt;height:3.6pt;width:3.6pt;z-index:251669504;v-text-anchor:middle;mso-width-relative:page;mso-height-relative:page;" fillcolor="#5B9BD5 [3204]" filled="t" stroked="t" coordsize="21600,21600" o:gfxdata="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NQhdktsAAAALAQAADwAAAAAAAAABACAAAAAiAAAAZHJzL2Rvd25yZXYueG1s&#10;UEsBAhQAFAAAAAgAh07iQFrQCMGgAgAANwUAAA4AAAAAAAAAAQAgAAAAKgEAAGRycy9lMm9Eb2Mu&#10;eG1sUEsFBgAAAAAGAAYAWQEAADwGAAAAAA==&#10;">
                      <v:fill on="t" focussize="0,0"/>
                      <v:stroke weight="1pt" color="#41719C [3204]" miterlimit="8" joinstyle="miter"/>
                      <v:imagedata o:title=""/>
                      <o:lock v:ext="edit" aspectratio="f"/>
                    </v:shape>
                  </w:pict>
                </mc:Fallback>
              </mc:AlternateContent>
            </w:r>
            <w:r>
              <w:drawing>
                <wp:inline distT="0" distB="0" distL="0" distR="0">
                  <wp:extent cx="5098415" cy="3197225"/>
                  <wp:effectExtent l="0" t="0" r="6985" b="3175"/>
                  <wp:docPr id="34" name="图片 34" descr="D:\资料\功能区划\全国生态功能区划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资料\功能区划\全国生态功能区划 87.jpg"/>
                          <pic:cNvPicPr>
                            <a:picLocks noChangeAspect="1" noChangeArrowheads="1"/>
                          </pic:cNvPicPr>
                        </pic:nvPicPr>
                        <pic:blipFill>
                          <a:blip r:embed="rId18" cstate="print">
                            <a:extLst>
                              <a:ext uri="{28A0092B-C50C-407E-A947-70E740481C1C}">
                                <a14:useLocalDpi xmlns:a14="http://schemas.microsoft.com/office/drawing/2010/main" val="0"/>
                              </a:ext>
                            </a:extLst>
                          </a:blip>
                          <a:srcRect l="10399" t="14440" r="10114" b="15005"/>
                          <a:stretch>
                            <a:fillRect/>
                          </a:stretch>
                        </pic:blipFill>
                        <pic:spPr>
                          <a:xfrm>
                            <a:off x="0" y="0"/>
                            <a:ext cx="5153423" cy="3231494"/>
                          </a:xfrm>
                          <a:prstGeom prst="rect">
                            <a:avLst/>
                          </a:prstGeom>
                          <a:noFill/>
                          <a:ln>
                            <a:noFill/>
                          </a:ln>
                        </pic:spPr>
                      </pic:pic>
                    </a:graphicData>
                  </a:graphic>
                </wp:inline>
              </w:drawing>
            </w:r>
          </w:p>
          <w:p>
            <w:pPr>
              <w:pStyle w:val="46"/>
              <w:spacing w:line="240" w:lineRule="auto"/>
              <w:ind w:firstLine="0" w:firstLineChars="0"/>
              <w:jc w:val="center"/>
              <w:rPr>
                <w:rFonts w:cs="Times New Roman"/>
                <w:b/>
              </w:rPr>
            </w:pPr>
            <w:r>
              <w:rPr>
                <w:rFonts w:cs="Times New Roman"/>
                <w:b/>
              </w:rPr>
              <w:t>图3.1 全国生态功能区划</w:t>
            </w:r>
            <w:r>
              <w:rPr>
                <w:rFonts w:hint="eastAsia" w:cs="Times New Roman"/>
                <w:b/>
              </w:rPr>
              <w:t>综合方案</w:t>
            </w:r>
            <w:r>
              <w:rPr>
                <w:rFonts w:cs="Times New Roman"/>
                <w:b/>
              </w:rPr>
              <w:t>图</w:t>
            </w:r>
          </w:p>
          <w:p>
            <w:pPr>
              <w:pStyle w:val="46"/>
              <w:ind w:firstLine="0" w:firstLineChars="0"/>
            </w:pPr>
            <w:r>
              <w:rPr>
                <w:snapToGrid/>
              </w:rPr>
              <mc:AlternateContent>
                <mc:Choice Requires="wps">
                  <w:drawing>
                    <wp:anchor distT="0" distB="0" distL="114300" distR="114300" simplePos="0" relativeHeight="251670528" behindDoc="0" locked="0" layoutInCell="1" allowOverlap="1">
                      <wp:simplePos x="0" y="0"/>
                      <wp:positionH relativeFrom="column">
                        <wp:posOffset>1943735</wp:posOffset>
                      </wp:positionH>
                      <wp:positionV relativeFrom="paragraph">
                        <wp:posOffset>1429385</wp:posOffset>
                      </wp:positionV>
                      <wp:extent cx="1032510" cy="342900"/>
                      <wp:effectExtent l="0" t="0" r="15240" b="1371600"/>
                      <wp:wrapNone/>
                      <wp:docPr id="53" name="圆角矩形标注 53"/>
                      <wp:cNvGraphicFramePr/>
                      <a:graphic xmlns:a="http://schemas.openxmlformats.org/drawingml/2006/main">
                        <a:graphicData uri="http://schemas.microsoft.com/office/word/2010/wordprocessingShape">
                          <wps:wsp>
                            <wps:cNvSpPr/>
                            <wps:spPr>
                              <a:xfrm>
                                <a:off x="0" y="0"/>
                                <a:ext cx="1032510" cy="342900"/>
                              </a:xfrm>
                              <a:prstGeom prst="wedgeRoundRectCallout">
                                <a:avLst>
                                  <a:gd name="adj1" fmla="val -25183"/>
                                  <a:gd name="adj2" fmla="val 427925"/>
                                  <a:gd name="adj3" fmla="val 16667"/>
                                </a:avLst>
                              </a:prstGeom>
                              <a:noFill/>
                              <a:ln w="12700" cap="flat" cmpd="sng" algn="ctr">
                                <a:solidFill>
                                  <a:sysClr val="windowText" lastClr="000000"/>
                                </a:solidFill>
                                <a:prstDash val="solid"/>
                                <a:miter lim="800000"/>
                              </a:ln>
                              <a:effectLst/>
                            </wps:spPr>
                            <wps:txbx>
                              <w:txbxContent>
                                <w:p>
                                  <w:pPr>
                                    <w:jc w:val="center"/>
                                    <w:rPr>
                                      <w:b/>
                                      <w:color w:val="262626" w:themeColor="text1" w:themeTint="D9"/>
                                      <w14:textFill>
                                        <w14:solidFill>
                                          <w14:schemeClr w14:val="tx1">
                                            <w14:lumMod w14:val="85000"/>
                                            <w14:lumOff w14:val="15000"/>
                                          </w14:schemeClr>
                                        </w14:solidFill>
                                      </w14:textFill>
                                    </w:rPr>
                                  </w:pPr>
                                  <w:r>
                                    <w:rPr>
                                      <w:rFonts w:hint="eastAsia"/>
                                      <w:b/>
                                      <w:color w:val="262626" w:themeColor="text1" w:themeTint="D9"/>
                                      <w:szCs w:val="21"/>
                                      <w14:textFill>
                                        <w14:solidFill>
                                          <w14:schemeClr w14:val="tx1">
                                            <w14:lumMod w14:val="85000"/>
                                            <w14:lumOff w14:val="15000"/>
                                          </w14:schemeClr>
                                        </w14:solidFill>
                                      </w14:textFill>
                                    </w:rPr>
                                    <w:t>本项目</w:t>
                                  </w:r>
                                  <w:r>
                                    <w:rPr>
                                      <w:rFonts w:hint="eastAsia"/>
                                      <w:b/>
                                      <w:color w:val="262626" w:themeColor="text1" w:themeTint="D9"/>
                                      <w14:textFill>
                                        <w14:solidFill>
                                          <w14:schemeClr w14:val="tx1">
                                            <w14:lumMod w14:val="85000"/>
                                            <w14:lumOff w14:val="15000"/>
                                          </w14:schemeClr>
                                        </w14:solidFill>
                                      </w14:textFill>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3.05pt;margin-top:112.55pt;height:27pt;width:81.3pt;z-index:251670528;v-text-anchor:middle;mso-width-relative:page;mso-height-relative:page;" filled="f" stroked="t" coordsize="21600,21600" o:gfxdata="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d5T25NoAAAALAQAADwAAAAAAAAABACAAAAAiAAAAZHJzL2Rvd25yZXYueG1sUEsBAhQA&#10;FAAAAAgAh07iQLygq7nUAgAAjgUAAA4AAAAAAAAAAQAgAAAAKQEAAGRycy9lMm9Eb2MueG1sUEsF&#10;BgAAAAAGAAYAWQEAAG8GAAAAAA==&#10;" adj="5360,103232,14400">
                      <v:fill on="f" focussize="0,0"/>
                      <v:stroke weight="1pt" color="#000000" miterlimit="8" joinstyle="miter"/>
                      <v:imagedata o:title=""/>
                      <o:lock v:ext="edit" aspectratio="f"/>
                      <v:textbox>
                        <w:txbxContent>
                          <w:p>
                            <w:pPr>
                              <w:jc w:val="center"/>
                              <w:rPr>
                                <w:b/>
                                <w:color w:val="262626" w:themeColor="text1" w:themeTint="D9"/>
                                <w14:textFill>
                                  <w14:solidFill>
                                    <w14:schemeClr w14:val="tx1">
                                      <w14:lumMod w14:val="85000"/>
                                      <w14:lumOff w14:val="15000"/>
                                    </w14:schemeClr>
                                  </w14:solidFill>
                                </w14:textFill>
                              </w:rPr>
                            </w:pPr>
                            <w:r>
                              <w:rPr>
                                <w:rFonts w:hint="eastAsia"/>
                                <w:b/>
                                <w:color w:val="262626" w:themeColor="text1" w:themeTint="D9"/>
                                <w:szCs w:val="21"/>
                                <w14:textFill>
                                  <w14:solidFill>
                                    <w14:schemeClr w14:val="tx1">
                                      <w14:lumMod w14:val="85000"/>
                                      <w14:lumOff w14:val="15000"/>
                                    </w14:schemeClr>
                                  </w14:solidFill>
                                </w14:textFill>
                              </w:rPr>
                              <w:t>本项目</w:t>
                            </w:r>
                            <w:r>
                              <w:rPr>
                                <w:rFonts w:hint="eastAsia"/>
                                <w:b/>
                                <w:color w:val="262626" w:themeColor="text1" w:themeTint="D9"/>
                                <w14:textFill>
                                  <w14:solidFill>
                                    <w14:schemeClr w14:val="tx1">
                                      <w14:lumMod w14:val="85000"/>
                                      <w14:lumOff w14:val="15000"/>
                                    </w14:schemeClr>
                                  </w14:solidFill>
                                </w14:textFill>
                              </w:rPr>
                              <w:t>位置</w:t>
                            </w:r>
                          </w:p>
                        </w:txbxContent>
                      </v:textbox>
                    </v:shape>
                  </w:pict>
                </mc:Fallback>
              </mc:AlternateContent>
            </w:r>
            <w:r>
              <w:rPr>
                <w:rFonts w:cs="Times New Roman"/>
                <w:snapToGrid/>
              </w:rPr>
              <mc:AlternateContent>
                <mc:Choice Requires="wps">
                  <w:drawing>
                    <wp:anchor distT="0" distB="0" distL="114300" distR="114300" simplePos="0" relativeHeight="251668480" behindDoc="0" locked="0" layoutInCell="1" allowOverlap="1">
                      <wp:simplePos x="0" y="0"/>
                      <wp:positionH relativeFrom="column">
                        <wp:posOffset>2174875</wp:posOffset>
                      </wp:positionH>
                      <wp:positionV relativeFrom="paragraph">
                        <wp:posOffset>3073400</wp:posOffset>
                      </wp:positionV>
                      <wp:extent cx="45720" cy="45720"/>
                      <wp:effectExtent l="0" t="0" r="11430" b="11430"/>
                      <wp:wrapNone/>
                      <wp:docPr id="45" name="流程图: 联系 45"/>
                      <wp:cNvGraphicFramePr/>
                      <a:graphic xmlns:a="http://schemas.openxmlformats.org/drawingml/2006/main">
                        <a:graphicData uri="http://schemas.microsoft.com/office/word/2010/wordprocessingShape">
                          <wps:wsp>
                            <wps:cNvSpPr/>
                            <wps:spPr>
                              <a:xfrm flipV="1">
                                <a:off x="0" y="0"/>
                                <a:ext cx="45720" cy="4572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flip:y;margin-left:171.25pt;margin-top:242pt;height:3.6pt;width:3.6pt;z-index:251668480;v-text-anchor:middle;mso-width-relative:page;mso-height-relative:page;" fillcolor="#FFFF00" filled="t" stroked="t" coordsize="21600,21600" o:gfxdata="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plQEzYAAAACwEAAA8AAAAA&#10;AAAAAQAgAAAAIgAAAGRycy9kb3ducmV2LnhtbFBLAQIUABQAAAAIAIdO4kCjUy1khgIAABYFAAAO&#10;AAAAAAAAAAEAIAAAACcBAABkcnMvZTJvRG9jLnhtbFBLBQYAAAAABgAGAFkBAAAfBgAAAAA=&#10;">
                      <v:fill on="t" focussize="0,0"/>
                      <v:stroke weight="1pt" color="#FFFF00 [3204]" miterlimit="8" joinstyle="miter"/>
                      <v:imagedata o:title=""/>
                      <o:lock v:ext="edit" aspectratio="f"/>
                    </v:shape>
                  </w:pict>
                </mc:Fallback>
              </mc:AlternateContent>
            </w:r>
            <w:r>
              <w:rPr>
                <w:rFonts w:cs="Times New Roman"/>
              </w:rPr>
              <w:drawing>
                <wp:inline distT="0" distB="0" distL="0" distR="0">
                  <wp:extent cx="3967480" cy="5101590"/>
                  <wp:effectExtent l="4445" t="0" r="0" b="0"/>
                  <wp:docPr id="38" name="图片 38" descr="D:\资料\功能区划\内蒙古自治区主体功能区规划图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资料\功能区划\内蒙古自治区主体功能区规划图 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l="15590" t="17194" r="11608" b="16608"/>
                          <a:stretch>
                            <a:fillRect/>
                          </a:stretch>
                        </pic:blipFill>
                        <pic:spPr>
                          <a:xfrm rot="5400000">
                            <a:off x="0" y="0"/>
                            <a:ext cx="4005456" cy="5150288"/>
                          </a:xfrm>
                          <a:prstGeom prst="rect">
                            <a:avLst/>
                          </a:prstGeom>
                          <a:noFill/>
                          <a:ln>
                            <a:noFill/>
                          </a:ln>
                        </pic:spPr>
                      </pic:pic>
                    </a:graphicData>
                  </a:graphic>
                </wp:inline>
              </w:drawing>
            </w:r>
          </w:p>
          <w:p>
            <w:pPr>
              <w:pStyle w:val="44"/>
              <w:spacing w:before="120" w:after="240" w:afterLines="100" w:line="240" w:lineRule="auto"/>
              <w:jc w:val="center"/>
              <w:rPr>
                <w:rFonts w:cs="Times New Roman"/>
                <w:color w:val="auto"/>
                <w:sz w:val="24"/>
                <w:szCs w:val="24"/>
              </w:rPr>
            </w:pPr>
            <w:r>
              <w:rPr>
                <w:rFonts w:cs="Times New Roman"/>
                <w:color w:val="auto"/>
                <w:sz w:val="24"/>
                <w:szCs w:val="24"/>
              </w:rPr>
              <w:t>图3.2 内蒙</w:t>
            </w:r>
            <w:r>
              <w:rPr>
                <w:rFonts w:hint="eastAsia" w:cs="Times New Roman"/>
                <w:color w:val="auto"/>
                <w:sz w:val="24"/>
                <w:szCs w:val="24"/>
                <w:lang w:eastAsia="zh-CN"/>
              </w:rPr>
              <w:t>古</w:t>
            </w:r>
            <w:bookmarkStart w:id="54" w:name="_GoBack"/>
            <w:bookmarkEnd w:id="54"/>
            <w:r>
              <w:rPr>
                <w:rFonts w:cs="Times New Roman"/>
                <w:color w:val="auto"/>
                <w:sz w:val="24"/>
                <w:szCs w:val="24"/>
              </w:rPr>
              <w:t>自治区主体功能区规划图</w:t>
            </w:r>
          </w:p>
          <w:p>
            <w:pPr>
              <w:pStyle w:val="44"/>
              <w:spacing w:before="120"/>
              <w:rPr>
                <w:rFonts w:cs="Times New Roman"/>
                <w:color w:val="auto"/>
              </w:rPr>
            </w:pPr>
            <w:r>
              <w:rPr>
                <w:rFonts w:cs="Times New Roman"/>
                <w:color w:val="auto"/>
              </w:rPr>
              <w:t>2、生态环境现状</w:t>
            </w:r>
          </w:p>
          <w:p>
            <w:pPr>
              <w:pStyle w:val="46"/>
              <w:ind w:firstLine="480"/>
              <w:rPr>
                <w:rFonts w:cs="Times New Roman"/>
              </w:rPr>
            </w:pPr>
            <w:r>
              <w:rPr>
                <w:rFonts w:hint="eastAsia" w:cs="Times New Roman"/>
              </w:rPr>
              <w:t>本次评价以2022年6月5日的哨兵2号卫星（Sentinel-2）空间分辨率10m影像数据作为基本信息源，经过融合处理后的图像地表信息丰富，有利于生态环境因子遥感解译标志的建立，保证了各生态环境要素解译成果的准确性。</w:t>
            </w:r>
          </w:p>
          <w:p>
            <w:pPr>
              <w:pStyle w:val="46"/>
              <w:ind w:firstLine="480"/>
              <w:rPr>
                <w:rFonts w:cs="Times New Roman"/>
              </w:rPr>
            </w:pPr>
            <w:r>
              <w:rPr>
                <w:rFonts w:hint="eastAsia" w:cs="Times New Roman"/>
              </w:rPr>
              <w:t>在Envi、Arcgis等遥感图像处理软件的支持下，对影像数据进行了投影转换、几何纠正、直方图匹配等影像预处理。根据土地利用现状、植被类型等生态环境要素的地物光谱特征的差异性，选择4（红外）、3（红光）、2（绿光）波段组合成标准假彩色影像，合成图像色彩丰富、层次分明，地类边界明显，有利于生态要素的判读解译。</w:t>
            </w:r>
          </w:p>
          <w:p>
            <w:pPr>
              <w:pStyle w:val="46"/>
              <w:ind w:firstLine="480"/>
              <w:rPr>
                <w:rFonts w:cs="Times New Roman"/>
              </w:rPr>
            </w:pPr>
            <w:r>
              <w:rPr>
                <w:rFonts w:hint="eastAsia" w:cs="Times New Roman"/>
              </w:rPr>
              <w:t>遥感影像图见图</w:t>
            </w:r>
            <w:r>
              <w:rPr>
                <w:rFonts w:cs="Times New Roman"/>
              </w:rPr>
              <w:t>3.3</w:t>
            </w:r>
            <w:r>
              <w:rPr>
                <w:rFonts w:hint="eastAsia" w:cs="Times New Roman"/>
              </w:rPr>
              <w:t>。</w:t>
            </w:r>
          </w:p>
          <w:p>
            <w:pPr>
              <w:pStyle w:val="46"/>
              <w:ind w:firstLine="480"/>
              <w:rPr>
                <w:rFonts w:cs="Times New Roman"/>
              </w:rPr>
            </w:pPr>
            <w:r>
              <w:rPr>
                <w:rFonts w:hint="eastAsia" w:cs="Times New Roman"/>
              </w:rPr>
              <w:t>本工程项目区</w:t>
            </w:r>
            <w:r>
              <w:rPr>
                <w:rFonts w:cs="Times New Roman"/>
              </w:rPr>
              <w:t>331.33hm²，生态评价范围为</w:t>
            </w:r>
            <w:r>
              <w:rPr>
                <w:rFonts w:hint="eastAsia" w:cs="Times New Roman"/>
              </w:rPr>
              <w:t>光伏场场界外500m范围内，评价区总面积为</w:t>
            </w:r>
            <w:r>
              <w:rPr>
                <w:rFonts w:cs="Times New Roman"/>
              </w:rPr>
              <w:t>1269.86 hm²。</w:t>
            </w:r>
          </w:p>
          <w:p>
            <w:pPr>
              <w:pStyle w:val="63"/>
              <w:spacing w:before="0" w:beforeAutospacing="0" w:after="240" w:afterLines="100" w:afterAutospacing="0"/>
              <w:rPr>
                <w:rFonts w:ascii="Times New Roman" w:hAnsi="Times New Roman" w:cs="Times New Roman"/>
                <w:b/>
                <w:bCs/>
              </w:rPr>
            </w:pPr>
            <w:r>
              <w:rPr>
                <w:rFonts w:ascii="Times New Roman" w:hAnsi="Times New Roman" w:cs="Times New Roman"/>
                <w:b/>
                <w:bCs/>
              </w:rPr>
              <w:drawing>
                <wp:inline distT="0" distB="0" distL="0" distR="0">
                  <wp:extent cx="5120005" cy="7235825"/>
                  <wp:effectExtent l="0" t="0" r="4445" b="3175"/>
                  <wp:docPr id="10" name="图片 10" descr="E:\工作\2023年工作\(P732K)巴彦淖尔100万千瓦光储+生态治理项目乌拉特前旗15万千瓦项目环境影响评价报告\成果\乌拉特前旗15万千瓦子项目遥感\遥感影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2023年工作\(P732K)巴彦淖尔100万千瓦光储+生态治理项目乌拉特前旗15万千瓦项目环境影响评价报告\成果\乌拉特前旗15万千瓦子项目遥感\遥感影像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30845" cy="7250388"/>
                          </a:xfrm>
                          <a:prstGeom prst="rect">
                            <a:avLst/>
                          </a:prstGeom>
                          <a:noFill/>
                          <a:ln>
                            <a:noFill/>
                          </a:ln>
                        </pic:spPr>
                      </pic:pic>
                    </a:graphicData>
                  </a:graphic>
                </wp:inline>
              </w:drawing>
            </w:r>
          </w:p>
          <w:p>
            <w:pPr>
              <w:pStyle w:val="63"/>
              <w:spacing w:before="0" w:beforeAutospacing="0" w:after="240" w:afterLines="100" w:afterAutospacing="0"/>
              <w:jc w:val="center"/>
              <w:rPr>
                <w:b/>
                <w:bCs/>
              </w:rPr>
            </w:pPr>
            <w:r>
              <w:rPr>
                <w:rFonts w:hint="eastAsia" w:ascii="Times New Roman" w:hAnsi="Times New Roman" w:cs="Times New Roman"/>
                <w:b/>
                <w:bCs/>
              </w:rPr>
              <w:t>图</w:t>
            </w:r>
            <w:r>
              <w:rPr>
                <w:rFonts w:cs="Times New Roman"/>
                <w:b/>
                <w:bCs/>
              </w:rPr>
              <w:t xml:space="preserve">3.3 </w:t>
            </w:r>
            <w:r>
              <w:rPr>
                <w:rFonts w:hint="eastAsia" w:ascii="Times New Roman" w:hAnsi="Times New Roman" w:cs="Times New Roman"/>
                <w:b/>
                <w:bCs/>
              </w:rPr>
              <w:t>遥感影像图</w:t>
            </w:r>
          </w:p>
          <w:p>
            <w:pPr>
              <w:pStyle w:val="24"/>
              <w:numPr>
                <w:ilvl w:val="0"/>
                <w:numId w:val="1"/>
              </w:numPr>
              <w:ind w:firstLineChars="0"/>
            </w:pPr>
            <w:r>
              <w:rPr>
                <w:rFonts w:hint="eastAsia"/>
              </w:rPr>
              <w:t>植被类型</w:t>
            </w:r>
          </w:p>
          <w:p>
            <w:pPr>
              <w:widowControl/>
              <w:spacing w:before="240" w:after="120"/>
              <w:jc w:val="left"/>
              <w:rPr>
                <w:rFonts w:cs="宋体"/>
                <w:b/>
                <w:bCs/>
                <w:kern w:val="0"/>
                <w:sz w:val="24"/>
              </w:rPr>
            </w:pPr>
            <w:r>
              <w:rPr>
                <w:rFonts w:hint="eastAsia" w:cs="宋体"/>
                <w:b/>
                <w:bCs/>
                <w:kern w:val="0"/>
                <w:sz w:val="24"/>
              </w:rPr>
              <w:t>表</w:t>
            </w:r>
            <w:r>
              <w:rPr>
                <w:rFonts w:ascii="宋体" w:hAnsi="宋体" w:cs="宋体"/>
                <w:b/>
                <w:bCs/>
                <w:kern w:val="0"/>
                <w:sz w:val="24"/>
              </w:rPr>
              <w:t xml:space="preserve">3.1                </w:t>
            </w:r>
            <w:r>
              <w:rPr>
                <w:rFonts w:hint="eastAsia" w:cs="宋体"/>
                <w:b/>
                <w:bCs/>
                <w:kern w:val="0"/>
                <w:sz w:val="24"/>
              </w:rPr>
              <w:t>评价区植被类型及分布统计表</w:t>
            </w:r>
          </w:p>
          <w:tbl>
            <w:tblPr>
              <w:tblStyle w:val="16"/>
              <w:tblW w:w="8065" w:type="dxa"/>
              <w:jc w:val="center"/>
              <w:tblLayout w:type="fixed"/>
              <w:tblCellMar>
                <w:top w:w="0" w:type="dxa"/>
                <w:left w:w="108" w:type="dxa"/>
                <w:bottom w:w="0" w:type="dxa"/>
                <w:right w:w="108" w:type="dxa"/>
              </w:tblCellMar>
            </w:tblPr>
            <w:tblGrid>
              <w:gridCol w:w="1403"/>
              <w:gridCol w:w="2410"/>
              <w:gridCol w:w="1134"/>
              <w:gridCol w:w="1417"/>
              <w:gridCol w:w="1701"/>
            </w:tblGrid>
            <w:tr>
              <w:tblPrEx>
                <w:tblCellMar>
                  <w:top w:w="0" w:type="dxa"/>
                  <w:left w:w="108" w:type="dxa"/>
                  <w:bottom w:w="0" w:type="dxa"/>
                  <w:right w:w="108" w:type="dxa"/>
                </w:tblCellMar>
              </w:tblPrEx>
              <w:trPr>
                <w:trHeight w:val="525" w:hRule="atLeast"/>
                <w:jc w:val="center"/>
              </w:trPr>
              <w:tc>
                <w:tcPr>
                  <w:tcW w:w="1403" w:type="dxa"/>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植被类型</w:t>
                  </w:r>
                </w:p>
              </w:tc>
              <w:tc>
                <w:tcPr>
                  <w:tcW w:w="2410"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群落类型</w:t>
                  </w:r>
                </w:p>
              </w:tc>
              <w:tc>
                <w:tcPr>
                  <w:tcW w:w="1134"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斑块数</w:t>
                  </w:r>
                </w:p>
              </w:tc>
              <w:tc>
                <w:tcPr>
                  <w:tcW w:w="1417" w:type="dxa"/>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面积（hm²）</w:t>
                  </w:r>
                </w:p>
              </w:tc>
              <w:tc>
                <w:tcPr>
                  <w:tcW w:w="1701" w:type="dxa"/>
                  <w:tcBorders>
                    <w:top w:val="single" w:color="auto" w:sz="12" w:space="0"/>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占评价区比例（%）</w:t>
                  </w:r>
                </w:p>
              </w:tc>
            </w:tr>
            <w:tr>
              <w:tblPrEx>
                <w:tblCellMar>
                  <w:top w:w="0" w:type="dxa"/>
                  <w:left w:w="108" w:type="dxa"/>
                  <w:bottom w:w="0" w:type="dxa"/>
                  <w:right w:w="108" w:type="dxa"/>
                </w:tblCellMar>
              </w:tblPrEx>
              <w:trPr>
                <w:trHeight w:val="270" w:hRule="atLeast"/>
                <w:jc w:val="center"/>
              </w:trPr>
              <w:tc>
                <w:tcPr>
                  <w:tcW w:w="1403"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林地</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山杨群落</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0.05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0.00%</w:t>
                  </w:r>
                </w:p>
              </w:tc>
            </w:tr>
            <w:tr>
              <w:tblPrEx>
                <w:tblCellMar>
                  <w:top w:w="0" w:type="dxa"/>
                  <w:left w:w="108" w:type="dxa"/>
                  <w:bottom w:w="0" w:type="dxa"/>
                  <w:right w:w="108" w:type="dxa"/>
                </w:tblCellMar>
              </w:tblPrEx>
              <w:trPr>
                <w:trHeight w:val="405" w:hRule="atLeast"/>
                <w:jc w:val="center"/>
              </w:trPr>
              <w:tc>
                <w:tcPr>
                  <w:tcW w:w="1403"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灌丛</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柠条群落</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8</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99.87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7.86%</w:t>
                  </w:r>
                </w:p>
              </w:tc>
            </w:tr>
            <w:tr>
              <w:tblPrEx>
                <w:tblCellMar>
                  <w:top w:w="0" w:type="dxa"/>
                  <w:left w:w="108" w:type="dxa"/>
                  <w:bottom w:w="0" w:type="dxa"/>
                  <w:right w:w="108" w:type="dxa"/>
                </w:tblCellMar>
              </w:tblPrEx>
              <w:trPr>
                <w:trHeight w:val="270" w:hRule="atLeast"/>
                <w:jc w:val="center"/>
              </w:trPr>
              <w:tc>
                <w:tcPr>
                  <w:tcW w:w="1403" w:type="dxa"/>
                  <w:vMerge w:val="restart"/>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草地</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小针茅群落</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597.61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47.06%</w:t>
                  </w:r>
                </w:p>
              </w:tc>
            </w:tr>
            <w:tr>
              <w:tblPrEx>
                <w:tblCellMar>
                  <w:top w:w="0" w:type="dxa"/>
                  <w:left w:w="108" w:type="dxa"/>
                  <w:bottom w:w="0" w:type="dxa"/>
                  <w:right w:w="108" w:type="dxa"/>
                </w:tblCellMar>
              </w:tblPrEx>
              <w:trPr>
                <w:trHeight w:val="405" w:hRule="atLeast"/>
                <w:jc w:val="center"/>
              </w:trPr>
              <w:tc>
                <w:tcPr>
                  <w:tcW w:w="1403"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kern w:val="0"/>
                      <w:szCs w:val="21"/>
                    </w:rPr>
                  </w:pP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骆驼蓬群落</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274.33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21.60%</w:t>
                  </w:r>
                </w:p>
              </w:tc>
            </w:tr>
            <w:tr>
              <w:tblPrEx>
                <w:tblCellMar>
                  <w:top w:w="0" w:type="dxa"/>
                  <w:left w:w="108" w:type="dxa"/>
                  <w:bottom w:w="0" w:type="dxa"/>
                  <w:right w:w="108" w:type="dxa"/>
                </w:tblCellMar>
              </w:tblPrEx>
              <w:trPr>
                <w:trHeight w:val="405" w:hRule="atLeast"/>
                <w:jc w:val="center"/>
              </w:trPr>
              <w:tc>
                <w:tcPr>
                  <w:tcW w:w="1403"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kern w:val="0"/>
                      <w:szCs w:val="21"/>
                    </w:rPr>
                  </w:pP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油蒿群落</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30.70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2.42%</w:t>
                  </w:r>
                </w:p>
              </w:tc>
            </w:tr>
            <w:tr>
              <w:tblPrEx>
                <w:tblCellMar>
                  <w:top w:w="0" w:type="dxa"/>
                  <w:left w:w="108" w:type="dxa"/>
                  <w:bottom w:w="0" w:type="dxa"/>
                  <w:right w:w="108" w:type="dxa"/>
                </w:tblCellMar>
              </w:tblPrEx>
              <w:trPr>
                <w:trHeight w:val="270" w:hRule="atLeast"/>
                <w:jc w:val="center"/>
              </w:trPr>
              <w:tc>
                <w:tcPr>
                  <w:tcW w:w="1403" w:type="dxa"/>
                  <w:vMerge w:val="restart"/>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人工植被</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人工绿化植被</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3.64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0.29%</w:t>
                  </w:r>
                </w:p>
              </w:tc>
            </w:tr>
            <w:tr>
              <w:tblPrEx>
                <w:tblCellMar>
                  <w:top w:w="0" w:type="dxa"/>
                  <w:left w:w="108" w:type="dxa"/>
                  <w:bottom w:w="0" w:type="dxa"/>
                  <w:right w:w="108" w:type="dxa"/>
                </w:tblCellMar>
              </w:tblPrEx>
              <w:trPr>
                <w:trHeight w:val="405" w:hRule="atLeast"/>
                <w:jc w:val="center"/>
              </w:trPr>
              <w:tc>
                <w:tcPr>
                  <w:tcW w:w="1403"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kern w:val="0"/>
                      <w:szCs w:val="21"/>
                    </w:rPr>
                  </w:pP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人工复垦植被</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22.15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1.74%</w:t>
                  </w:r>
                </w:p>
              </w:tc>
            </w:tr>
            <w:tr>
              <w:tblPrEx>
                <w:tblCellMar>
                  <w:top w:w="0" w:type="dxa"/>
                  <w:left w:w="108" w:type="dxa"/>
                  <w:bottom w:w="0" w:type="dxa"/>
                  <w:right w:w="108" w:type="dxa"/>
                </w:tblCellMar>
              </w:tblPrEx>
              <w:trPr>
                <w:trHeight w:val="270" w:hRule="atLeast"/>
                <w:jc w:val="center"/>
              </w:trPr>
              <w:tc>
                <w:tcPr>
                  <w:tcW w:w="1403"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耕地</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农田植被</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26.34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2.07%</w:t>
                  </w:r>
                </w:p>
              </w:tc>
            </w:tr>
            <w:tr>
              <w:tblPrEx>
                <w:tblCellMar>
                  <w:top w:w="0" w:type="dxa"/>
                  <w:left w:w="108" w:type="dxa"/>
                  <w:bottom w:w="0" w:type="dxa"/>
                  <w:right w:w="108" w:type="dxa"/>
                </w:tblCellMar>
              </w:tblPrEx>
              <w:trPr>
                <w:trHeight w:val="270" w:hRule="atLeast"/>
                <w:jc w:val="center"/>
              </w:trPr>
              <w:tc>
                <w:tcPr>
                  <w:tcW w:w="1403"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无植被</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其他</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17</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215.18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kern w:val="0"/>
                      <w:szCs w:val="21"/>
                    </w:rPr>
                  </w:pPr>
                  <w:r>
                    <w:rPr>
                      <w:kern w:val="0"/>
                      <w:szCs w:val="21"/>
                    </w:rPr>
                    <w:t>16.95%</w:t>
                  </w:r>
                </w:p>
              </w:tc>
            </w:tr>
            <w:tr>
              <w:tblPrEx>
                <w:tblCellMar>
                  <w:top w:w="0" w:type="dxa"/>
                  <w:left w:w="108" w:type="dxa"/>
                  <w:bottom w:w="0" w:type="dxa"/>
                  <w:right w:w="108" w:type="dxa"/>
                </w:tblCellMar>
              </w:tblPrEx>
              <w:trPr>
                <w:trHeight w:val="405" w:hRule="atLeast"/>
                <w:jc w:val="center"/>
              </w:trPr>
              <w:tc>
                <w:tcPr>
                  <w:tcW w:w="3813" w:type="dxa"/>
                  <w:gridSpan w:val="2"/>
                  <w:tcBorders>
                    <w:top w:val="single" w:color="auto" w:sz="4" w:space="0"/>
                    <w:left w:val="single" w:color="auto" w:sz="12" w:space="0"/>
                    <w:bottom w:val="single" w:color="auto" w:sz="12" w:space="0"/>
                    <w:right w:val="single" w:color="auto" w:sz="4" w:space="0"/>
                  </w:tcBorders>
                  <w:shd w:val="clear" w:color="auto" w:fill="auto"/>
                  <w:noWrap/>
                  <w:vAlign w:val="center"/>
                </w:tcPr>
                <w:p>
                  <w:pPr>
                    <w:widowControl/>
                    <w:jc w:val="center"/>
                    <w:rPr>
                      <w:kern w:val="0"/>
                      <w:szCs w:val="21"/>
                    </w:rPr>
                  </w:pPr>
                  <w:r>
                    <w:rPr>
                      <w:kern w:val="0"/>
                      <w:szCs w:val="21"/>
                    </w:rPr>
                    <w:t>总计</w:t>
                  </w:r>
                </w:p>
              </w:tc>
              <w:tc>
                <w:tcPr>
                  <w:tcW w:w="1134" w:type="dxa"/>
                  <w:tcBorders>
                    <w:top w:val="nil"/>
                    <w:left w:val="nil"/>
                    <w:bottom w:val="single" w:color="auto" w:sz="12" w:space="0"/>
                    <w:right w:val="single" w:color="auto" w:sz="4" w:space="0"/>
                  </w:tcBorders>
                  <w:shd w:val="clear" w:color="auto" w:fill="auto"/>
                  <w:noWrap/>
                  <w:vAlign w:val="center"/>
                </w:tcPr>
                <w:p>
                  <w:pPr>
                    <w:widowControl/>
                    <w:jc w:val="center"/>
                    <w:rPr>
                      <w:kern w:val="0"/>
                      <w:szCs w:val="21"/>
                    </w:rPr>
                  </w:pPr>
                  <w:r>
                    <w:rPr>
                      <w:kern w:val="0"/>
                      <w:szCs w:val="21"/>
                    </w:rPr>
                    <w:t>55</w:t>
                  </w:r>
                </w:p>
              </w:tc>
              <w:tc>
                <w:tcPr>
                  <w:tcW w:w="1417" w:type="dxa"/>
                  <w:tcBorders>
                    <w:top w:val="nil"/>
                    <w:left w:val="nil"/>
                    <w:bottom w:val="single" w:color="auto" w:sz="12" w:space="0"/>
                    <w:right w:val="single" w:color="auto" w:sz="4" w:space="0"/>
                  </w:tcBorders>
                  <w:shd w:val="clear" w:color="auto" w:fill="auto"/>
                  <w:noWrap/>
                  <w:vAlign w:val="center"/>
                </w:tcPr>
                <w:p>
                  <w:pPr>
                    <w:widowControl/>
                    <w:jc w:val="center"/>
                    <w:rPr>
                      <w:kern w:val="0"/>
                      <w:szCs w:val="21"/>
                    </w:rPr>
                  </w:pPr>
                  <w:r>
                    <w:rPr>
                      <w:kern w:val="0"/>
                      <w:szCs w:val="21"/>
                    </w:rPr>
                    <w:t xml:space="preserve">1269.86 </w:t>
                  </w:r>
                </w:p>
              </w:tc>
              <w:tc>
                <w:tcPr>
                  <w:tcW w:w="1701" w:type="dxa"/>
                  <w:tcBorders>
                    <w:top w:val="nil"/>
                    <w:left w:val="nil"/>
                    <w:bottom w:val="single" w:color="auto" w:sz="12" w:space="0"/>
                    <w:right w:val="single" w:color="auto" w:sz="12" w:space="0"/>
                  </w:tcBorders>
                  <w:shd w:val="clear" w:color="auto" w:fill="auto"/>
                  <w:noWrap/>
                  <w:vAlign w:val="center"/>
                </w:tcPr>
                <w:p>
                  <w:pPr>
                    <w:widowControl/>
                    <w:jc w:val="center"/>
                    <w:rPr>
                      <w:kern w:val="0"/>
                      <w:szCs w:val="21"/>
                    </w:rPr>
                  </w:pPr>
                  <w:r>
                    <w:rPr>
                      <w:kern w:val="0"/>
                      <w:szCs w:val="21"/>
                    </w:rPr>
                    <w:t>100.00%</w:t>
                  </w:r>
                </w:p>
              </w:tc>
            </w:tr>
          </w:tbl>
          <w:p>
            <w:pPr>
              <w:pStyle w:val="46"/>
              <w:ind w:firstLine="480"/>
              <w:rPr>
                <w:rFonts w:cs="Times New Roman"/>
              </w:rPr>
            </w:pPr>
            <w:r>
              <w:rPr>
                <w:rFonts w:cs="Times New Roman"/>
              </w:rPr>
              <w:t>评价区域植被类型主要以</w:t>
            </w:r>
            <w:r>
              <w:rPr>
                <w:rFonts w:hint="eastAsia" w:cs="Times New Roman"/>
              </w:rPr>
              <w:t>小针茅群落、骆驼蓬群落</w:t>
            </w:r>
            <w:r>
              <w:rPr>
                <w:rFonts w:cs="Times New Roman"/>
              </w:rPr>
              <w:t>为主。其中</w:t>
            </w:r>
            <w:r>
              <w:rPr>
                <w:rFonts w:hint="eastAsia" w:cs="Times New Roman"/>
              </w:rPr>
              <w:t>小针茅群落</w:t>
            </w:r>
            <w:r>
              <w:rPr>
                <w:rFonts w:cs="Times New Roman"/>
              </w:rPr>
              <w:t>面积为597.61hm²，占评价区域总面积的47.06%；</w:t>
            </w:r>
            <w:r>
              <w:rPr>
                <w:rFonts w:hint="eastAsia" w:cs="Times New Roman"/>
              </w:rPr>
              <w:t>骆驼蓬群落</w:t>
            </w:r>
            <w:r>
              <w:rPr>
                <w:rFonts w:cs="Times New Roman"/>
              </w:rPr>
              <w:t>面积为274.33hm²，占评价区域总面积的21.60%。</w:t>
            </w:r>
          </w:p>
          <w:p>
            <w:pPr>
              <w:widowControl/>
              <w:spacing w:before="240" w:after="120"/>
              <w:jc w:val="left"/>
              <w:rPr>
                <w:rFonts w:cs="宋体"/>
                <w:b/>
                <w:bCs/>
                <w:kern w:val="0"/>
                <w:sz w:val="24"/>
              </w:rPr>
            </w:pPr>
            <w:r>
              <w:rPr>
                <w:rFonts w:hint="eastAsia" w:cs="宋体"/>
                <w:b/>
                <w:bCs/>
                <w:kern w:val="0"/>
                <w:sz w:val="24"/>
              </w:rPr>
              <w:t>表</w:t>
            </w:r>
            <w:r>
              <w:rPr>
                <w:rFonts w:ascii="宋体" w:hAnsi="宋体" w:cs="宋体"/>
                <w:b/>
                <w:bCs/>
                <w:kern w:val="0"/>
                <w:sz w:val="24"/>
              </w:rPr>
              <w:t xml:space="preserve">3.2                </w:t>
            </w:r>
            <w:r>
              <w:rPr>
                <w:rFonts w:hint="eastAsia" w:cs="宋体"/>
                <w:b/>
                <w:bCs/>
                <w:kern w:val="0"/>
                <w:sz w:val="24"/>
              </w:rPr>
              <w:t>项目区植被类型及分布统计表</w:t>
            </w:r>
          </w:p>
          <w:tbl>
            <w:tblPr>
              <w:tblStyle w:val="16"/>
              <w:tblW w:w="8075" w:type="dxa"/>
              <w:tblInd w:w="0" w:type="dxa"/>
              <w:tblLayout w:type="fixed"/>
              <w:tblCellMar>
                <w:top w:w="0" w:type="dxa"/>
                <w:left w:w="108" w:type="dxa"/>
                <w:bottom w:w="0" w:type="dxa"/>
                <w:right w:w="108" w:type="dxa"/>
              </w:tblCellMar>
            </w:tblPr>
            <w:tblGrid>
              <w:gridCol w:w="988"/>
              <w:gridCol w:w="1134"/>
              <w:gridCol w:w="1417"/>
              <w:gridCol w:w="992"/>
              <w:gridCol w:w="1418"/>
              <w:gridCol w:w="2126"/>
            </w:tblGrid>
            <w:tr>
              <w:tblPrEx>
                <w:tblCellMar>
                  <w:top w:w="0" w:type="dxa"/>
                  <w:left w:w="108" w:type="dxa"/>
                  <w:bottom w:w="0" w:type="dxa"/>
                  <w:right w:w="108" w:type="dxa"/>
                </w:tblCellMar>
              </w:tblPrEx>
              <w:trPr>
                <w:trHeight w:val="363" w:hRule="atLeast"/>
              </w:trPr>
              <w:tc>
                <w:tcPr>
                  <w:tcW w:w="988" w:type="dxa"/>
                  <w:tcBorders>
                    <w:top w:val="single" w:color="auto" w:sz="12" w:space="0"/>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p>
              </w:tc>
              <w:tc>
                <w:tcPr>
                  <w:tcW w:w="1134"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植被类型</w:t>
                  </w:r>
                </w:p>
              </w:tc>
              <w:tc>
                <w:tcPr>
                  <w:tcW w:w="1417"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群落类型</w:t>
                  </w:r>
                </w:p>
              </w:tc>
              <w:tc>
                <w:tcPr>
                  <w:tcW w:w="992"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斑块数</w:t>
                  </w:r>
                </w:p>
              </w:tc>
              <w:tc>
                <w:tcPr>
                  <w:tcW w:w="1418" w:type="dxa"/>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面积（hm²）</w:t>
                  </w:r>
                </w:p>
              </w:tc>
              <w:tc>
                <w:tcPr>
                  <w:tcW w:w="2126" w:type="dxa"/>
                  <w:tcBorders>
                    <w:top w:val="single" w:color="auto" w:sz="12" w:space="0"/>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占项目区比例（%</w:t>
                  </w:r>
                  <w:r>
                    <w:rPr>
                      <w:rFonts w:hint="eastAsia" w:ascii="宋体" w:hAnsi="宋体"/>
                      <w:kern w:val="0"/>
                      <w:szCs w:val="21"/>
                    </w:rPr>
                    <w:t>）</w:t>
                  </w:r>
                </w:p>
              </w:tc>
            </w:tr>
            <w:tr>
              <w:tblPrEx>
                <w:tblCellMar>
                  <w:top w:w="0" w:type="dxa"/>
                  <w:left w:w="108" w:type="dxa"/>
                  <w:bottom w:w="0" w:type="dxa"/>
                  <w:right w:w="108" w:type="dxa"/>
                </w:tblCellMar>
              </w:tblPrEx>
              <w:trPr>
                <w:trHeight w:val="300" w:hRule="atLeast"/>
              </w:trPr>
              <w:tc>
                <w:tcPr>
                  <w:tcW w:w="988" w:type="dxa"/>
                  <w:tcBorders>
                    <w:top w:val="nil"/>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地块1</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其他</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无植被</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25.67</w:t>
                  </w:r>
                </w:p>
              </w:tc>
              <w:tc>
                <w:tcPr>
                  <w:tcW w:w="2126"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7.75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tcBorders>
                    <w:top w:val="nil"/>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2</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其他</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无植被</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.98</w:t>
                  </w:r>
                </w:p>
              </w:tc>
              <w:tc>
                <w:tcPr>
                  <w:tcW w:w="2126"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1.20</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vMerge w:val="restart"/>
                  <w:tcBorders>
                    <w:top w:val="nil"/>
                    <w:left w:val="single" w:color="auto" w:sz="12"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3</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灌丛</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柠条群落</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23.18 </w:t>
                  </w:r>
                </w:p>
              </w:tc>
              <w:tc>
                <w:tcPr>
                  <w:tcW w:w="2126"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7.0</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vMerge w:val="continue"/>
                  <w:tcBorders>
                    <w:left w:val="single" w:color="auto" w:sz="12" w:space="0"/>
                    <w:right w:val="single" w:color="auto" w:sz="4" w:space="0"/>
                  </w:tcBorders>
                </w:tcPr>
                <w:p>
                  <w:pPr>
                    <w:widowControl/>
                    <w:jc w:val="center"/>
                    <w:rPr>
                      <w:rFonts w:ascii="宋体" w:hAnsi="宋体" w:cs="宋体"/>
                      <w:kern w:val="0"/>
                      <w:sz w:val="22"/>
                      <w:szCs w:val="22"/>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小针茅群落</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21.69 </w:t>
                  </w:r>
                </w:p>
              </w:tc>
              <w:tc>
                <w:tcPr>
                  <w:tcW w:w="2126"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6.55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vMerge w:val="continue"/>
                  <w:tcBorders>
                    <w:left w:val="single" w:color="auto" w:sz="12" w:space="0"/>
                    <w:bottom w:val="single" w:color="auto" w:sz="4" w:space="0"/>
                    <w:right w:val="single" w:color="auto" w:sz="4" w:space="0"/>
                  </w:tcBorders>
                </w:tcPr>
                <w:p>
                  <w:pPr>
                    <w:widowControl/>
                    <w:jc w:val="center"/>
                    <w:rPr>
                      <w:rFonts w:ascii="宋体" w:hAnsi="宋体" w:cs="宋体"/>
                      <w:kern w:val="0"/>
                      <w:sz w:val="22"/>
                      <w:szCs w:val="22"/>
                    </w:rPr>
                  </w:pPr>
                </w:p>
              </w:tc>
              <w:tc>
                <w:tcPr>
                  <w:tcW w:w="255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44.86 </w:t>
                  </w:r>
                </w:p>
              </w:tc>
              <w:tc>
                <w:tcPr>
                  <w:tcW w:w="2126"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13.55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tcBorders>
                    <w:top w:val="single" w:color="auto" w:sz="4" w:space="0"/>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其他</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无植被</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.99</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0.6</w:t>
                  </w:r>
                  <w:r>
                    <w:rPr>
                      <w:rFonts w:hint="eastAsia" w:ascii="宋体" w:hAnsi="宋体" w:cs="宋体"/>
                      <w:kern w:val="0"/>
                      <w:sz w:val="22"/>
                      <w:szCs w:val="22"/>
                    </w:rPr>
                    <w:t>0%</w:t>
                  </w:r>
                </w:p>
              </w:tc>
            </w:tr>
            <w:tr>
              <w:tblPrEx>
                <w:tblCellMar>
                  <w:top w:w="0" w:type="dxa"/>
                  <w:left w:w="108" w:type="dxa"/>
                  <w:bottom w:w="0" w:type="dxa"/>
                  <w:right w:w="108" w:type="dxa"/>
                </w:tblCellMar>
              </w:tblPrEx>
              <w:trPr>
                <w:trHeight w:val="300" w:hRule="atLeast"/>
              </w:trPr>
              <w:tc>
                <w:tcPr>
                  <w:tcW w:w="988" w:type="dxa"/>
                  <w:tcBorders>
                    <w:top w:val="single" w:color="auto" w:sz="4" w:space="0"/>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小针茅群落</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1.30</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0.39</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88" w:type="dxa"/>
                  <w:vMerge w:val="restart"/>
                  <w:tcBorders>
                    <w:top w:val="single" w:color="auto" w:sz="4" w:space="0"/>
                    <w:left w:val="single" w:color="auto" w:sz="12"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6</w:t>
                  </w:r>
                </w:p>
              </w:tc>
              <w:tc>
                <w:tcPr>
                  <w:tcW w:w="1134"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宋体" w:hAnsi="宋体" w:cs="宋体"/>
                      <w:kern w:val="0"/>
                      <w:sz w:val="22"/>
                      <w:szCs w:val="22"/>
                    </w:rPr>
                  </w:pPr>
                  <w:r>
                    <w:rPr>
                      <w:rFonts w:hint="eastAsia"/>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sz w:val="22"/>
                      <w:szCs w:val="22"/>
                    </w:rPr>
                    <w:t>小针茅群落</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2</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 xml:space="preserve">118.44 </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35.78</w:t>
                  </w:r>
                  <w:r>
                    <w:rPr>
                      <w:rFonts w:hint="eastAsia"/>
                      <w:sz w:val="22"/>
                      <w:szCs w:val="22"/>
                    </w:rPr>
                    <w:t>%</w:t>
                  </w:r>
                </w:p>
              </w:tc>
            </w:tr>
            <w:tr>
              <w:tblPrEx>
                <w:tblCellMar>
                  <w:top w:w="0" w:type="dxa"/>
                  <w:left w:w="108" w:type="dxa"/>
                  <w:bottom w:w="0" w:type="dxa"/>
                  <w:right w:w="108" w:type="dxa"/>
                </w:tblCellMar>
              </w:tblPrEx>
              <w:trPr>
                <w:trHeight w:val="300" w:hRule="atLeast"/>
              </w:trPr>
              <w:tc>
                <w:tcPr>
                  <w:tcW w:w="988" w:type="dxa"/>
                  <w:vMerge w:val="continue"/>
                  <w:tcBorders>
                    <w:left w:val="single" w:color="auto" w:sz="12" w:space="0"/>
                    <w:right w:val="single" w:color="auto" w:sz="4" w:space="0"/>
                  </w:tcBorders>
                </w:tcPr>
                <w:p>
                  <w:pPr>
                    <w:widowControl/>
                    <w:jc w:val="center"/>
                    <w:rPr>
                      <w:rFonts w:ascii="宋体" w:hAnsi="宋体" w:cs="宋体"/>
                      <w:kern w:val="0"/>
                      <w:sz w:val="22"/>
                      <w:szCs w:val="22"/>
                    </w:rPr>
                  </w:pPr>
                </w:p>
              </w:tc>
              <w:tc>
                <w:tcPr>
                  <w:tcW w:w="1134"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sz w:val="22"/>
                      <w:szCs w:val="22"/>
                    </w:rPr>
                    <w:t>骆驼蓬群落</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 xml:space="preserve">133.35 </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40.28</w:t>
                  </w:r>
                  <w:r>
                    <w:rPr>
                      <w:rFonts w:hint="eastAsia"/>
                      <w:sz w:val="22"/>
                      <w:szCs w:val="22"/>
                    </w:rPr>
                    <w:t>%</w:t>
                  </w:r>
                </w:p>
              </w:tc>
            </w:tr>
            <w:tr>
              <w:tblPrEx>
                <w:tblCellMar>
                  <w:top w:w="0" w:type="dxa"/>
                  <w:left w:w="108" w:type="dxa"/>
                  <w:bottom w:w="0" w:type="dxa"/>
                  <w:right w:w="108" w:type="dxa"/>
                </w:tblCellMar>
              </w:tblPrEx>
              <w:trPr>
                <w:trHeight w:val="300" w:hRule="atLeast"/>
              </w:trPr>
              <w:tc>
                <w:tcPr>
                  <w:tcW w:w="988" w:type="dxa"/>
                  <w:vMerge w:val="continue"/>
                  <w:tcBorders>
                    <w:left w:val="single" w:color="auto" w:sz="12" w:space="0"/>
                    <w:bottom w:val="single" w:color="auto" w:sz="4" w:space="0"/>
                    <w:right w:val="single" w:color="auto" w:sz="4" w:space="0"/>
                  </w:tcBorders>
                </w:tcPr>
                <w:p>
                  <w:pPr>
                    <w:widowControl/>
                    <w:jc w:val="center"/>
                    <w:rPr>
                      <w:rFonts w:ascii="宋体" w:hAnsi="宋体" w:cs="宋体"/>
                      <w:kern w:val="0"/>
                      <w:sz w:val="22"/>
                      <w:szCs w:val="22"/>
                    </w:rPr>
                  </w:pPr>
                </w:p>
              </w:tc>
              <w:tc>
                <w:tcPr>
                  <w:tcW w:w="255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小计</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3</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 xml:space="preserve">251.79 </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76.06</w:t>
                  </w:r>
                  <w:r>
                    <w:rPr>
                      <w:rFonts w:hint="eastAsia"/>
                      <w:sz w:val="22"/>
                      <w:szCs w:val="22"/>
                    </w:rPr>
                    <w:t>%</w:t>
                  </w:r>
                </w:p>
              </w:tc>
            </w:tr>
            <w:tr>
              <w:tblPrEx>
                <w:tblCellMar>
                  <w:top w:w="0" w:type="dxa"/>
                  <w:left w:w="108" w:type="dxa"/>
                  <w:bottom w:w="0" w:type="dxa"/>
                  <w:right w:w="108" w:type="dxa"/>
                </w:tblCellMar>
              </w:tblPrEx>
              <w:trPr>
                <w:trHeight w:val="300" w:hRule="atLeast"/>
              </w:trPr>
              <w:tc>
                <w:tcPr>
                  <w:tcW w:w="988" w:type="dxa"/>
                  <w:tcBorders>
                    <w:top w:val="single" w:color="auto" w:sz="4" w:space="0"/>
                    <w:left w:val="single" w:color="auto" w:sz="12" w:space="0"/>
                    <w:bottom w:val="single" w:color="auto" w:sz="4" w:space="0"/>
                    <w:right w:val="single" w:color="auto" w:sz="4" w:space="0"/>
                  </w:tcBorders>
                </w:tcPr>
                <w:p>
                  <w:pPr>
                    <w:widowControl/>
                    <w:rPr>
                      <w:rFonts w:ascii="宋体" w:hAnsi="宋体" w:cs="宋体"/>
                      <w:kern w:val="0"/>
                      <w:sz w:val="22"/>
                      <w:szCs w:val="22"/>
                    </w:rPr>
                  </w:pPr>
                  <w:r>
                    <w:rPr>
                      <w:rFonts w:hint="eastAsia" w:ascii="宋体" w:hAnsi="宋体" w:cs="宋体"/>
                      <w:kern w:val="0"/>
                      <w:sz w:val="22"/>
                      <w:szCs w:val="22"/>
                    </w:rPr>
                    <w:t>升压站</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小针茅群落</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.45</w:t>
                  </w:r>
                </w:p>
              </w:tc>
              <w:tc>
                <w:tcPr>
                  <w:tcW w:w="2126"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0.44</w:t>
                  </w:r>
                  <w:r>
                    <w:rPr>
                      <w:rFonts w:hint="eastAsia"/>
                      <w:sz w:val="22"/>
                      <w:szCs w:val="22"/>
                    </w:rPr>
                    <w:t>%</w:t>
                  </w:r>
                </w:p>
              </w:tc>
            </w:tr>
            <w:tr>
              <w:tblPrEx>
                <w:tblCellMar>
                  <w:top w:w="0" w:type="dxa"/>
                  <w:left w:w="108" w:type="dxa"/>
                  <w:bottom w:w="0" w:type="dxa"/>
                  <w:right w:w="108" w:type="dxa"/>
                </w:tblCellMar>
              </w:tblPrEx>
              <w:trPr>
                <w:trHeight w:val="300" w:hRule="atLeast"/>
              </w:trPr>
              <w:tc>
                <w:tcPr>
                  <w:tcW w:w="3539" w:type="dxa"/>
                  <w:gridSpan w:val="3"/>
                  <w:tcBorders>
                    <w:top w:val="single" w:color="auto" w:sz="4" w:space="0"/>
                    <w:left w:val="single" w:color="auto" w:sz="12" w:space="0"/>
                    <w:bottom w:val="single" w:color="auto" w:sz="12"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总计</w:t>
                  </w:r>
                </w:p>
              </w:tc>
              <w:tc>
                <w:tcPr>
                  <w:tcW w:w="992"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2</w:t>
                  </w:r>
                </w:p>
              </w:tc>
              <w:tc>
                <w:tcPr>
                  <w:tcW w:w="1418"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331.04</w:t>
                  </w:r>
                </w:p>
              </w:tc>
              <w:tc>
                <w:tcPr>
                  <w:tcW w:w="2126" w:type="dxa"/>
                  <w:tcBorders>
                    <w:top w:val="single" w:color="auto" w:sz="4" w:space="0"/>
                    <w:left w:val="nil"/>
                    <w:bottom w:val="single" w:color="auto" w:sz="12"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100.00%</w:t>
                  </w:r>
                </w:p>
              </w:tc>
            </w:tr>
          </w:tbl>
          <w:p>
            <w:pPr>
              <w:pStyle w:val="46"/>
              <w:ind w:firstLine="480"/>
              <w:rPr>
                <w:rFonts w:cs="Times New Roman"/>
              </w:rPr>
            </w:pPr>
            <w:r>
              <w:rPr>
                <w:rFonts w:hint="eastAsia" w:cs="Times New Roman"/>
              </w:rPr>
              <w:t>项目区不涉及重点保护动植物，植被类型主要以小针茅群落、骆驼蓬群落为主。其中小针茅群落总面积为</w:t>
            </w:r>
            <w:r>
              <w:rPr>
                <w:rFonts w:cs="Times New Roman"/>
              </w:rPr>
              <w:t>142.88</w:t>
            </w:r>
            <w:r>
              <w:rPr>
                <w:rFonts w:hint="eastAsia" w:cs="Times New Roman"/>
              </w:rPr>
              <w:t>hm²，占项目区域总面积的4</w:t>
            </w:r>
            <w:r>
              <w:rPr>
                <w:rFonts w:cs="Times New Roman"/>
              </w:rPr>
              <w:t>3.1</w:t>
            </w:r>
            <w:r>
              <w:rPr>
                <w:rFonts w:hint="eastAsia" w:cs="Times New Roman"/>
              </w:rPr>
              <w:t>6%；骆驼蓬群落面积为</w:t>
            </w:r>
            <w:r>
              <w:rPr>
                <w:rFonts w:cs="Times New Roman"/>
              </w:rPr>
              <w:t>133.35</w:t>
            </w:r>
            <w:r>
              <w:rPr>
                <w:rFonts w:hint="eastAsia" w:cs="Times New Roman"/>
              </w:rPr>
              <w:t>hm²，占项目区域总面积的</w:t>
            </w:r>
            <w:r>
              <w:rPr>
                <w:rFonts w:cs="Times New Roman"/>
              </w:rPr>
              <w:t>40.28</w:t>
            </w:r>
            <w:r>
              <w:rPr>
                <w:rFonts w:hint="eastAsia" w:cs="Times New Roman"/>
              </w:rPr>
              <w:t>%。</w:t>
            </w:r>
          </w:p>
          <w:p>
            <w:pPr>
              <w:pStyle w:val="46"/>
              <w:ind w:firstLine="480"/>
              <w:rPr>
                <w:rFonts w:cs="Times New Roman"/>
              </w:rPr>
            </w:pPr>
          </w:p>
          <w:p>
            <w:pPr>
              <w:pStyle w:val="46"/>
              <w:ind w:firstLine="480"/>
              <w:rPr>
                <w:rFonts w:cs="Times New Roman"/>
              </w:rPr>
            </w:pPr>
          </w:p>
          <w:p>
            <w:pPr>
              <w:pStyle w:val="46"/>
              <w:ind w:firstLine="480"/>
              <w:rPr>
                <w:rFonts w:cs="Times New Roman"/>
              </w:rPr>
            </w:pPr>
          </w:p>
          <w:p>
            <w:pPr>
              <w:pStyle w:val="46"/>
              <w:ind w:firstLine="480"/>
              <w:rPr>
                <w:rFonts w:cs="Times New Roman"/>
              </w:rPr>
            </w:pPr>
          </w:p>
          <w:p>
            <w:pPr>
              <w:pStyle w:val="46"/>
              <w:ind w:firstLine="0" w:firstLineChars="0"/>
              <w:jc w:val="center"/>
              <w:rPr>
                <w:rFonts w:cs="Times New Roman"/>
              </w:rPr>
            </w:pPr>
            <w:r>
              <w:rPr>
                <w:rFonts w:cs="Times New Roman"/>
              </w:rPr>
              <w:drawing>
                <wp:inline distT="0" distB="0" distL="0" distR="0">
                  <wp:extent cx="4977765" cy="7034530"/>
                  <wp:effectExtent l="0" t="0" r="0" b="0"/>
                  <wp:docPr id="26" name="图片 26" descr="E:\工作\2023年工作\(P732K)巴彦淖尔100万千瓦光储+生态治理项目乌拉特前旗15万千瓦项目环境影响评价报告\成果\乌拉特前旗15万千瓦子项目遥感\植被类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2023年工作\(P732K)巴彦淖尔100万千瓦光储+生态治理项目乌拉特前旗15万千瓦项目环境影响评价报告\成果\乌拉特前旗15万千瓦子项目遥感\植被类型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94794" cy="7058136"/>
                          </a:xfrm>
                          <a:prstGeom prst="rect">
                            <a:avLst/>
                          </a:prstGeom>
                          <a:noFill/>
                          <a:ln>
                            <a:noFill/>
                          </a:ln>
                        </pic:spPr>
                      </pic:pic>
                    </a:graphicData>
                  </a:graphic>
                </wp:inline>
              </w:drawing>
            </w:r>
          </w:p>
          <w:p>
            <w:pPr>
              <w:pStyle w:val="63"/>
              <w:spacing w:before="0" w:beforeAutospacing="0" w:after="240" w:afterLines="100" w:afterAutospacing="0"/>
              <w:jc w:val="center"/>
              <w:rPr>
                <w:rFonts w:ascii="Times New Roman" w:hAnsi="Times New Roman" w:cs="Times New Roman"/>
                <w:b/>
                <w:bCs/>
              </w:rPr>
            </w:pPr>
            <w:r>
              <w:rPr>
                <w:rFonts w:hint="eastAsia" w:ascii="Times New Roman" w:hAnsi="Times New Roman" w:cs="Times New Roman"/>
                <w:b/>
                <w:bCs/>
              </w:rPr>
              <w:t>图</w:t>
            </w:r>
            <w:r>
              <w:rPr>
                <w:rFonts w:cs="Times New Roman"/>
                <w:b/>
                <w:bCs/>
              </w:rPr>
              <w:t xml:space="preserve">3.4 </w:t>
            </w:r>
            <w:r>
              <w:rPr>
                <w:rFonts w:hint="eastAsia" w:ascii="Times New Roman" w:hAnsi="Times New Roman" w:cs="Times New Roman"/>
                <w:b/>
                <w:bCs/>
              </w:rPr>
              <w:t>植被类型图</w:t>
            </w:r>
          </w:p>
          <w:p>
            <w:pPr>
              <w:pStyle w:val="46"/>
              <w:ind w:firstLine="480"/>
              <w:rPr>
                <w:rFonts w:cs="Times New Roman"/>
              </w:rPr>
            </w:pPr>
            <w:r>
              <w:rPr>
                <w:rFonts w:hint="eastAsia" w:cs="Times New Roman"/>
              </w:rPr>
              <w:t>（2）土地利用类型</w:t>
            </w:r>
          </w:p>
          <w:p>
            <w:pPr>
              <w:pStyle w:val="46"/>
              <w:ind w:firstLine="480"/>
              <w:rPr>
                <w:rFonts w:cs="Times New Roman"/>
              </w:rPr>
            </w:pPr>
            <w:r>
              <w:rPr>
                <w:rFonts w:hint="eastAsia" w:cs="Times New Roman"/>
              </w:rPr>
              <w:t>本项目区属风沙区地貌，为荒漠化土地，零星分布小针茅、骆驼蓬等其他沙生植物，地形开阔平坦。乌拉特前旗境内有灌淤土、草甸土、盐土、风沙土、栗钙土、灰褐土，属于自治区级水土流失重点治理区。光伏场区地块3与地块4之间有一条季节性河流达拉盖沟，为避免地块3受河流洪水影响，在地块3北侧临近河道段设置挡洪墙。</w:t>
            </w:r>
          </w:p>
          <w:p>
            <w:pPr>
              <w:pStyle w:val="63"/>
              <w:spacing w:before="0" w:beforeAutospacing="0" w:after="240" w:afterLines="100" w:afterAutospacing="0"/>
              <w:rPr>
                <w:b/>
                <w:bCs/>
              </w:rPr>
            </w:pPr>
            <w:r>
              <w:rPr>
                <w:b/>
                <w:bCs/>
              </w:rPr>
              <mc:AlternateContent>
                <mc:Choice Requires="wps">
                  <w:drawing>
                    <wp:anchor distT="0" distB="0" distL="114300" distR="114300" simplePos="0" relativeHeight="251672576" behindDoc="0" locked="0" layoutInCell="1" allowOverlap="1">
                      <wp:simplePos x="0" y="0"/>
                      <wp:positionH relativeFrom="column">
                        <wp:posOffset>132715</wp:posOffset>
                      </wp:positionH>
                      <wp:positionV relativeFrom="paragraph">
                        <wp:posOffset>922655</wp:posOffset>
                      </wp:positionV>
                      <wp:extent cx="1152525" cy="323850"/>
                      <wp:effectExtent l="0" t="0" r="1495425" b="1295400"/>
                      <wp:wrapNone/>
                      <wp:docPr id="98" name="圆角矩形标注 98"/>
                      <wp:cNvGraphicFramePr/>
                      <a:graphic xmlns:a="http://schemas.openxmlformats.org/drawingml/2006/main">
                        <a:graphicData uri="http://schemas.microsoft.com/office/word/2010/wordprocessingShape">
                          <wps:wsp>
                            <wps:cNvSpPr/>
                            <wps:spPr>
                              <a:xfrm>
                                <a:off x="0" y="0"/>
                                <a:ext cx="1152525" cy="323850"/>
                              </a:xfrm>
                              <a:prstGeom prst="wedgeRoundRectCallout">
                                <a:avLst>
                                  <a:gd name="adj1" fmla="val 171729"/>
                                  <a:gd name="adj2" fmla="val 430148"/>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本</w:t>
                                  </w:r>
                                  <w: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45pt;margin-top:72.65pt;height:25.5pt;width:90.75pt;z-index:251672576;v-text-anchor:middle;mso-width-relative:page;mso-height-relative:page;" fillcolor="#CCE8CF [3201]" filled="t" stroked="t" coordsize="21600,21600" o:gfxdata="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yZMcdkAAAAKAQAADwAAAAAAAAABACAAAAAiAAAAZHJzL2Rvd25yZXYueG1sUEsBAhQAFAAA&#10;AAgAh07iQIi15WTSAgAAlQUAAA4AAAAAAAAAAQAgAAAAKAEAAGRycy9lMm9Eb2MueG1sUEsFBgAA&#10;AAAGAAYAWQEAAGwGAAAAAA==&#10;" adj="47893,103712,14400">
                      <v:fill on="t" focussize="0,0"/>
                      <v:stroke weight="1pt" color="#70AD47 [3209]" miterlimit="8" joinstyle="miter"/>
                      <v:imagedata o:title=""/>
                      <o:lock v:ext="edit" aspectratio="f"/>
                      <v:textbox>
                        <w:txbxContent>
                          <w:p>
                            <w:pPr>
                              <w:jc w:val="center"/>
                            </w:pPr>
                            <w:r>
                              <w:rPr>
                                <w:rFonts w:hint="eastAsia"/>
                              </w:rPr>
                              <w:t>本</w:t>
                            </w:r>
                            <w:r>
                              <w:t>项目位置</w:t>
                            </w:r>
                          </w:p>
                        </w:txbxContent>
                      </v:textbox>
                    </v:shape>
                  </w:pict>
                </mc:Fallback>
              </mc:AlternateContent>
            </w:r>
            <w:r>
              <w:rPr>
                <w:b/>
                <w:bCs/>
              </w:rPr>
              <mc:AlternateContent>
                <mc:Choice Requires="wps">
                  <w:drawing>
                    <wp:anchor distT="0" distB="0" distL="114300" distR="114300" simplePos="0" relativeHeight="251671552" behindDoc="0" locked="0" layoutInCell="1" allowOverlap="1">
                      <wp:simplePos x="0" y="0"/>
                      <wp:positionH relativeFrom="column">
                        <wp:posOffset>2662555</wp:posOffset>
                      </wp:positionH>
                      <wp:positionV relativeFrom="paragraph">
                        <wp:posOffset>2462530</wp:posOffset>
                      </wp:positionV>
                      <wp:extent cx="45720" cy="45720"/>
                      <wp:effectExtent l="0" t="0" r="12065" b="12065"/>
                      <wp:wrapNone/>
                      <wp:docPr id="58" name="流程图: 联系 5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09.65pt;margin-top:193.9pt;height:3.6pt;width:3.6pt;z-index:251671552;v-text-anchor:middle;mso-width-relative:page;mso-height-relative:page;" fillcolor="#FF0000" filled="t" stroked="t" coordsize="21600,21600" o:gfxdata="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W8VkE2wAAAAsBAAAPAAAAAAAA&#10;AAEAIAAAACIAAABkcnMvZG93bnJldi54bWxQSwECFAAUAAAACACHTuJAkbsQJ4ECAAAMBQAADgAA&#10;AAAAAAABACAAAAAqAQAAZHJzL2Uyb0RvYy54bWxQSwUGAAAAAAYABgBZAQAAHQYAAAAA&#10;">
                      <v:fill on="t" focussize="0,0"/>
                      <v:stroke weight="1pt" color="#FF0000 [3204]" miterlimit="8" joinstyle="miter"/>
                      <v:imagedata o:title=""/>
                      <o:lock v:ext="edit" aspectratio="f"/>
                    </v:shape>
                  </w:pict>
                </mc:Fallback>
              </mc:AlternateContent>
            </w:r>
            <w:r>
              <w:rPr>
                <w:b/>
                <w:bCs/>
              </w:rPr>
              <w:object>
                <v:shape id="_x0000_i1025" o:spt="75" type="#_x0000_t75" style="height:352.5pt;width:397.5pt;" o:ole="t" filled="f" o:preferrelative="t" stroked="f" coordsize="21600,21600">
                  <v:path/>
                  <v:fill on="f" focussize="0,0"/>
                  <v:stroke on="f" joinstyle="miter"/>
                  <v:imagedata r:id="rId23" cropleft="10547f" croptop="8439f" cropright="4503f" cropbottom="4879f" o:title=""/>
                  <o:lock v:ext="edit" aspectratio="t"/>
                  <w10:wrap type="none"/>
                  <w10:anchorlock/>
                </v:shape>
                <o:OLEObject Type="Embed" ProgID="PBrush" ShapeID="_x0000_i1025" DrawAspect="Content" ObjectID="_1468075725" r:id="rId22">
                  <o:LockedField>false</o:LockedField>
                </o:OLEObject>
              </w:object>
            </w:r>
          </w:p>
          <w:p>
            <w:pPr>
              <w:pStyle w:val="63"/>
              <w:spacing w:before="0" w:beforeAutospacing="0" w:after="240" w:afterLines="100" w:afterAutospacing="0"/>
              <w:jc w:val="center"/>
              <w:rPr>
                <w:b/>
                <w:bCs/>
              </w:rPr>
            </w:pPr>
            <w:r>
              <w:rPr>
                <w:rFonts w:hint="eastAsia"/>
                <w:b/>
                <w:bCs/>
              </w:rPr>
              <w:t>图3.</w:t>
            </w:r>
            <w:r>
              <w:rPr>
                <w:b/>
                <w:bCs/>
              </w:rPr>
              <w:t>5</w:t>
            </w:r>
            <w:r>
              <w:rPr>
                <w:rFonts w:hint="eastAsia"/>
                <w:b/>
                <w:bCs/>
              </w:rPr>
              <w:t xml:space="preserve"> 土壤侵蚀图</w:t>
            </w:r>
          </w:p>
          <w:p>
            <w:pPr>
              <w:widowControl/>
              <w:spacing w:before="240" w:after="120"/>
              <w:jc w:val="left"/>
              <w:rPr>
                <w:rFonts w:ascii="宋体" w:hAnsi="宋体" w:cs="宋体"/>
                <w:b/>
                <w:bCs/>
                <w:kern w:val="0"/>
                <w:sz w:val="24"/>
              </w:rPr>
            </w:pPr>
            <w:r>
              <w:rPr>
                <w:rFonts w:hint="eastAsia" w:cs="宋体"/>
                <w:b/>
                <w:bCs/>
                <w:kern w:val="0"/>
                <w:sz w:val="24"/>
              </w:rPr>
              <w:t>表</w:t>
            </w:r>
            <w:r>
              <w:rPr>
                <w:rFonts w:ascii="宋体" w:hAnsi="宋体" w:cs="宋体"/>
                <w:b/>
                <w:bCs/>
                <w:kern w:val="0"/>
                <w:sz w:val="24"/>
              </w:rPr>
              <w:t xml:space="preserve">3.3                   </w:t>
            </w:r>
            <w:r>
              <w:rPr>
                <w:rFonts w:hint="eastAsia" w:cs="宋体"/>
                <w:b/>
                <w:bCs/>
                <w:kern w:val="0"/>
                <w:sz w:val="24"/>
              </w:rPr>
              <w:t>评价区土地利用类型特征表</w:t>
            </w:r>
          </w:p>
          <w:tbl>
            <w:tblPr>
              <w:tblStyle w:val="16"/>
              <w:tblW w:w="7923" w:type="dxa"/>
              <w:jc w:val="center"/>
              <w:tblLayout w:type="fixed"/>
              <w:tblCellMar>
                <w:top w:w="0" w:type="dxa"/>
                <w:left w:w="108" w:type="dxa"/>
                <w:bottom w:w="0" w:type="dxa"/>
                <w:right w:w="108" w:type="dxa"/>
              </w:tblCellMar>
            </w:tblPr>
            <w:tblGrid>
              <w:gridCol w:w="1276"/>
              <w:gridCol w:w="1984"/>
              <w:gridCol w:w="1276"/>
              <w:gridCol w:w="1686"/>
              <w:gridCol w:w="1701"/>
            </w:tblGrid>
            <w:tr>
              <w:tblPrEx>
                <w:tblCellMar>
                  <w:top w:w="0" w:type="dxa"/>
                  <w:left w:w="108" w:type="dxa"/>
                  <w:bottom w:w="0" w:type="dxa"/>
                  <w:right w:w="108" w:type="dxa"/>
                </w:tblCellMar>
              </w:tblPrEx>
              <w:trPr>
                <w:trHeight w:val="525" w:hRule="atLeast"/>
                <w:jc w:val="center"/>
              </w:trPr>
              <w:tc>
                <w:tcPr>
                  <w:tcW w:w="1276" w:type="dxa"/>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一级分类</w:t>
                  </w:r>
                </w:p>
              </w:tc>
              <w:tc>
                <w:tcPr>
                  <w:tcW w:w="1984"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二级分类</w:t>
                  </w:r>
                </w:p>
              </w:tc>
              <w:tc>
                <w:tcPr>
                  <w:tcW w:w="1276"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斑块数</w:t>
                  </w:r>
                </w:p>
              </w:tc>
              <w:tc>
                <w:tcPr>
                  <w:tcW w:w="1686" w:type="dxa"/>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ascii="宋体" w:hAnsi="宋体"/>
                      <w:kern w:val="0"/>
                      <w:szCs w:val="21"/>
                    </w:rPr>
                    <w:t>面积（</w:t>
                  </w:r>
                  <w:r>
                    <w:rPr>
                      <w:kern w:val="0"/>
                      <w:szCs w:val="21"/>
                    </w:rPr>
                    <w:t>hm²</w:t>
                  </w:r>
                  <w:r>
                    <w:rPr>
                      <w:rFonts w:hint="eastAsia" w:ascii="宋体" w:hAnsi="宋体"/>
                      <w:kern w:val="0"/>
                      <w:szCs w:val="21"/>
                    </w:rPr>
                    <w:t>）</w:t>
                  </w:r>
                </w:p>
              </w:tc>
              <w:tc>
                <w:tcPr>
                  <w:tcW w:w="1701" w:type="dxa"/>
                  <w:tcBorders>
                    <w:top w:val="single" w:color="auto" w:sz="12" w:space="0"/>
                    <w:left w:val="nil"/>
                    <w:bottom w:val="single" w:color="auto" w:sz="4" w:space="0"/>
                    <w:right w:val="single" w:color="auto" w:sz="12" w:space="0"/>
                  </w:tcBorders>
                  <w:shd w:val="clear" w:color="auto" w:fill="auto"/>
                  <w:vAlign w:val="center"/>
                </w:tcPr>
                <w:p>
                  <w:pPr>
                    <w:widowControl/>
                    <w:jc w:val="center"/>
                    <w:rPr>
                      <w:kern w:val="0"/>
                      <w:szCs w:val="21"/>
                    </w:rPr>
                  </w:pPr>
                  <w:r>
                    <w:rPr>
                      <w:rFonts w:hint="eastAsia" w:ascii="宋体" w:hAnsi="宋体"/>
                      <w:kern w:val="0"/>
                      <w:szCs w:val="21"/>
                    </w:rPr>
                    <w:t>占评价区比例（</w:t>
                  </w:r>
                  <w:r>
                    <w:rPr>
                      <w:kern w:val="0"/>
                      <w:szCs w:val="21"/>
                    </w:rPr>
                    <w:t>%</w:t>
                  </w:r>
                  <w:r>
                    <w:rPr>
                      <w:rFonts w:hint="eastAsia" w:ascii="宋体" w:hAnsi="宋体"/>
                      <w:kern w:val="0"/>
                      <w:szCs w:val="21"/>
                    </w:rPr>
                    <w:t>）</w:t>
                  </w:r>
                </w:p>
              </w:tc>
            </w:tr>
            <w:tr>
              <w:tblPrEx>
                <w:tblCellMar>
                  <w:top w:w="0" w:type="dxa"/>
                  <w:left w:w="108" w:type="dxa"/>
                  <w:bottom w:w="0" w:type="dxa"/>
                  <w:right w:w="108" w:type="dxa"/>
                </w:tblCellMar>
              </w:tblPrEx>
              <w:trPr>
                <w:trHeight w:val="270" w:hRule="atLeast"/>
                <w:jc w:val="center"/>
              </w:trPr>
              <w:tc>
                <w:tcPr>
                  <w:tcW w:w="1276" w:type="dxa"/>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林地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其他林地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0.05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0.00%</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auto" w:sz="4" w:space="0"/>
                    <w:right w:val="single" w:color="auto" w:sz="4" w:space="0"/>
                  </w:tcBorders>
                  <w:vAlign w:val="center"/>
                </w:tcPr>
                <w:p>
                  <w:pPr>
                    <w:widowControl/>
                    <w:jc w:val="left"/>
                    <w:rPr>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灌木林地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99.87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7.86%</w:t>
                  </w:r>
                </w:p>
              </w:tc>
            </w:tr>
            <w:tr>
              <w:tblPrEx>
                <w:tblCellMar>
                  <w:top w:w="0" w:type="dxa"/>
                  <w:left w:w="108" w:type="dxa"/>
                  <w:bottom w:w="0" w:type="dxa"/>
                  <w:right w:w="108" w:type="dxa"/>
                </w:tblCellMar>
              </w:tblPrEx>
              <w:trPr>
                <w:trHeight w:val="270" w:hRule="atLeast"/>
                <w:jc w:val="center"/>
              </w:trPr>
              <w:tc>
                <w:tcPr>
                  <w:tcW w:w="1276" w:type="dxa"/>
                  <w:vMerge w:val="restart"/>
                  <w:tcBorders>
                    <w:top w:val="nil"/>
                    <w:left w:val="single" w:color="auto" w:sz="12" w:space="0"/>
                    <w:bottom w:val="single" w:color="000000"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草地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天然牧草地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13</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871.94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68.66%</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000000" w:sz="4" w:space="0"/>
                    <w:right w:val="single" w:color="auto" w:sz="4" w:space="0"/>
                  </w:tcBorders>
                  <w:vAlign w:val="center"/>
                </w:tcPr>
                <w:p>
                  <w:pPr>
                    <w:widowControl/>
                    <w:jc w:val="left"/>
                    <w:rPr>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人工牧草地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22.15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1.74%</w:t>
                  </w:r>
                </w:p>
              </w:tc>
            </w:tr>
            <w:tr>
              <w:tblPrEx>
                <w:tblCellMar>
                  <w:top w:w="0" w:type="dxa"/>
                  <w:left w:w="108" w:type="dxa"/>
                  <w:bottom w:w="0" w:type="dxa"/>
                  <w:right w:w="108" w:type="dxa"/>
                </w:tblCellMar>
              </w:tblPrEx>
              <w:trPr>
                <w:trHeight w:val="300" w:hRule="atLeast"/>
                <w:jc w:val="center"/>
              </w:trPr>
              <w:tc>
                <w:tcPr>
                  <w:tcW w:w="1276" w:type="dxa"/>
                  <w:tcBorders>
                    <w:top w:val="nil"/>
                    <w:left w:val="single" w:color="auto" w:sz="12" w:space="0"/>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耕地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旱地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26.34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2.07%</w:t>
                  </w:r>
                </w:p>
              </w:tc>
            </w:tr>
            <w:tr>
              <w:tblPrEx>
                <w:tblCellMar>
                  <w:top w:w="0" w:type="dxa"/>
                  <w:left w:w="108" w:type="dxa"/>
                  <w:bottom w:w="0" w:type="dxa"/>
                  <w:right w:w="108" w:type="dxa"/>
                </w:tblCellMar>
              </w:tblPrEx>
              <w:trPr>
                <w:trHeight w:val="270" w:hRule="atLeast"/>
                <w:jc w:val="center"/>
              </w:trPr>
              <w:tc>
                <w:tcPr>
                  <w:tcW w:w="1276" w:type="dxa"/>
                  <w:tcBorders>
                    <w:top w:val="nil"/>
                    <w:left w:val="single" w:color="auto" w:sz="12" w:space="0"/>
                    <w:bottom w:val="single" w:color="auto"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住宅用地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农村宅基地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1.75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0.14%</w:t>
                  </w:r>
                </w:p>
              </w:tc>
            </w:tr>
            <w:tr>
              <w:tblPrEx>
                <w:tblCellMar>
                  <w:top w:w="0" w:type="dxa"/>
                  <w:left w:w="108" w:type="dxa"/>
                  <w:bottom w:w="0" w:type="dxa"/>
                  <w:right w:w="108" w:type="dxa"/>
                </w:tblCellMar>
              </w:tblPrEx>
              <w:trPr>
                <w:trHeight w:val="270" w:hRule="atLeast"/>
                <w:jc w:val="center"/>
              </w:trPr>
              <w:tc>
                <w:tcPr>
                  <w:tcW w:w="1276" w:type="dxa"/>
                  <w:vMerge w:val="restart"/>
                  <w:tcBorders>
                    <w:top w:val="nil"/>
                    <w:left w:val="single" w:color="auto" w:sz="12"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工矿仓储用地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工业用地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3.89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0.31%</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000000" w:sz="4" w:space="0"/>
                    <w:right w:val="single" w:color="auto" w:sz="4" w:space="0"/>
                  </w:tcBorders>
                  <w:vAlign w:val="center"/>
                </w:tcPr>
                <w:p>
                  <w:pPr>
                    <w:widowControl/>
                    <w:jc w:val="left"/>
                    <w:rPr>
                      <w:rFonts w:ascii="宋体" w:hAnsi="宋体" w:cs="宋体"/>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采矿用地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176.29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13.88%</w:t>
                  </w:r>
                </w:p>
              </w:tc>
            </w:tr>
            <w:tr>
              <w:tblPrEx>
                <w:tblCellMar>
                  <w:top w:w="0" w:type="dxa"/>
                  <w:left w:w="108" w:type="dxa"/>
                  <w:bottom w:w="0" w:type="dxa"/>
                  <w:right w:w="108" w:type="dxa"/>
                </w:tblCellMar>
              </w:tblPrEx>
              <w:trPr>
                <w:trHeight w:val="270" w:hRule="atLeast"/>
                <w:jc w:val="center"/>
              </w:trPr>
              <w:tc>
                <w:tcPr>
                  <w:tcW w:w="1276" w:type="dxa"/>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交通运输用地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公路用地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11</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6.52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0.51%</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农村道路</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0.77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0.06%</w:t>
                  </w:r>
                </w:p>
              </w:tc>
            </w:tr>
            <w:tr>
              <w:tblPrEx>
                <w:tblCellMar>
                  <w:top w:w="0" w:type="dxa"/>
                  <w:left w:w="108" w:type="dxa"/>
                  <w:bottom w:w="0" w:type="dxa"/>
                  <w:right w:w="108" w:type="dxa"/>
                </w:tblCellMar>
              </w:tblPrEx>
              <w:trPr>
                <w:trHeight w:val="270" w:hRule="atLeast"/>
                <w:jc w:val="center"/>
              </w:trPr>
              <w:tc>
                <w:tcPr>
                  <w:tcW w:w="1276" w:type="dxa"/>
                  <w:vMerge w:val="restart"/>
                  <w:tcBorders>
                    <w:top w:val="nil"/>
                    <w:left w:val="single" w:color="auto" w:sz="12" w:space="0"/>
                    <w:bottom w:val="single" w:color="000000" w:sz="4"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其他土地</w:t>
                  </w: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裸土地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9.60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0.76%</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000000" w:sz="4" w:space="0"/>
                    <w:right w:val="single" w:color="auto" w:sz="4" w:space="0"/>
                  </w:tcBorders>
                  <w:vAlign w:val="center"/>
                </w:tcPr>
                <w:p>
                  <w:pPr>
                    <w:widowControl/>
                    <w:jc w:val="left"/>
                    <w:rPr>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沙地</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30.70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2.42%</w:t>
                  </w:r>
                </w:p>
              </w:tc>
            </w:tr>
            <w:tr>
              <w:tblPrEx>
                <w:tblCellMar>
                  <w:top w:w="0" w:type="dxa"/>
                  <w:left w:w="108" w:type="dxa"/>
                  <w:bottom w:w="0" w:type="dxa"/>
                  <w:right w:w="108" w:type="dxa"/>
                </w:tblCellMar>
              </w:tblPrEx>
              <w:trPr>
                <w:trHeight w:val="270" w:hRule="atLeast"/>
                <w:jc w:val="center"/>
              </w:trPr>
              <w:tc>
                <w:tcPr>
                  <w:tcW w:w="1276" w:type="dxa"/>
                  <w:vMerge w:val="continue"/>
                  <w:tcBorders>
                    <w:top w:val="nil"/>
                    <w:left w:val="single" w:color="auto" w:sz="12" w:space="0"/>
                    <w:bottom w:val="single" w:color="000000" w:sz="4" w:space="0"/>
                    <w:right w:val="single" w:color="auto" w:sz="4" w:space="0"/>
                  </w:tcBorders>
                  <w:vAlign w:val="center"/>
                </w:tcPr>
                <w:p>
                  <w:pPr>
                    <w:widowControl/>
                    <w:jc w:val="left"/>
                    <w:rPr>
                      <w:kern w:val="0"/>
                      <w:sz w:val="22"/>
                      <w:szCs w:val="22"/>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时令干沟</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168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20.00 </w:t>
                  </w:r>
                </w:p>
              </w:tc>
              <w:tc>
                <w:tcPr>
                  <w:tcW w:w="1701"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1.58%</w:t>
                  </w:r>
                </w:p>
              </w:tc>
            </w:tr>
            <w:tr>
              <w:tblPrEx>
                <w:tblCellMar>
                  <w:top w:w="0" w:type="dxa"/>
                  <w:left w:w="108" w:type="dxa"/>
                  <w:bottom w:w="0" w:type="dxa"/>
                  <w:right w:w="108" w:type="dxa"/>
                </w:tblCellMar>
              </w:tblPrEx>
              <w:trPr>
                <w:trHeight w:val="300" w:hRule="atLeast"/>
                <w:jc w:val="center"/>
              </w:trPr>
              <w:tc>
                <w:tcPr>
                  <w:tcW w:w="3260" w:type="dxa"/>
                  <w:gridSpan w:val="2"/>
                  <w:tcBorders>
                    <w:top w:val="single" w:color="auto" w:sz="4" w:space="0"/>
                    <w:left w:val="single" w:color="auto" w:sz="12" w:space="0"/>
                    <w:bottom w:val="single" w:color="auto" w:sz="12" w:space="0"/>
                    <w:right w:val="single" w:color="auto" w:sz="4" w:space="0"/>
                  </w:tcBorders>
                  <w:shd w:val="clear" w:color="auto" w:fill="auto"/>
                  <w:noWrap/>
                  <w:vAlign w:val="center"/>
                </w:tcPr>
                <w:p>
                  <w:pPr>
                    <w:widowControl/>
                    <w:jc w:val="center"/>
                    <w:rPr>
                      <w:kern w:val="0"/>
                      <w:sz w:val="22"/>
                      <w:szCs w:val="22"/>
                    </w:rPr>
                  </w:pPr>
                  <w:r>
                    <w:rPr>
                      <w:rFonts w:hint="eastAsia" w:ascii="宋体" w:hAnsi="宋体"/>
                      <w:kern w:val="0"/>
                      <w:sz w:val="22"/>
                      <w:szCs w:val="22"/>
                    </w:rPr>
                    <w:t>总计</w:t>
                  </w:r>
                </w:p>
              </w:tc>
              <w:tc>
                <w:tcPr>
                  <w:tcW w:w="1276" w:type="dxa"/>
                  <w:tcBorders>
                    <w:top w:val="nil"/>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53</w:t>
                  </w:r>
                </w:p>
              </w:tc>
              <w:tc>
                <w:tcPr>
                  <w:tcW w:w="1686" w:type="dxa"/>
                  <w:tcBorders>
                    <w:top w:val="nil"/>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1269.87 </w:t>
                  </w:r>
                </w:p>
              </w:tc>
              <w:tc>
                <w:tcPr>
                  <w:tcW w:w="1701" w:type="dxa"/>
                  <w:tcBorders>
                    <w:top w:val="nil"/>
                    <w:left w:val="nil"/>
                    <w:bottom w:val="single" w:color="auto" w:sz="12"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100.00%</w:t>
                  </w:r>
                </w:p>
              </w:tc>
            </w:tr>
          </w:tbl>
          <w:p>
            <w:pPr>
              <w:adjustRightInd w:val="0"/>
              <w:snapToGrid w:val="0"/>
              <w:spacing w:line="360" w:lineRule="auto"/>
              <w:rPr>
                <w:sz w:val="24"/>
              </w:rPr>
            </w:pPr>
          </w:p>
          <w:p>
            <w:pPr>
              <w:adjustRightInd w:val="0"/>
              <w:snapToGrid w:val="0"/>
              <w:spacing w:line="360" w:lineRule="auto"/>
              <w:ind w:firstLine="480" w:firstLineChars="200"/>
              <w:rPr>
                <w:sz w:val="24"/>
              </w:rPr>
            </w:pPr>
            <w:r>
              <w:rPr>
                <w:sz w:val="24"/>
              </w:rPr>
              <w:t>根据实地调查和遥感卫星影像，项目评价区内土地利用主要以</w:t>
            </w:r>
            <w:r>
              <w:rPr>
                <w:rFonts w:hint="eastAsia"/>
                <w:sz w:val="24"/>
              </w:rPr>
              <w:t>天然牧草地、采矿用地</w:t>
            </w:r>
            <w:r>
              <w:rPr>
                <w:sz w:val="24"/>
              </w:rPr>
              <w:t>为主，</w:t>
            </w:r>
            <w:r>
              <w:rPr>
                <w:rFonts w:hint="eastAsia"/>
                <w:sz w:val="24"/>
              </w:rPr>
              <w:t>天然牧草地</w:t>
            </w:r>
            <w:r>
              <w:rPr>
                <w:sz w:val="24"/>
              </w:rPr>
              <w:t>面积为871.94hm²，占</w:t>
            </w:r>
            <w:r>
              <w:rPr>
                <w:rFonts w:hint="eastAsia"/>
                <w:sz w:val="24"/>
              </w:rPr>
              <w:t>评价</w:t>
            </w:r>
            <w:r>
              <w:rPr>
                <w:sz w:val="24"/>
              </w:rPr>
              <w:t>区域总面积的68.66%</w:t>
            </w:r>
            <w:r>
              <w:rPr>
                <w:rFonts w:hint="eastAsia"/>
                <w:sz w:val="24"/>
              </w:rPr>
              <w:t>；采矿用地面积</w:t>
            </w:r>
            <w:r>
              <w:rPr>
                <w:sz w:val="24"/>
              </w:rPr>
              <w:t>176</w:t>
            </w:r>
            <w:r>
              <w:rPr>
                <w:rFonts w:hint="eastAsia"/>
                <w:sz w:val="24"/>
              </w:rPr>
              <w:t>.29</w:t>
            </w:r>
            <w:r>
              <w:rPr>
                <w:sz w:val="24"/>
              </w:rPr>
              <w:t>hm²</w:t>
            </w:r>
            <w:r>
              <w:rPr>
                <w:rFonts w:hint="eastAsia"/>
                <w:sz w:val="24"/>
              </w:rPr>
              <w:t>，占比</w:t>
            </w:r>
            <w:r>
              <w:rPr>
                <w:sz w:val="24"/>
              </w:rPr>
              <w:t>13.88</w:t>
            </w:r>
            <w:r>
              <w:rPr>
                <w:rFonts w:hint="eastAsia"/>
                <w:sz w:val="24"/>
              </w:rPr>
              <w:t>%。</w:t>
            </w:r>
          </w:p>
          <w:p>
            <w:pPr>
              <w:widowControl/>
              <w:spacing w:before="240" w:after="120"/>
              <w:jc w:val="left"/>
              <w:rPr>
                <w:rFonts w:ascii="宋体" w:hAnsi="宋体" w:cs="宋体"/>
                <w:b/>
                <w:bCs/>
                <w:kern w:val="0"/>
                <w:sz w:val="24"/>
              </w:rPr>
            </w:pPr>
            <w:r>
              <w:rPr>
                <w:rFonts w:hint="eastAsia" w:cs="宋体"/>
                <w:b/>
                <w:bCs/>
                <w:kern w:val="0"/>
                <w:sz w:val="24"/>
              </w:rPr>
              <w:t>表</w:t>
            </w:r>
            <w:r>
              <w:rPr>
                <w:rFonts w:ascii="宋体" w:hAnsi="宋体" w:cs="宋体"/>
                <w:b/>
                <w:bCs/>
                <w:kern w:val="0"/>
                <w:sz w:val="24"/>
              </w:rPr>
              <w:t xml:space="preserve">3.4                   </w:t>
            </w:r>
            <w:r>
              <w:rPr>
                <w:rFonts w:hint="eastAsia" w:cs="宋体"/>
                <w:b/>
                <w:bCs/>
                <w:kern w:val="0"/>
                <w:sz w:val="24"/>
              </w:rPr>
              <w:t>项目区土地利用类型特征表</w:t>
            </w:r>
          </w:p>
          <w:tbl>
            <w:tblPr>
              <w:tblStyle w:val="16"/>
              <w:tblW w:w="8075" w:type="dxa"/>
              <w:tblInd w:w="0" w:type="dxa"/>
              <w:tblLayout w:type="fixed"/>
              <w:tblCellMar>
                <w:top w:w="0" w:type="dxa"/>
                <w:left w:w="108" w:type="dxa"/>
                <w:bottom w:w="0" w:type="dxa"/>
                <w:right w:w="108" w:type="dxa"/>
              </w:tblCellMar>
            </w:tblPr>
            <w:tblGrid>
              <w:gridCol w:w="966"/>
              <w:gridCol w:w="1559"/>
              <w:gridCol w:w="1417"/>
              <w:gridCol w:w="993"/>
              <w:gridCol w:w="1417"/>
              <w:gridCol w:w="1723"/>
            </w:tblGrid>
            <w:tr>
              <w:tblPrEx>
                <w:tblCellMar>
                  <w:top w:w="0" w:type="dxa"/>
                  <w:left w:w="108" w:type="dxa"/>
                  <w:bottom w:w="0" w:type="dxa"/>
                  <w:right w:w="108" w:type="dxa"/>
                </w:tblCellMar>
              </w:tblPrEx>
              <w:trPr>
                <w:trHeight w:val="363" w:hRule="atLeast"/>
              </w:trPr>
              <w:tc>
                <w:tcPr>
                  <w:tcW w:w="966"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地块</w:t>
                  </w:r>
                </w:p>
              </w:tc>
              <w:tc>
                <w:tcPr>
                  <w:tcW w:w="1559"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一级分类</w:t>
                  </w:r>
                </w:p>
              </w:tc>
              <w:tc>
                <w:tcPr>
                  <w:tcW w:w="1417"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二级分类</w:t>
                  </w:r>
                </w:p>
              </w:tc>
              <w:tc>
                <w:tcPr>
                  <w:tcW w:w="993"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斑块数</w:t>
                  </w:r>
                </w:p>
              </w:tc>
              <w:tc>
                <w:tcPr>
                  <w:tcW w:w="1417" w:type="dxa"/>
                  <w:tcBorders>
                    <w:top w:val="single" w:color="auto" w:sz="12"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面积（hm²）</w:t>
                  </w:r>
                </w:p>
              </w:tc>
              <w:tc>
                <w:tcPr>
                  <w:tcW w:w="1723" w:type="dxa"/>
                  <w:tcBorders>
                    <w:top w:val="single" w:color="auto" w:sz="12" w:space="0"/>
                    <w:left w:val="nil"/>
                    <w:bottom w:val="single" w:color="auto" w:sz="4" w:space="0"/>
                    <w:right w:val="single" w:color="auto" w:sz="12" w:space="0"/>
                  </w:tcBorders>
                  <w:shd w:val="clear" w:color="auto" w:fill="auto"/>
                  <w:vAlign w:val="center"/>
                </w:tcPr>
                <w:p>
                  <w:pPr>
                    <w:widowControl/>
                    <w:jc w:val="center"/>
                    <w:rPr>
                      <w:kern w:val="0"/>
                      <w:szCs w:val="21"/>
                    </w:rPr>
                  </w:pPr>
                  <w:r>
                    <w:rPr>
                      <w:kern w:val="0"/>
                      <w:szCs w:val="21"/>
                    </w:rPr>
                    <w:t>占项目区比例（%</w:t>
                  </w:r>
                  <w:r>
                    <w:rPr>
                      <w:rFonts w:hint="eastAsia" w:ascii="宋体" w:hAnsi="宋体"/>
                      <w:kern w:val="0"/>
                      <w:szCs w:val="21"/>
                    </w:rPr>
                    <w:t>）</w:t>
                  </w:r>
                </w:p>
              </w:tc>
            </w:tr>
            <w:tr>
              <w:tblPrEx>
                <w:tblCellMar>
                  <w:top w:w="0" w:type="dxa"/>
                  <w:left w:w="108" w:type="dxa"/>
                  <w:bottom w:w="0" w:type="dxa"/>
                  <w:right w:w="108" w:type="dxa"/>
                </w:tblCellMar>
              </w:tblPrEx>
              <w:trPr>
                <w:trHeight w:val="300" w:hRule="atLeast"/>
              </w:trPr>
              <w:tc>
                <w:tcPr>
                  <w:tcW w:w="966" w:type="dxa"/>
                  <w:tcBorders>
                    <w:top w:val="nil"/>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地块1</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工矿仓储用地</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采矿用地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25.67</w:t>
                  </w:r>
                </w:p>
              </w:tc>
              <w:tc>
                <w:tcPr>
                  <w:tcW w:w="172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7.75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tcBorders>
                    <w:top w:val="nil"/>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2</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工矿仓储用地</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采矿用地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.98</w:t>
                  </w:r>
                </w:p>
              </w:tc>
              <w:tc>
                <w:tcPr>
                  <w:tcW w:w="172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1.20</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vMerge w:val="restart"/>
                  <w:tcBorders>
                    <w:top w:val="nil"/>
                    <w:left w:val="single" w:color="auto" w:sz="12"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3</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林地</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灌木林地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23.18 </w:t>
                  </w:r>
                </w:p>
              </w:tc>
              <w:tc>
                <w:tcPr>
                  <w:tcW w:w="172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7.0</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vMerge w:val="continue"/>
                  <w:tcBorders>
                    <w:left w:val="single" w:color="auto" w:sz="12" w:space="0"/>
                    <w:right w:val="single" w:color="auto" w:sz="4" w:space="0"/>
                  </w:tcBorders>
                </w:tcPr>
                <w:p>
                  <w:pPr>
                    <w:widowControl/>
                    <w:jc w:val="center"/>
                    <w:rPr>
                      <w:rFonts w:ascii="宋体" w:hAnsi="宋体" w:cs="宋体"/>
                      <w:kern w:val="0"/>
                      <w:sz w:val="22"/>
                      <w:szCs w:val="22"/>
                    </w:rPr>
                  </w:pP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天然牧草地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21.69 </w:t>
                  </w:r>
                </w:p>
              </w:tc>
              <w:tc>
                <w:tcPr>
                  <w:tcW w:w="172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6.55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vMerge w:val="continue"/>
                  <w:tcBorders>
                    <w:left w:val="single" w:color="auto" w:sz="12" w:space="0"/>
                    <w:bottom w:val="single" w:color="auto" w:sz="4" w:space="0"/>
                    <w:right w:val="single" w:color="auto" w:sz="4" w:space="0"/>
                  </w:tcBorders>
                </w:tcPr>
                <w:p>
                  <w:pPr>
                    <w:widowControl/>
                    <w:jc w:val="center"/>
                    <w:rPr>
                      <w:rFonts w:ascii="宋体" w:hAnsi="宋体" w:cs="宋体"/>
                      <w:kern w:val="0"/>
                      <w:sz w:val="22"/>
                      <w:szCs w:val="22"/>
                    </w:rPr>
                  </w:pPr>
                </w:p>
              </w:tc>
              <w:tc>
                <w:tcPr>
                  <w:tcW w:w="297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小计</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44.86 </w:t>
                  </w:r>
                </w:p>
              </w:tc>
              <w:tc>
                <w:tcPr>
                  <w:tcW w:w="172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13.55</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tcBorders>
                    <w:top w:val="single" w:color="auto" w:sz="4" w:space="0"/>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4</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其他土地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裸土地</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.99</w:t>
                  </w:r>
                </w:p>
              </w:tc>
              <w:tc>
                <w:tcPr>
                  <w:tcW w:w="1723"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0.6</w:t>
                  </w:r>
                  <w:r>
                    <w:rPr>
                      <w:rFonts w:hint="eastAsia" w:ascii="宋体" w:hAnsi="宋体" w:cs="宋体"/>
                      <w:kern w:val="0"/>
                      <w:sz w:val="22"/>
                      <w:szCs w:val="22"/>
                    </w:rPr>
                    <w:t>0%</w:t>
                  </w:r>
                </w:p>
              </w:tc>
            </w:tr>
            <w:tr>
              <w:tblPrEx>
                <w:tblCellMar>
                  <w:top w:w="0" w:type="dxa"/>
                  <w:left w:w="108" w:type="dxa"/>
                  <w:bottom w:w="0" w:type="dxa"/>
                  <w:right w:w="108" w:type="dxa"/>
                </w:tblCellMar>
              </w:tblPrEx>
              <w:trPr>
                <w:trHeight w:val="300" w:hRule="atLeast"/>
              </w:trPr>
              <w:tc>
                <w:tcPr>
                  <w:tcW w:w="966" w:type="dxa"/>
                  <w:tcBorders>
                    <w:top w:val="single" w:color="auto" w:sz="4" w:space="0"/>
                    <w:left w:val="single" w:color="auto" w:sz="12" w:space="0"/>
                    <w:bottom w:val="single" w:color="auto" w:sz="4"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5</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天然牧草地</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1.30</w:t>
                  </w:r>
                </w:p>
              </w:tc>
              <w:tc>
                <w:tcPr>
                  <w:tcW w:w="1723"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0.39</w:t>
                  </w:r>
                  <w:r>
                    <w:rPr>
                      <w:rFonts w:hint="eastAsia" w:ascii="宋体" w:hAnsi="宋体" w:cs="宋体"/>
                      <w:kern w:val="0"/>
                      <w:sz w:val="22"/>
                      <w:szCs w:val="22"/>
                    </w:rPr>
                    <w:t>%</w:t>
                  </w:r>
                </w:p>
              </w:tc>
            </w:tr>
            <w:tr>
              <w:tblPrEx>
                <w:tblCellMar>
                  <w:top w:w="0" w:type="dxa"/>
                  <w:left w:w="108" w:type="dxa"/>
                  <w:bottom w:w="0" w:type="dxa"/>
                  <w:right w:w="108" w:type="dxa"/>
                </w:tblCellMar>
              </w:tblPrEx>
              <w:trPr>
                <w:trHeight w:val="300" w:hRule="atLeast"/>
              </w:trPr>
              <w:tc>
                <w:tcPr>
                  <w:tcW w:w="966" w:type="dxa"/>
                  <w:tcBorders>
                    <w:top w:val="single" w:color="auto" w:sz="4" w:space="0"/>
                    <w:left w:val="single" w:color="auto" w:sz="12"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地块</w:t>
                  </w:r>
                  <w:r>
                    <w:rPr>
                      <w:rFonts w:ascii="宋体" w:hAnsi="宋体" w:cs="宋体"/>
                      <w:kern w:val="0"/>
                      <w:sz w:val="22"/>
                      <w:szCs w:val="22"/>
                    </w:rPr>
                    <w:t>6</w:t>
                  </w:r>
                </w:p>
              </w:tc>
              <w:tc>
                <w:tcPr>
                  <w:tcW w:w="1559" w:type="dxa"/>
                  <w:tcBorders>
                    <w:top w:val="single" w:color="auto" w:sz="4" w:space="0"/>
                    <w:left w:val="single" w:color="auto" w:sz="4" w:space="0"/>
                    <w:right w:val="single" w:color="auto" w:sz="4" w:space="0"/>
                  </w:tcBorders>
                  <w:shd w:val="clear" w:color="auto" w:fill="auto"/>
                  <w:noWrap/>
                  <w:vAlign w:val="center"/>
                </w:tcPr>
                <w:p>
                  <w:pPr>
                    <w:jc w:val="center"/>
                    <w:rPr>
                      <w:rFonts w:ascii="宋体" w:hAnsi="宋体" w:cs="宋体"/>
                      <w:kern w:val="0"/>
                      <w:sz w:val="22"/>
                      <w:szCs w:val="22"/>
                    </w:rPr>
                  </w:pPr>
                  <w:r>
                    <w:rPr>
                      <w:rFonts w:hint="eastAsia"/>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天然牧草地</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 xml:space="preserve">251.79 </w:t>
                  </w:r>
                </w:p>
              </w:tc>
              <w:tc>
                <w:tcPr>
                  <w:tcW w:w="1723"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76.06</w:t>
                  </w:r>
                  <w:r>
                    <w:rPr>
                      <w:rFonts w:hint="eastAsia"/>
                      <w:sz w:val="22"/>
                      <w:szCs w:val="22"/>
                    </w:rPr>
                    <w:t>%</w:t>
                  </w:r>
                </w:p>
              </w:tc>
            </w:tr>
            <w:tr>
              <w:tblPrEx>
                <w:tblCellMar>
                  <w:top w:w="0" w:type="dxa"/>
                  <w:left w:w="108" w:type="dxa"/>
                  <w:bottom w:w="0" w:type="dxa"/>
                  <w:right w:w="108" w:type="dxa"/>
                </w:tblCellMar>
              </w:tblPrEx>
              <w:trPr>
                <w:trHeight w:val="300" w:hRule="atLeast"/>
              </w:trPr>
              <w:tc>
                <w:tcPr>
                  <w:tcW w:w="966" w:type="dxa"/>
                  <w:tcBorders>
                    <w:top w:val="single" w:color="auto" w:sz="4" w:space="0"/>
                    <w:left w:val="single" w:color="auto" w:sz="12" w:space="0"/>
                    <w:bottom w:val="single" w:color="auto" w:sz="4" w:space="0"/>
                    <w:right w:val="single" w:color="auto" w:sz="4" w:space="0"/>
                  </w:tcBorders>
                </w:tcPr>
                <w:p>
                  <w:pPr>
                    <w:widowControl/>
                    <w:rPr>
                      <w:rFonts w:ascii="宋体" w:hAnsi="宋体" w:cs="宋体"/>
                      <w:kern w:val="0"/>
                      <w:sz w:val="22"/>
                      <w:szCs w:val="22"/>
                    </w:rPr>
                  </w:pPr>
                  <w:r>
                    <w:rPr>
                      <w:rFonts w:hint="eastAsia" w:ascii="宋体" w:hAnsi="宋体" w:cs="宋体"/>
                      <w:kern w:val="0"/>
                      <w:sz w:val="22"/>
                      <w:szCs w:val="22"/>
                    </w:rPr>
                    <w:t>升压站</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草地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天然牧草地</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.45</w:t>
                  </w:r>
                </w:p>
              </w:tc>
              <w:tc>
                <w:tcPr>
                  <w:tcW w:w="1723" w:type="dxa"/>
                  <w:tcBorders>
                    <w:top w:val="single" w:color="auto" w:sz="4" w:space="0"/>
                    <w:left w:val="nil"/>
                    <w:bottom w:val="single" w:color="auto" w:sz="4" w:space="0"/>
                    <w:right w:val="single" w:color="auto" w:sz="12" w:space="0"/>
                  </w:tcBorders>
                  <w:shd w:val="clear" w:color="auto" w:fill="auto"/>
                  <w:noWrap/>
                  <w:vAlign w:val="center"/>
                </w:tcPr>
                <w:p>
                  <w:pPr>
                    <w:widowControl/>
                    <w:jc w:val="center"/>
                    <w:rPr>
                      <w:rFonts w:ascii="宋体" w:hAnsi="宋体" w:cs="宋体"/>
                      <w:kern w:val="0"/>
                      <w:sz w:val="22"/>
                      <w:szCs w:val="22"/>
                    </w:rPr>
                  </w:pPr>
                  <w:r>
                    <w:rPr>
                      <w:sz w:val="22"/>
                      <w:szCs w:val="22"/>
                    </w:rPr>
                    <w:t>0.44</w:t>
                  </w:r>
                  <w:r>
                    <w:rPr>
                      <w:rFonts w:hint="eastAsia"/>
                      <w:sz w:val="22"/>
                      <w:szCs w:val="22"/>
                    </w:rPr>
                    <w:t>%</w:t>
                  </w:r>
                </w:p>
              </w:tc>
            </w:tr>
            <w:tr>
              <w:tblPrEx>
                <w:tblCellMar>
                  <w:top w:w="0" w:type="dxa"/>
                  <w:left w:w="108" w:type="dxa"/>
                  <w:bottom w:w="0" w:type="dxa"/>
                  <w:right w:w="108" w:type="dxa"/>
                </w:tblCellMar>
              </w:tblPrEx>
              <w:trPr>
                <w:trHeight w:val="300" w:hRule="atLeast"/>
              </w:trPr>
              <w:tc>
                <w:tcPr>
                  <w:tcW w:w="3942" w:type="dxa"/>
                  <w:gridSpan w:val="3"/>
                  <w:tcBorders>
                    <w:top w:val="single" w:color="auto" w:sz="4" w:space="0"/>
                    <w:left w:val="single" w:color="auto" w:sz="12" w:space="0"/>
                    <w:bottom w:val="single" w:color="auto" w:sz="12" w:space="0"/>
                    <w:right w:val="single" w:color="auto" w:sz="4" w:space="0"/>
                  </w:tcBorders>
                </w:tcPr>
                <w:p>
                  <w:pPr>
                    <w:widowControl/>
                    <w:jc w:val="center"/>
                    <w:rPr>
                      <w:rFonts w:ascii="宋体" w:hAnsi="宋体" w:cs="宋体"/>
                      <w:kern w:val="0"/>
                      <w:sz w:val="22"/>
                      <w:szCs w:val="22"/>
                    </w:rPr>
                  </w:pPr>
                  <w:r>
                    <w:rPr>
                      <w:rFonts w:hint="eastAsia" w:ascii="宋体" w:hAnsi="宋体" w:cs="宋体"/>
                      <w:kern w:val="0"/>
                      <w:sz w:val="22"/>
                      <w:szCs w:val="22"/>
                    </w:rPr>
                    <w:t>总计</w:t>
                  </w:r>
                </w:p>
              </w:tc>
              <w:tc>
                <w:tcPr>
                  <w:tcW w:w="993"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2</w:t>
                  </w:r>
                </w:p>
              </w:tc>
              <w:tc>
                <w:tcPr>
                  <w:tcW w:w="1417"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ascii="宋体" w:hAnsi="宋体" w:cs="宋体"/>
                      <w:kern w:val="0"/>
                      <w:sz w:val="22"/>
                      <w:szCs w:val="22"/>
                    </w:rPr>
                    <w:t>331.04</w:t>
                  </w:r>
                </w:p>
              </w:tc>
              <w:tc>
                <w:tcPr>
                  <w:tcW w:w="1723" w:type="dxa"/>
                  <w:tcBorders>
                    <w:top w:val="single" w:color="auto" w:sz="4" w:space="0"/>
                    <w:left w:val="nil"/>
                    <w:bottom w:val="single" w:color="auto" w:sz="12" w:space="0"/>
                    <w:right w:val="single" w:color="auto" w:sz="12" w:space="0"/>
                  </w:tcBorders>
                  <w:shd w:val="clear" w:color="auto" w:fill="auto"/>
                  <w:noWrap/>
                  <w:vAlign w:val="center"/>
                </w:tcPr>
                <w:p>
                  <w:pPr>
                    <w:widowControl/>
                    <w:jc w:val="center"/>
                    <w:rPr>
                      <w:rFonts w:ascii="宋体" w:hAnsi="宋体" w:cs="宋体"/>
                      <w:kern w:val="0"/>
                      <w:sz w:val="22"/>
                      <w:szCs w:val="22"/>
                    </w:rPr>
                  </w:pPr>
                  <w:r>
                    <w:rPr>
                      <w:rFonts w:hint="eastAsia"/>
                      <w:sz w:val="22"/>
                      <w:szCs w:val="22"/>
                    </w:rPr>
                    <w:t>100.00%</w:t>
                  </w:r>
                </w:p>
              </w:tc>
            </w:tr>
          </w:tbl>
          <w:p>
            <w:pPr>
              <w:adjustRightInd w:val="0"/>
              <w:snapToGrid w:val="0"/>
              <w:spacing w:line="360" w:lineRule="auto"/>
              <w:ind w:firstLine="480" w:firstLineChars="200"/>
              <w:rPr>
                <w:sz w:val="24"/>
              </w:rPr>
            </w:pPr>
            <w:r>
              <w:rPr>
                <w:rFonts w:hint="eastAsia"/>
                <w:sz w:val="24"/>
              </w:rPr>
              <w:t>项目区内土地利用主要以天然牧草地、采矿用地为主，天然牧草地面积为</w:t>
            </w:r>
            <w:r>
              <w:rPr>
                <w:sz w:val="24"/>
              </w:rPr>
              <w:t>276.23</w:t>
            </w:r>
            <w:r>
              <w:rPr>
                <w:rFonts w:hint="eastAsia"/>
                <w:sz w:val="24"/>
              </w:rPr>
              <w:t>hm²，占评价区域总面积的</w:t>
            </w:r>
            <w:r>
              <w:rPr>
                <w:sz w:val="24"/>
              </w:rPr>
              <w:t>83.44</w:t>
            </w:r>
            <w:r>
              <w:rPr>
                <w:rFonts w:hint="eastAsia"/>
                <w:sz w:val="24"/>
              </w:rPr>
              <w:t>%；采矿用地面积</w:t>
            </w:r>
            <w:r>
              <w:rPr>
                <w:sz w:val="24"/>
              </w:rPr>
              <w:t>29.65</w:t>
            </w:r>
            <w:r>
              <w:rPr>
                <w:rFonts w:hint="eastAsia"/>
                <w:sz w:val="24"/>
              </w:rPr>
              <w:t>hm²，占比</w:t>
            </w:r>
            <w:r>
              <w:rPr>
                <w:sz w:val="24"/>
              </w:rPr>
              <w:t>8.96</w:t>
            </w:r>
            <w:r>
              <w:rPr>
                <w:rFonts w:hint="eastAsia"/>
                <w:sz w:val="24"/>
              </w:rPr>
              <w:t>%。</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jc w:val="center"/>
              <w:rPr>
                <w:sz w:val="24"/>
              </w:rPr>
            </w:pPr>
            <w:r>
              <w:rPr>
                <w:sz w:val="24"/>
              </w:rPr>
              <w:pict>
                <v:shape id="_x0000_i1026" o:spt="75" type="#_x0000_t75" style="height:545.25pt;width:385.25pt;" filled="f" o:preferrelative="t" stroked="f" coordsize="21600,21600">
                  <v:path/>
                  <v:fill on="f" focussize="0,0"/>
                  <v:stroke on="f" joinstyle="miter"/>
                  <v:imagedata r:id="rId24" o:title="土地利用类型图"/>
                  <o:lock v:ext="edit" aspectratio="t"/>
                  <w10:wrap type="none"/>
                  <w10:anchorlock/>
                </v:shape>
              </w:pict>
            </w:r>
          </w:p>
          <w:p>
            <w:pPr>
              <w:pStyle w:val="24"/>
              <w:ind w:firstLine="482"/>
              <w:jc w:val="center"/>
              <w:rPr>
                <w:rFonts w:cs="Times New Roman"/>
              </w:rPr>
            </w:pPr>
            <w:r>
              <w:t>图3.6 土地利用类型图</w:t>
            </w:r>
          </w:p>
          <w:p>
            <w:pPr>
              <w:pStyle w:val="24"/>
              <w:ind w:firstLine="482"/>
              <w:rPr>
                <w:rFonts w:cs="Times New Roman"/>
              </w:rPr>
            </w:pPr>
            <w:r>
              <w:rPr>
                <w:rFonts w:cs="Times New Roman"/>
              </w:rPr>
              <w:t>（3）动物种类</w:t>
            </w:r>
          </w:p>
          <w:p>
            <w:pPr>
              <w:tabs>
                <w:tab w:val="left" w:pos="180"/>
              </w:tabs>
              <w:spacing w:line="360" w:lineRule="auto"/>
              <w:ind w:firstLine="480" w:firstLineChars="200"/>
              <w:rPr>
                <w:rStyle w:val="47"/>
              </w:rPr>
            </w:pPr>
            <w:r>
              <w:rPr>
                <w:rStyle w:val="47"/>
              </w:rPr>
              <w:t>本项目区域内野生动物组成比较简单，种类相对较少，评价区内常见的野生动物有啮齿类、</w:t>
            </w:r>
            <w:r>
              <w:rPr>
                <w:rStyle w:val="47"/>
                <w:rFonts w:hint="eastAsia"/>
              </w:rPr>
              <w:t>爬行类</w:t>
            </w:r>
            <w:r>
              <w:rPr>
                <w:rStyle w:val="47"/>
              </w:rPr>
              <w:t>和一些鸟类。</w:t>
            </w:r>
            <w:r>
              <w:rPr>
                <w:rStyle w:val="47"/>
                <w:rFonts w:hint="eastAsia"/>
              </w:rPr>
              <w:t>无国家和自治区保护的珍惜濒危野生动物。评价区不涉及动物迁徙路线。</w:t>
            </w:r>
          </w:p>
          <w:p>
            <w:pPr>
              <w:adjustRightInd w:val="0"/>
              <w:snapToGrid w:val="0"/>
              <w:spacing w:line="360" w:lineRule="auto"/>
              <w:rPr>
                <w:rFonts w:ascii="宋体" w:hAnsi="宋体" w:cs="Courier New"/>
                <w:sz w:val="24"/>
                <w:szCs w:val="20"/>
              </w:rPr>
            </w:pPr>
            <w:r>
              <w:rPr>
                <w:rFonts w:hint="eastAsia" w:ascii="宋体" w:hAnsi="宋体" w:cs="Courier New"/>
                <w:b/>
                <w:sz w:val="24"/>
                <w:szCs w:val="20"/>
              </w:rPr>
              <w:t>表</w:t>
            </w:r>
            <w:r>
              <w:rPr>
                <w:rFonts w:ascii="宋体" w:hAnsi="宋体" w:cs="Courier New"/>
                <w:b/>
                <w:sz w:val="24"/>
                <w:szCs w:val="20"/>
              </w:rPr>
              <w:t>3.5</w:t>
            </w:r>
            <w:r>
              <w:rPr>
                <w:rFonts w:hint="eastAsia" w:ascii="宋体" w:hAnsi="宋体" w:cs="Courier New"/>
                <w:b/>
                <w:sz w:val="24"/>
                <w:szCs w:val="20"/>
              </w:rPr>
              <w:t xml:space="preserve">                评价区主要动物名录</w:t>
            </w:r>
          </w:p>
          <w:tbl>
            <w:tblPr>
              <w:tblStyle w:val="16"/>
              <w:tblW w:w="81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657"/>
              <w:gridCol w:w="2095"/>
              <w:gridCol w:w="1165"/>
              <w:gridCol w:w="1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纲</w:t>
                  </w:r>
                </w:p>
              </w:tc>
              <w:tc>
                <w:tcPr>
                  <w:tcW w:w="1657"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目</w:t>
                  </w: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科</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中文名</w:t>
                  </w:r>
                </w:p>
              </w:tc>
              <w:tc>
                <w:tcPr>
                  <w:tcW w:w="1890"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拉丁名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372"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爬行纲</w:t>
                  </w:r>
                </w:p>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REPTILIA</w:t>
                  </w:r>
                </w:p>
              </w:tc>
              <w:tc>
                <w:tcPr>
                  <w:tcW w:w="1657"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一.蜥蜴目Lacertilia</w:t>
                  </w: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1.蜥蜴科Lacertidae</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荒漠沙蜥</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Phrynocephalus przewalskii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372" w:type="dxa"/>
                  <w:vMerge w:val="restart"/>
                  <w:tcBorders>
                    <w:bottom w:val="single" w:color="auto" w:sz="4" w:space="0"/>
                  </w:tcBorders>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哺乳纲</w:t>
                  </w:r>
                </w:p>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MAMMALIA</w:t>
                  </w:r>
                </w:p>
              </w:tc>
              <w:tc>
                <w:tcPr>
                  <w:tcW w:w="1657" w:type="dxa"/>
                  <w:vMerge w:val="restart"/>
                  <w:tcBorders>
                    <w:bottom w:val="single" w:color="auto" w:sz="4" w:space="0"/>
                  </w:tcBorders>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二、啮齿目Rodentia</w:t>
                  </w: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1.跳鼠科Dipodidae</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五趾跳鼠</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Allactagasibiricus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dxa"/>
                  <w:vMerge w:val="continue"/>
                  <w:vAlign w:val="center"/>
                </w:tcPr>
                <w:p>
                  <w:pPr>
                    <w:spacing w:line="400" w:lineRule="exact"/>
                    <w:jc w:val="center"/>
                    <w:rPr>
                      <w:rFonts w:ascii="Arial" w:hAnsi="Arial" w:cs="Arial"/>
                      <w:iCs/>
                      <w:szCs w:val="21"/>
                      <w:shd w:val="clear" w:color="auto" w:fill="FFFFFF"/>
                    </w:rPr>
                  </w:pPr>
                </w:p>
              </w:tc>
              <w:tc>
                <w:tcPr>
                  <w:tcW w:w="1657" w:type="dxa"/>
                  <w:vMerge w:val="continue"/>
                  <w:vAlign w:val="center"/>
                </w:tcPr>
                <w:p>
                  <w:pPr>
                    <w:spacing w:line="400" w:lineRule="exact"/>
                    <w:jc w:val="center"/>
                    <w:rPr>
                      <w:rFonts w:ascii="Arial" w:hAnsi="Arial" w:cs="Arial"/>
                      <w:iCs/>
                      <w:szCs w:val="21"/>
                      <w:shd w:val="clear" w:color="auto" w:fill="FFFFFF"/>
                    </w:rPr>
                  </w:pP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2</w:t>
                  </w:r>
                  <w:r>
                    <w:rPr>
                      <w:rFonts w:ascii="Arial" w:hAnsi="Arial" w:cs="Arial"/>
                      <w:iCs/>
                      <w:szCs w:val="21"/>
                      <w:shd w:val="clear" w:color="auto" w:fill="FFFFFF"/>
                    </w:rPr>
                    <w:t>.</w:t>
                  </w:r>
                  <w:r>
                    <w:rPr>
                      <w:rFonts w:hint="eastAsia" w:ascii="Arial" w:hAnsi="Arial" w:cs="Arial"/>
                      <w:iCs/>
                      <w:szCs w:val="21"/>
                      <w:shd w:val="clear" w:color="auto" w:fill="FFFFFF"/>
                    </w:rPr>
                    <w:t>鼠科M</w:t>
                  </w:r>
                  <w:r>
                    <w:rPr>
                      <w:rFonts w:ascii="Arial" w:hAnsi="Arial" w:cs="Arial"/>
                      <w:iCs/>
                      <w:szCs w:val="21"/>
                      <w:shd w:val="clear" w:color="auto" w:fill="FFFFFF"/>
                    </w:rPr>
                    <w:t>uridae</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褐家鼠</w:t>
                  </w:r>
                </w:p>
              </w:tc>
              <w:tc>
                <w:tcPr>
                  <w:tcW w:w="1890" w:type="dxa"/>
                  <w:vAlign w:val="center"/>
                </w:tcPr>
                <w:p>
                  <w:pPr>
                    <w:spacing w:line="400" w:lineRule="exact"/>
                    <w:jc w:val="center"/>
                    <w:rPr>
                      <w:rFonts w:ascii="Arial" w:hAnsi="Arial" w:cs="Arial"/>
                      <w:i/>
                      <w:szCs w:val="21"/>
                      <w:shd w:val="clear" w:color="auto" w:fill="FFFFFF"/>
                    </w:rPr>
                  </w:pPr>
                  <w:r>
                    <w:rPr>
                      <w:rFonts w:ascii="Arial" w:hAnsi="Arial" w:cs="Arial"/>
                      <w:i/>
                      <w:szCs w:val="21"/>
                      <w:shd w:val="clear" w:color="auto" w:fill="FFFFFF"/>
                    </w:rPr>
                    <w:t>Rattus norvegicus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372" w:type="dxa"/>
                  <w:vMerge w:val="continue"/>
                  <w:vAlign w:val="center"/>
                </w:tcPr>
                <w:p>
                  <w:pPr>
                    <w:spacing w:line="400" w:lineRule="exact"/>
                    <w:jc w:val="center"/>
                    <w:rPr>
                      <w:rFonts w:ascii="Arial" w:hAnsi="Arial" w:cs="Arial"/>
                      <w:iCs/>
                      <w:szCs w:val="21"/>
                      <w:shd w:val="clear" w:color="auto" w:fill="FFFFFF"/>
                    </w:rPr>
                  </w:pPr>
                </w:p>
              </w:tc>
              <w:tc>
                <w:tcPr>
                  <w:tcW w:w="1657"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三、兔形目Lagomorpha</w:t>
                  </w: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1.兔科Leporidaehares</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蒙古兔</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Lepuscapensis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372" w:type="dxa"/>
                  <w:vMerge w:val="restart"/>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鸟纲AVES</w:t>
                  </w:r>
                </w:p>
              </w:tc>
              <w:tc>
                <w:tcPr>
                  <w:tcW w:w="1657"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四、鸽形目Columbiformes</w:t>
                  </w:r>
                </w:p>
              </w:tc>
              <w:tc>
                <w:tcPr>
                  <w:tcW w:w="209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1.沙鸡科Pteroclididae</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毛腿沙鸡</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Syrrhaptesparadoxus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Merge w:val="continue"/>
                  <w:vAlign w:val="center"/>
                </w:tcPr>
                <w:p>
                  <w:pPr>
                    <w:spacing w:line="400" w:lineRule="exact"/>
                    <w:jc w:val="center"/>
                    <w:rPr>
                      <w:rFonts w:ascii="Arial" w:hAnsi="Arial" w:cs="Arial"/>
                      <w:iCs/>
                      <w:szCs w:val="21"/>
                      <w:shd w:val="clear" w:color="auto" w:fill="FFFFFF"/>
                    </w:rPr>
                  </w:pPr>
                </w:p>
              </w:tc>
              <w:tc>
                <w:tcPr>
                  <w:tcW w:w="1657" w:type="dxa"/>
                  <w:vMerge w:val="restart"/>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五、雀形目Passeriformes</w:t>
                  </w:r>
                </w:p>
              </w:tc>
              <w:tc>
                <w:tcPr>
                  <w:tcW w:w="2095" w:type="dxa"/>
                  <w:vMerge w:val="restart"/>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2.鸦科Corvidae</w:t>
                  </w: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喜鹊</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PicapicaLinnaeus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2" w:type="dxa"/>
                  <w:vMerge w:val="continue"/>
                  <w:vAlign w:val="center"/>
                </w:tcPr>
                <w:p>
                  <w:pPr>
                    <w:spacing w:line="400" w:lineRule="exact"/>
                    <w:jc w:val="center"/>
                    <w:rPr>
                      <w:rFonts w:ascii="Arial" w:hAnsi="Arial" w:cs="Arial"/>
                      <w:iCs/>
                      <w:szCs w:val="21"/>
                      <w:shd w:val="clear" w:color="auto" w:fill="FFFFFF"/>
                    </w:rPr>
                  </w:pPr>
                </w:p>
              </w:tc>
              <w:tc>
                <w:tcPr>
                  <w:tcW w:w="1657" w:type="dxa"/>
                  <w:vMerge w:val="continue"/>
                  <w:vAlign w:val="center"/>
                </w:tcPr>
                <w:p>
                  <w:pPr>
                    <w:spacing w:line="400" w:lineRule="exact"/>
                    <w:jc w:val="center"/>
                    <w:rPr>
                      <w:rFonts w:ascii="Arial" w:hAnsi="Arial" w:cs="Arial"/>
                      <w:iCs/>
                      <w:szCs w:val="21"/>
                      <w:shd w:val="clear" w:color="auto" w:fill="FFFFFF"/>
                    </w:rPr>
                  </w:pPr>
                </w:p>
              </w:tc>
              <w:tc>
                <w:tcPr>
                  <w:tcW w:w="2095" w:type="dxa"/>
                  <w:vMerge w:val="continue"/>
                  <w:vAlign w:val="center"/>
                </w:tcPr>
                <w:p>
                  <w:pPr>
                    <w:spacing w:line="400" w:lineRule="exact"/>
                    <w:jc w:val="center"/>
                    <w:rPr>
                      <w:rFonts w:ascii="Arial" w:hAnsi="Arial" w:cs="Arial"/>
                      <w:iCs/>
                      <w:szCs w:val="21"/>
                      <w:shd w:val="clear" w:color="auto" w:fill="FFFFFF"/>
                    </w:rPr>
                  </w:pPr>
                </w:p>
              </w:tc>
              <w:tc>
                <w:tcPr>
                  <w:tcW w:w="1165" w:type="dxa"/>
                  <w:vAlign w:val="center"/>
                </w:tcPr>
                <w:p>
                  <w:pPr>
                    <w:spacing w:line="400" w:lineRule="exact"/>
                    <w:jc w:val="center"/>
                    <w:rPr>
                      <w:rFonts w:ascii="Arial" w:hAnsi="Arial" w:cs="Arial"/>
                      <w:iCs/>
                      <w:szCs w:val="21"/>
                      <w:shd w:val="clear" w:color="auto" w:fill="FFFFFF"/>
                    </w:rPr>
                  </w:pPr>
                  <w:r>
                    <w:rPr>
                      <w:rFonts w:hint="eastAsia" w:ascii="Arial" w:hAnsi="Arial" w:cs="Arial"/>
                      <w:iCs/>
                      <w:szCs w:val="21"/>
                      <w:shd w:val="clear" w:color="auto" w:fill="FFFFFF"/>
                    </w:rPr>
                    <w:t>大嘴乌鸦</w:t>
                  </w:r>
                </w:p>
              </w:tc>
              <w:tc>
                <w:tcPr>
                  <w:tcW w:w="1890" w:type="dxa"/>
                  <w:vAlign w:val="center"/>
                </w:tcPr>
                <w:p>
                  <w:pPr>
                    <w:spacing w:line="400" w:lineRule="exact"/>
                    <w:jc w:val="center"/>
                    <w:rPr>
                      <w:rFonts w:ascii="Arial" w:hAnsi="Arial" w:cs="Arial"/>
                      <w:i/>
                      <w:szCs w:val="21"/>
                      <w:shd w:val="clear" w:color="auto" w:fill="FFFFFF"/>
                    </w:rPr>
                  </w:pPr>
                  <w:r>
                    <w:rPr>
                      <w:rFonts w:hint="eastAsia" w:ascii="Arial" w:hAnsi="Arial" w:cs="Arial"/>
                      <w:i/>
                      <w:szCs w:val="21"/>
                      <w:shd w:val="clear" w:color="auto" w:fill="FFFFFF"/>
                    </w:rPr>
                    <w:t>C.macrorhynchus</w:t>
                  </w:r>
                </w:p>
              </w:tc>
            </w:tr>
          </w:tbl>
          <w:p>
            <w:pPr>
              <w:tabs>
                <w:tab w:val="left" w:pos="180"/>
              </w:tabs>
              <w:spacing w:line="360" w:lineRule="auto"/>
              <w:ind w:firstLine="480" w:firstLineChars="200"/>
              <w:rPr>
                <w:b/>
              </w:rPr>
            </w:pPr>
            <w:r>
              <w:rPr>
                <w:rStyle w:val="47"/>
              </w:rPr>
              <w:cr/>
            </w:r>
            <w:r>
              <w:rPr>
                <w:b/>
                <w:sz w:val="28"/>
                <w:szCs w:val="28"/>
              </w:rPr>
              <w:t>3、环境空气质量现状</w:t>
            </w:r>
          </w:p>
          <w:p>
            <w:pPr>
              <w:spacing w:after="60" w:line="360" w:lineRule="auto"/>
              <w:ind w:firstLine="480" w:firstLineChars="200"/>
              <w:rPr>
                <w:sz w:val="24"/>
              </w:rPr>
            </w:pPr>
            <w:bookmarkStart w:id="38" w:name="_Hlk10577077"/>
            <w:r>
              <w:rPr>
                <w:sz w:val="24"/>
              </w:rPr>
              <w:t>本项目建设地点位于</w:t>
            </w:r>
            <w:r>
              <w:rPr>
                <w:rFonts w:hint="eastAsia"/>
                <w:sz w:val="24"/>
              </w:rPr>
              <w:t>巴彦淖尔市乌拉特前旗乌拉山镇东约30公里处</w:t>
            </w:r>
            <w:r>
              <w:rPr>
                <w:sz w:val="24"/>
              </w:rPr>
              <w:t>。</w:t>
            </w:r>
            <w:bookmarkEnd w:id="38"/>
            <w:r>
              <w:rPr>
                <w:sz w:val="24"/>
              </w:rPr>
              <w:t>为说明建设项目所在区域环境质量现状情况，依照《环境影响评价技术导则  大气环境》（HJ2.2-2018）中6.2数据来源中所提到基本污染物可优先采用国家或地方生态环境主管部门公开发布的评价基准年环境质量公告或环境质量报告中的数据或结论。</w:t>
            </w:r>
          </w:p>
          <w:p>
            <w:pPr>
              <w:spacing w:after="60" w:line="360" w:lineRule="auto"/>
              <w:ind w:firstLine="480" w:firstLineChars="200"/>
              <w:rPr>
                <w:sz w:val="24"/>
              </w:rPr>
            </w:pPr>
            <w:r>
              <w:rPr>
                <w:rFonts w:hint="eastAsia"/>
                <w:sz w:val="24"/>
              </w:rPr>
              <w:t>本项目所在区域达标判定引用《2021年内蒙古自治区生态环境状况公报》数据，2021年巴彦淖尔市SO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年均浓度、CO（第95百分位浓度）、O</w:t>
            </w:r>
            <w:r>
              <w:rPr>
                <w:rFonts w:hint="eastAsia"/>
                <w:sz w:val="24"/>
                <w:vertAlign w:val="subscript"/>
              </w:rPr>
              <w:t>3</w:t>
            </w:r>
            <w:r>
              <w:rPr>
                <w:rFonts w:hint="eastAsia"/>
                <w:sz w:val="24"/>
              </w:rPr>
              <w:t>（日最大8小时，第90百分位浓度）分别为10μg/m</w:t>
            </w:r>
            <w:r>
              <w:rPr>
                <w:sz w:val="24"/>
              </w:rPr>
              <w:t>³</w:t>
            </w:r>
            <w:r>
              <w:rPr>
                <w:rFonts w:hint="eastAsia"/>
                <w:sz w:val="24"/>
              </w:rPr>
              <w:t>、15μg/m³、68μg/m³、25μg/m³、0.9mg/m³、142μg/m³，各污染物浓度均低于《环境空气质量标准》（GB3095-2012）及其修改单二级标准浓度限值要求。根据《环境空气质量评价技术规范（试行）》HJ663-2013判定，巴彦淖尔市2021年环境空气质量达标。</w:t>
            </w:r>
          </w:p>
          <w:p>
            <w:pPr>
              <w:spacing w:after="60" w:line="360" w:lineRule="auto"/>
              <w:ind w:firstLine="480" w:firstLineChars="200"/>
              <w:rPr>
                <w:kern w:val="0"/>
                <w:sz w:val="28"/>
              </w:rPr>
            </w:pPr>
            <w:r>
              <w:rPr>
                <w:rFonts w:hint="eastAsia"/>
                <w:sz w:val="24"/>
              </w:rPr>
              <w:t>区域空气质量现状评价见表</w:t>
            </w:r>
            <w:r>
              <w:rPr>
                <w:sz w:val="24"/>
              </w:rPr>
              <w:t>3.4。</w:t>
            </w:r>
          </w:p>
          <w:p>
            <w:pPr>
              <w:pStyle w:val="44"/>
              <w:spacing w:before="120"/>
              <w:ind w:firstLine="482" w:firstLineChars="200"/>
              <w:rPr>
                <w:rStyle w:val="47"/>
                <w:color w:val="auto"/>
              </w:rPr>
            </w:pPr>
            <w:r>
              <w:rPr>
                <w:rStyle w:val="47"/>
                <w:rFonts w:hint="eastAsia"/>
                <w:color w:val="auto"/>
              </w:rPr>
              <w:t>表3.</w:t>
            </w:r>
            <w:r>
              <w:rPr>
                <w:rStyle w:val="47"/>
                <w:color w:val="auto"/>
              </w:rPr>
              <w:t>6</w:t>
            </w:r>
            <w:r>
              <w:rPr>
                <w:rStyle w:val="47"/>
                <w:rFonts w:hint="eastAsia"/>
                <w:color w:val="auto"/>
              </w:rPr>
              <w:t xml:space="preserve">  </w:t>
            </w:r>
            <w:r>
              <w:rPr>
                <w:rStyle w:val="47"/>
                <w:color w:val="auto"/>
              </w:rPr>
              <w:t xml:space="preserve">              </w:t>
            </w:r>
            <w:r>
              <w:rPr>
                <w:rStyle w:val="47"/>
                <w:rFonts w:hint="eastAsia"/>
                <w:color w:val="auto"/>
              </w:rPr>
              <w:t>环境空气质量达标情况</w:t>
            </w:r>
          </w:p>
          <w:tbl>
            <w:tblPr>
              <w:tblStyle w:val="16"/>
              <w:tblpPr w:leftFromText="180" w:rightFromText="180" w:vertAnchor="page" w:horzAnchor="margin" w:tblpY="1"/>
              <w:tblOverlap w:val="never"/>
              <w:tblW w:w="7923"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08"/>
              <w:gridCol w:w="2694"/>
              <w:gridCol w:w="1261"/>
              <w:gridCol w:w="1134"/>
              <w:gridCol w:w="992"/>
              <w:gridCol w:w="113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708" w:type="dxa"/>
                  <w:tcBorders>
                    <w:top w:val="single" w:color="auto" w:sz="12" w:space="0"/>
                    <w:left w:val="single" w:color="auto" w:sz="12" w:space="0"/>
                    <w:bottom w:val="single" w:color="auto" w:sz="2" w:space="0"/>
                  </w:tcBorders>
                  <w:vAlign w:val="center"/>
                </w:tcPr>
                <w:p>
                  <w:pPr>
                    <w:pStyle w:val="66"/>
                    <w:spacing w:line="240" w:lineRule="auto"/>
                    <w:rPr>
                      <w:szCs w:val="21"/>
                    </w:rPr>
                  </w:pPr>
                  <w:r>
                    <w:rPr>
                      <w:szCs w:val="21"/>
                    </w:rPr>
                    <w:t>污染物</w:t>
                  </w:r>
                </w:p>
              </w:tc>
              <w:tc>
                <w:tcPr>
                  <w:tcW w:w="2694" w:type="dxa"/>
                  <w:vAlign w:val="center"/>
                </w:tcPr>
                <w:p>
                  <w:pPr>
                    <w:pStyle w:val="66"/>
                    <w:spacing w:line="240" w:lineRule="auto"/>
                    <w:rPr>
                      <w:szCs w:val="21"/>
                    </w:rPr>
                  </w:pPr>
                  <w:r>
                    <w:rPr>
                      <w:szCs w:val="21"/>
                    </w:rPr>
                    <w:t>年评价指标</w:t>
                  </w:r>
                </w:p>
              </w:tc>
              <w:tc>
                <w:tcPr>
                  <w:tcW w:w="1261" w:type="dxa"/>
                  <w:vAlign w:val="center"/>
                </w:tcPr>
                <w:p>
                  <w:pPr>
                    <w:pStyle w:val="66"/>
                    <w:spacing w:line="240" w:lineRule="auto"/>
                    <w:rPr>
                      <w:szCs w:val="21"/>
                    </w:rPr>
                  </w:pPr>
                  <w:r>
                    <w:rPr>
                      <w:szCs w:val="21"/>
                    </w:rPr>
                    <w:t>现状浓度</w:t>
                  </w:r>
                </w:p>
                <w:p>
                  <w:pPr>
                    <w:pStyle w:val="66"/>
                    <w:spacing w:line="240" w:lineRule="auto"/>
                    <w:rPr>
                      <w:szCs w:val="21"/>
                    </w:rPr>
                  </w:pPr>
                  <w:r>
                    <w:rPr>
                      <w:szCs w:val="21"/>
                    </w:rPr>
                    <w:t>（μg/m³）</w:t>
                  </w:r>
                </w:p>
              </w:tc>
              <w:tc>
                <w:tcPr>
                  <w:tcW w:w="1134" w:type="dxa"/>
                  <w:vAlign w:val="center"/>
                </w:tcPr>
                <w:p>
                  <w:pPr>
                    <w:pStyle w:val="66"/>
                    <w:spacing w:line="240" w:lineRule="auto"/>
                    <w:rPr>
                      <w:szCs w:val="21"/>
                    </w:rPr>
                  </w:pPr>
                  <w:r>
                    <w:rPr>
                      <w:szCs w:val="21"/>
                    </w:rPr>
                    <w:t>标准值</w:t>
                  </w:r>
                </w:p>
                <w:p>
                  <w:pPr>
                    <w:pStyle w:val="66"/>
                    <w:spacing w:line="240" w:lineRule="auto"/>
                    <w:rPr>
                      <w:szCs w:val="21"/>
                    </w:rPr>
                  </w:pPr>
                  <w:r>
                    <w:rPr>
                      <w:szCs w:val="21"/>
                    </w:rPr>
                    <w:t>（μg/m³）</w:t>
                  </w:r>
                </w:p>
              </w:tc>
              <w:tc>
                <w:tcPr>
                  <w:tcW w:w="992" w:type="dxa"/>
                  <w:vAlign w:val="center"/>
                </w:tcPr>
                <w:p>
                  <w:pPr>
                    <w:pStyle w:val="66"/>
                    <w:spacing w:line="240" w:lineRule="auto"/>
                    <w:rPr>
                      <w:szCs w:val="21"/>
                    </w:rPr>
                  </w:pPr>
                  <w:r>
                    <w:rPr>
                      <w:szCs w:val="21"/>
                    </w:rPr>
                    <w:t>占标率（%）</w:t>
                  </w:r>
                </w:p>
              </w:tc>
              <w:tc>
                <w:tcPr>
                  <w:tcW w:w="1134" w:type="dxa"/>
                  <w:tcBorders>
                    <w:top w:val="single" w:color="auto" w:sz="12" w:space="0"/>
                    <w:bottom w:val="single" w:color="auto" w:sz="2" w:space="0"/>
                    <w:right w:val="single" w:color="auto" w:sz="12" w:space="0"/>
                  </w:tcBorders>
                  <w:vAlign w:val="center"/>
                </w:tcPr>
                <w:p>
                  <w:pPr>
                    <w:pStyle w:val="66"/>
                    <w:spacing w:line="240" w:lineRule="auto"/>
                    <w:rPr>
                      <w:szCs w:val="21"/>
                    </w:rPr>
                  </w:pPr>
                  <w:r>
                    <w:rPr>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708" w:type="dxa"/>
                  <w:tcBorders>
                    <w:top w:val="single" w:color="auto" w:sz="2" w:space="0"/>
                    <w:left w:val="single" w:color="auto" w:sz="12" w:space="0"/>
                    <w:bottom w:val="single" w:color="auto" w:sz="2" w:space="0"/>
                  </w:tcBorders>
                  <w:vAlign w:val="center"/>
                </w:tcPr>
                <w:p>
                  <w:pPr>
                    <w:pStyle w:val="66"/>
                    <w:spacing w:line="240" w:lineRule="auto"/>
                    <w:rPr>
                      <w:szCs w:val="21"/>
                    </w:rPr>
                  </w:pPr>
                  <w:r>
                    <w:rPr>
                      <w:szCs w:val="21"/>
                    </w:rPr>
                    <w:t>SO</w:t>
                  </w:r>
                  <w:r>
                    <w:rPr>
                      <w:szCs w:val="21"/>
                      <w:vertAlign w:val="subscript"/>
                    </w:rPr>
                    <w:t>2</w:t>
                  </w:r>
                </w:p>
              </w:tc>
              <w:tc>
                <w:tcPr>
                  <w:tcW w:w="2694" w:type="dxa"/>
                  <w:vAlign w:val="center"/>
                </w:tcPr>
                <w:p>
                  <w:pPr>
                    <w:pStyle w:val="66"/>
                    <w:spacing w:line="240" w:lineRule="auto"/>
                    <w:rPr>
                      <w:szCs w:val="21"/>
                    </w:rPr>
                  </w:pPr>
                  <w:r>
                    <w:rPr>
                      <w:szCs w:val="21"/>
                    </w:rPr>
                    <w:t>年平均质量浓度</w:t>
                  </w:r>
                </w:p>
              </w:tc>
              <w:tc>
                <w:tcPr>
                  <w:tcW w:w="1261" w:type="dxa"/>
                  <w:vAlign w:val="center"/>
                </w:tcPr>
                <w:p>
                  <w:pPr>
                    <w:jc w:val="center"/>
                    <w:rPr>
                      <w:spacing w:val="-16"/>
                      <w:szCs w:val="21"/>
                    </w:rPr>
                  </w:pPr>
                  <w:r>
                    <w:rPr>
                      <w:spacing w:val="-16"/>
                      <w:szCs w:val="21"/>
                    </w:rPr>
                    <w:t>10</w:t>
                  </w:r>
                </w:p>
              </w:tc>
              <w:tc>
                <w:tcPr>
                  <w:tcW w:w="1134" w:type="dxa"/>
                  <w:vAlign w:val="center"/>
                </w:tcPr>
                <w:p>
                  <w:pPr>
                    <w:jc w:val="center"/>
                    <w:rPr>
                      <w:spacing w:val="-16"/>
                      <w:szCs w:val="21"/>
                    </w:rPr>
                  </w:pPr>
                  <w:r>
                    <w:rPr>
                      <w:spacing w:val="-16"/>
                      <w:szCs w:val="21"/>
                    </w:rPr>
                    <w:t>60</w:t>
                  </w:r>
                </w:p>
              </w:tc>
              <w:tc>
                <w:tcPr>
                  <w:tcW w:w="992" w:type="dxa"/>
                  <w:vAlign w:val="center"/>
                </w:tcPr>
                <w:p>
                  <w:pPr>
                    <w:jc w:val="center"/>
                    <w:rPr>
                      <w:szCs w:val="21"/>
                    </w:rPr>
                  </w:pPr>
                  <w:r>
                    <w:rPr>
                      <w:szCs w:val="21"/>
                    </w:rPr>
                    <w:t>20%</w:t>
                  </w:r>
                </w:p>
              </w:tc>
              <w:tc>
                <w:tcPr>
                  <w:tcW w:w="1134" w:type="dxa"/>
                  <w:tcBorders>
                    <w:top w:val="single" w:color="auto" w:sz="2" w:space="0"/>
                    <w:bottom w:val="single" w:color="auto" w:sz="2" w:space="0"/>
                    <w:right w:val="single" w:color="auto" w:sz="12" w:space="0"/>
                  </w:tcBorders>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708" w:type="dxa"/>
                  <w:tcBorders>
                    <w:top w:val="single" w:color="auto" w:sz="2" w:space="0"/>
                    <w:left w:val="single" w:color="auto" w:sz="12" w:space="0"/>
                    <w:bottom w:val="single" w:color="auto" w:sz="2" w:space="0"/>
                  </w:tcBorders>
                  <w:vAlign w:val="center"/>
                </w:tcPr>
                <w:p>
                  <w:pPr>
                    <w:pStyle w:val="66"/>
                    <w:spacing w:line="240" w:lineRule="auto"/>
                    <w:rPr>
                      <w:szCs w:val="21"/>
                    </w:rPr>
                  </w:pPr>
                  <w:r>
                    <w:rPr>
                      <w:szCs w:val="21"/>
                    </w:rPr>
                    <w:t>NO</w:t>
                  </w:r>
                  <w:r>
                    <w:rPr>
                      <w:szCs w:val="21"/>
                      <w:vertAlign w:val="subscript"/>
                    </w:rPr>
                    <w:t>2</w:t>
                  </w:r>
                </w:p>
              </w:tc>
              <w:tc>
                <w:tcPr>
                  <w:tcW w:w="2694" w:type="dxa"/>
                  <w:vAlign w:val="center"/>
                </w:tcPr>
                <w:p>
                  <w:pPr>
                    <w:pStyle w:val="66"/>
                    <w:spacing w:line="240" w:lineRule="auto"/>
                    <w:rPr>
                      <w:szCs w:val="21"/>
                    </w:rPr>
                  </w:pPr>
                  <w:r>
                    <w:rPr>
                      <w:szCs w:val="21"/>
                    </w:rPr>
                    <w:t>年平均质量浓度</w:t>
                  </w:r>
                </w:p>
              </w:tc>
              <w:tc>
                <w:tcPr>
                  <w:tcW w:w="1261" w:type="dxa"/>
                  <w:vAlign w:val="center"/>
                </w:tcPr>
                <w:p>
                  <w:pPr>
                    <w:jc w:val="center"/>
                    <w:rPr>
                      <w:spacing w:val="-16"/>
                      <w:szCs w:val="21"/>
                    </w:rPr>
                  </w:pPr>
                  <w:r>
                    <w:rPr>
                      <w:spacing w:val="-16"/>
                      <w:szCs w:val="21"/>
                    </w:rPr>
                    <w:t>15</w:t>
                  </w:r>
                </w:p>
              </w:tc>
              <w:tc>
                <w:tcPr>
                  <w:tcW w:w="1134" w:type="dxa"/>
                  <w:vAlign w:val="center"/>
                </w:tcPr>
                <w:p>
                  <w:pPr>
                    <w:jc w:val="center"/>
                    <w:rPr>
                      <w:spacing w:val="-16"/>
                      <w:szCs w:val="21"/>
                    </w:rPr>
                  </w:pPr>
                  <w:r>
                    <w:rPr>
                      <w:spacing w:val="-16"/>
                      <w:szCs w:val="21"/>
                    </w:rPr>
                    <w:t>40</w:t>
                  </w:r>
                </w:p>
              </w:tc>
              <w:tc>
                <w:tcPr>
                  <w:tcW w:w="992" w:type="dxa"/>
                  <w:vAlign w:val="center"/>
                </w:tcPr>
                <w:p>
                  <w:pPr>
                    <w:jc w:val="center"/>
                    <w:rPr>
                      <w:szCs w:val="21"/>
                    </w:rPr>
                  </w:pPr>
                  <w:r>
                    <w:rPr>
                      <w:szCs w:val="21"/>
                    </w:rPr>
                    <w:t>37.5%</w:t>
                  </w:r>
                </w:p>
              </w:tc>
              <w:tc>
                <w:tcPr>
                  <w:tcW w:w="1134" w:type="dxa"/>
                  <w:tcBorders>
                    <w:top w:val="single" w:color="auto" w:sz="2" w:space="0"/>
                    <w:bottom w:val="single" w:color="auto" w:sz="2" w:space="0"/>
                    <w:right w:val="single" w:color="auto" w:sz="12" w:space="0"/>
                  </w:tcBorders>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708" w:type="dxa"/>
                  <w:tcBorders>
                    <w:top w:val="single" w:color="auto" w:sz="2" w:space="0"/>
                    <w:left w:val="single" w:color="auto" w:sz="12" w:space="0"/>
                    <w:bottom w:val="single" w:color="auto" w:sz="2" w:space="0"/>
                  </w:tcBorders>
                  <w:vAlign w:val="center"/>
                </w:tcPr>
                <w:p>
                  <w:pPr>
                    <w:pStyle w:val="66"/>
                    <w:spacing w:line="240" w:lineRule="auto"/>
                    <w:rPr>
                      <w:szCs w:val="21"/>
                    </w:rPr>
                  </w:pPr>
                  <w:r>
                    <w:rPr>
                      <w:szCs w:val="21"/>
                    </w:rPr>
                    <w:t>PM</w:t>
                  </w:r>
                  <w:r>
                    <w:rPr>
                      <w:szCs w:val="21"/>
                      <w:vertAlign w:val="subscript"/>
                    </w:rPr>
                    <w:t>10</w:t>
                  </w:r>
                </w:p>
              </w:tc>
              <w:tc>
                <w:tcPr>
                  <w:tcW w:w="2694" w:type="dxa"/>
                  <w:vAlign w:val="center"/>
                </w:tcPr>
                <w:p>
                  <w:pPr>
                    <w:pStyle w:val="66"/>
                    <w:spacing w:line="240" w:lineRule="auto"/>
                    <w:rPr>
                      <w:szCs w:val="21"/>
                    </w:rPr>
                  </w:pPr>
                  <w:r>
                    <w:rPr>
                      <w:szCs w:val="21"/>
                    </w:rPr>
                    <w:t>年平均质量浓度</w:t>
                  </w:r>
                </w:p>
              </w:tc>
              <w:tc>
                <w:tcPr>
                  <w:tcW w:w="1261" w:type="dxa"/>
                  <w:vAlign w:val="center"/>
                </w:tcPr>
                <w:p>
                  <w:pPr>
                    <w:jc w:val="center"/>
                    <w:rPr>
                      <w:spacing w:val="-16"/>
                      <w:szCs w:val="21"/>
                    </w:rPr>
                  </w:pPr>
                  <w:r>
                    <w:rPr>
                      <w:spacing w:val="-16"/>
                      <w:szCs w:val="21"/>
                    </w:rPr>
                    <w:t>68</w:t>
                  </w:r>
                </w:p>
              </w:tc>
              <w:tc>
                <w:tcPr>
                  <w:tcW w:w="1134" w:type="dxa"/>
                  <w:vAlign w:val="center"/>
                </w:tcPr>
                <w:p>
                  <w:pPr>
                    <w:jc w:val="center"/>
                    <w:rPr>
                      <w:spacing w:val="-16"/>
                      <w:szCs w:val="21"/>
                    </w:rPr>
                  </w:pPr>
                  <w:r>
                    <w:rPr>
                      <w:spacing w:val="-16"/>
                      <w:szCs w:val="21"/>
                    </w:rPr>
                    <w:t>70</w:t>
                  </w:r>
                </w:p>
              </w:tc>
              <w:tc>
                <w:tcPr>
                  <w:tcW w:w="992" w:type="dxa"/>
                  <w:vAlign w:val="center"/>
                </w:tcPr>
                <w:p>
                  <w:pPr>
                    <w:jc w:val="center"/>
                    <w:rPr>
                      <w:szCs w:val="21"/>
                    </w:rPr>
                  </w:pPr>
                  <w:r>
                    <w:rPr>
                      <w:szCs w:val="21"/>
                    </w:rPr>
                    <w:t>95.7%</w:t>
                  </w:r>
                </w:p>
              </w:tc>
              <w:tc>
                <w:tcPr>
                  <w:tcW w:w="1134" w:type="dxa"/>
                  <w:tcBorders>
                    <w:top w:val="single" w:color="auto" w:sz="2" w:space="0"/>
                    <w:bottom w:val="single" w:color="auto" w:sz="2" w:space="0"/>
                    <w:right w:val="single" w:color="auto" w:sz="12" w:space="0"/>
                  </w:tcBorders>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708" w:type="dxa"/>
                  <w:tcBorders>
                    <w:top w:val="single" w:color="auto" w:sz="2" w:space="0"/>
                    <w:left w:val="single" w:color="auto" w:sz="12" w:space="0"/>
                    <w:bottom w:val="single" w:color="auto" w:sz="2" w:space="0"/>
                  </w:tcBorders>
                  <w:vAlign w:val="center"/>
                </w:tcPr>
                <w:p>
                  <w:pPr>
                    <w:pStyle w:val="66"/>
                    <w:spacing w:line="240" w:lineRule="auto"/>
                    <w:rPr>
                      <w:szCs w:val="21"/>
                    </w:rPr>
                  </w:pPr>
                  <w:r>
                    <w:rPr>
                      <w:szCs w:val="21"/>
                    </w:rPr>
                    <w:t>PM</w:t>
                  </w:r>
                  <w:r>
                    <w:rPr>
                      <w:szCs w:val="21"/>
                      <w:vertAlign w:val="subscript"/>
                    </w:rPr>
                    <w:t>2.5</w:t>
                  </w:r>
                </w:p>
              </w:tc>
              <w:tc>
                <w:tcPr>
                  <w:tcW w:w="2694" w:type="dxa"/>
                  <w:vAlign w:val="center"/>
                </w:tcPr>
                <w:p>
                  <w:pPr>
                    <w:pStyle w:val="66"/>
                    <w:spacing w:line="240" w:lineRule="auto"/>
                    <w:rPr>
                      <w:szCs w:val="21"/>
                    </w:rPr>
                  </w:pPr>
                  <w:r>
                    <w:rPr>
                      <w:szCs w:val="21"/>
                    </w:rPr>
                    <w:t>年平均质量浓度</w:t>
                  </w:r>
                </w:p>
              </w:tc>
              <w:tc>
                <w:tcPr>
                  <w:tcW w:w="1261" w:type="dxa"/>
                  <w:vAlign w:val="center"/>
                </w:tcPr>
                <w:p>
                  <w:pPr>
                    <w:jc w:val="center"/>
                    <w:rPr>
                      <w:spacing w:val="-16"/>
                      <w:szCs w:val="21"/>
                    </w:rPr>
                  </w:pPr>
                  <w:r>
                    <w:rPr>
                      <w:spacing w:val="-16"/>
                      <w:szCs w:val="21"/>
                    </w:rPr>
                    <w:t>25</w:t>
                  </w:r>
                </w:p>
              </w:tc>
              <w:tc>
                <w:tcPr>
                  <w:tcW w:w="1134" w:type="dxa"/>
                  <w:vAlign w:val="center"/>
                </w:tcPr>
                <w:p>
                  <w:pPr>
                    <w:jc w:val="center"/>
                    <w:rPr>
                      <w:spacing w:val="-16"/>
                      <w:szCs w:val="21"/>
                    </w:rPr>
                  </w:pPr>
                  <w:r>
                    <w:rPr>
                      <w:spacing w:val="-16"/>
                      <w:szCs w:val="21"/>
                    </w:rPr>
                    <w:t>35</w:t>
                  </w:r>
                </w:p>
              </w:tc>
              <w:tc>
                <w:tcPr>
                  <w:tcW w:w="992" w:type="dxa"/>
                  <w:vAlign w:val="center"/>
                </w:tcPr>
                <w:p>
                  <w:pPr>
                    <w:jc w:val="center"/>
                    <w:rPr>
                      <w:szCs w:val="21"/>
                    </w:rPr>
                  </w:pPr>
                  <w:r>
                    <w:rPr>
                      <w:szCs w:val="21"/>
                    </w:rPr>
                    <w:t>51.4%</w:t>
                  </w:r>
                </w:p>
              </w:tc>
              <w:tc>
                <w:tcPr>
                  <w:tcW w:w="1134" w:type="dxa"/>
                  <w:tcBorders>
                    <w:top w:val="single" w:color="auto" w:sz="2" w:space="0"/>
                    <w:bottom w:val="single" w:color="auto" w:sz="2" w:space="0"/>
                    <w:right w:val="single" w:color="auto" w:sz="12" w:space="0"/>
                  </w:tcBorders>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708" w:type="dxa"/>
                  <w:tcBorders>
                    <w:top w:val="single" w:color="auto" w:sz="2" w:space="0"/>
                    <w:left w:val="single" w:color="auto" w:sz="12" w:space="0"/>
                    <w:bottom w:val="single" w:color="auto" w:sz="2" w:space="0"/>
                  </w:tcBorders>
                  <w:vAlign w:val="center"/>
                </w:tcPr>
                <w:p>
                  <w:pPr>
                    <w:pStyle w:val="66"/>
                    <w:spacing w:line="240" w:lineRule="auto"/>
                    <w:rPr>
                      <w:szCs w:val="21"/>
                    </w:rPr>
                  </w:pPr>
                  <w:r>
                    <w:rPr>
                      <w:szCs w:val="21"/>
                    </w:rPr>
                    <w:t>O</w:t>
                  </w:r>
                  <w:r>
                    <w:rPr>
                      <w:szCs w:val="21"/>
                      <w:vertAlign w:val="subscript"/>
                    </w:rPr>
                    <w:t>3</w:t>
                  </w:r>
                </w:p>
              </w:tc>
              <w:tc>
                <w:tcPr>
                  <w:tcW w:w="2694" w:type="dxa"/>
                  <w:vAlign w:val="center"/>
                </w:tcPr>
                <w:p>
                  <w:pPr>
                    <w:pStyle w:val="66"/>
                    <w:spacing w:line="240" w:lineRule="auto"/>
                    <w:rPr>
                      <w:szCs w:val="21"/>
                    </w:rPr>
                  </w:pPr>
                  <w:r>
                    <w:rPr>
                      <w:szCs w:val="21"/>
                    </w:rPr>
                    <w:t>第90百分位数8小时平均</w:t>
                  </w:r>
                </w:p>
              </w:tc>
              <w:tc>
                <w:tcPr>
                  <w:tcW w:w="1261" w:type="dxa"/>
                  <w:vAlign w:val="center"/>
                </w:tcPr>
                <w:p>
                  <w:pPr>
                    <w:jc w:val="center"/>
                    <w:rPr>
                      <w:spacing w:val="-16"/>
                      <w:szCs w:val="21"/>
                    </w:rPr>
                  </w:pPr>
                  <w:r>
                    <w:rPr>
                      <w:spacing w:val="-16"/>
                      <w:szCs w:val="21"/>
                    </w:rPr>
                    <w:t>142</w:t>
                  </w:r>
                </w:p>
              </w:tc>
              <w:tc>
                <w:tcPr>
                  <w:tcW w:w="1134" w:type="dxa"/>
                  <w:vAlign w:val="center"/>
                </w:tcPr>
                <w:p>
                  <w:pPr>
                    <w:jc w:val="center"/>
                    <w:rPr>
                      <w:spacing w:val="-16"/>
                      <w:szCs w:val="21"/>
                    </w:rPr>
                  </w:pPr>
                  <w:r>
                    <w:rPr>
                      <w:spacing w:val="-16"/>
                      <w:szCs w:val="21"/>
                    </w:rPr>
                    <w:t>160</w:t>
                  </w:r>
                </w:p>
              </w:tc>
              <w:tc>
                <w:tcPr>
                  <w:tcW w:w="992" w:type="dxa"/>
                  <w:vAlign w:val="center"/>
                </w:tcPr>
                <w:p>
                  <w:pPr>
                    <w:jc w:val="center"/>
                    <w:rPr>
                      <w:szCs w:val="21"/>
                    </w:rPr>
                  </w:pPr>
                  <w:r>
                    <w:rPr>
                      <w:szCs w:val="21"/>
                    </w:rPr>
                    <w:t>88.1%</w:t>
                  </w:r>
                </w:p>
              </w:tc>
              <w:tc>
                <w:tcPr>
                  <w:tcW w:w="1134" w:type="dxa"/>
                  <w:tcBorders>
                    <w:top w:val="single" w:color="auto" w:sz="2" w:space="0"/>
                    <w:bottom w:val="single" w:color="auto" w:sz="2" w:space="0"/>
                    <w:right w:val="single" w:color="auto" w:sz="12" w:space="0"/>
                  </w:tcBorders>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708" w:type="dxa"/>
                  <w:tcBorders>
                    <w:top w:val="single" w:color="auto" w:sz="2" w:space="0"/>
                    <w:left w:val="single" w:color="auto" w:sz="12" w:space="0"/>
                    <w:bottom w:val="single" w:color="auto" w:sz="12" w:space="0"/>
                  </w:tcBorders>
                  <w:vAlign w:val="center"/>
                </w:tcPr>
                <w:p>
                  <w:pPr>
                    <w:pStyle w:val="66"/>
                    <w:spacing w:line="240" w:lineRule="auto"/>
                    <w:rPr>
                      <w:szCs w:val="21"/>
                    </w:rPr>
                  </w:pPr>
                  <w:r>
                    <w:rPr>
                      <w:szCs w:val="21"/>
                    </w:rPr>
                    <w:t>CO</w:t>
                  </w:r>
                </w:p>
              </w:tc>
              <w:tc>
                <w:tcPr>
                  <w:tcW w:w="2694" w:type="dxa"/>
                  <w:vAlign w:val="center"/>
                </w:tcPr>
                <w:p>
                  <w:pPr>
                    <w:pStyle w:val="66"/>
                    <w:spacing w:line="240" w:lineRule="auto"/>
                    <w:rPr>
                      <w:szCs w:val="21"/>
                    </w:rPr>
                  </w:pPr>
                  <w:r>
                    <w:rPr>
                      <w:szCs w:val="21"/>
                    </w:rPr>
                    <w:t>第95百分位数日平均</w:t>
                  </w:r>
                </w:p>
              </w:tc>
              <w:tc>
                <w:tcPr>
                  <w:tcW w:w="1261" w:type="dxa"/>
                  <w:vAlign w:val="center"/>
                </w:tcPr>
                <w:p>
                  <w:pPr>
                    <w:jc w:val="center"/>
                    <w:rPr>
                      <w:spacing w:val="-16"/>
                      <w:szCs w:val="21"/>
                    </w:rPr>
                  </w:pPr>
                  <w:r>
                    <w:rPr>
                      <w:spacing w:val="-16"/>
                      <w:szCs w:val="21"/>
                    </w:rPr>
                    <w:t>0.9</w:t>
                  </w:r>
                </w:p>
              </w:tc>
              <w:tc>
                <w:tcPr>
                  <w:tcW w:w="1134" w:type="dxa"/>
                  <w:vAlign w:val="center"/>
                </w:tcPr>
                <w:p>
                  <w:pPr>
                    <w:jc w:val="center"/>
                    <w:rPr>
                      <w:spacing w:val="-16"/>
                      <w:szCs w:val="21"/>
                    </w:rPr>
                  </w:pPr>
                  <w:r>
                    <w:rPr>
                      <w:spacing w:val="-16"/>
                      <w:szCs w:val="21"/>
                    </w:rPr>
                    <w:t>4000</w:t>
                  </w:r>
                </w:p>
              </w:tc>
              <w:tc>
                <w:tcPr>
                  <w:tcW w:w="992" w:type="dxa"/>
                  <w:vAlign w:val="center"/>
                </w:tcPr>
                <w:p>
                  <w:pPr>
                    <w:jc w:val="center"/>
                    <w:rPr>
                      <w:szCs w:val="21"/>
                    </w:rPr>
                  </w:pPr>
                  <w:r>
                    <w:rPr>
                      <w:szCs w:val="21"/>
                    </w:rPr>
                    <w:t>30%</w:t>
                  </w:r>
                </w:p>
              </w:tc>
              <w:tc>
                <w:tcPr>
                  <w:tcW w:w="1134" w:type="dxa"/>
                  <w:tcBorders>
                    <w:top w:val="single" w:color="auto" w:sz="2" w:space="0"/>
                    <w:bottom w:val="single" w:color="auto" w:sz="12" w:space="0"/>
                    <w:right w:val="single" w:color="auto" w:sz="12" w:space="0"/>
                  </w:tcBorders>
                  <w:vAlign w:val="center"/>
                </w:tcPr>
                <w:p>
                  <w:pPr>
                    <w:jc w:val="center"/>
                    <w:rPr>
                      <w:szCs w:val="21"/>
                    </w:rPr>
                  </w:pPr>
                  <w:r>
                    <w:rPr>
                      <w:szCs w:val="21"/>
                    </w:rPr>
                    <w:t>达标</w:t>
                  </w:r>
                </w:p>
              </w:tc>
            </w:tr>
          </w:tbl>
          <w:p>
            <w:pPr>
              <w:spacing w:line="360" w:lineRule="auto"/>
              <w:ind w:firstLine="480" w:firstLineChars="200"/>
              <w:rPr>
                <w:sz w:val="24"/>
              </w:rPr>
            </w:pPr>
            <w:r>
              <w:rPr>
                <w:sz w:val="24"/>
              </w:rPr>
              <w:t>各污染物平均浓度均优于《环境空气质量标准》（GB3095-2012）中二级标准限值，属于达标区。</w:t>
            </w:r>
          </w:p>
          <w:p>
            <w:pPr>
              <w:spacing w:line="360" w:lineRule="auto"/>
              <w:ind w:firstLine="480" w:firstLineChars="200"/>
              <w:rPr>
                <w:sz w:val="24"/>
              </w:rPr>
            </w:pPr>
            <w:r>
              <w:rPr>
                <w:rFonts w:hint="eastAsia"/>
                <w:sz w:val="24"/>
              </w:rPr>
              <w:t>根据《2</w:t>
            </w:r>
            <w:r>
              <w:rPr>
                <w:sz w:val="24"/>
              </w:rPr>
              <w:t>021年</w:t>
            </w:r>
            <w:r>
              <w:rPr>
                <w:rFonts w:hint="eastAsia"/>
                <w:sz w:val="24"/>
              </w:rPr>
              <w:t>巴彦淖尔市环境质量状况公报》，2021年，乌拉山镇二氧化硫年平均浓度为13μg/m³，达标；24小时平均浓度范围为5—41μg/m³，达标。二氧化氮年平均浓度为26μg/m³，达标；24小时平均浓度范围为2—82μg/m³，超标率为0.3%。一氧化碳24小时平均第95百分位数浓度为1.2mg/m³，达标；24小时平均浓度范围为0.2—2.4mg/m³，达标。臭氧日最大8小时滑动平均值的第90百分位数浓度为140μg/m³，达标；24小时平均浓度范围为22—184μg/m³，超标率为3.0%。可吸入颗粒物年平均浓度为59μg/m³，达标；24小时平均浓度范围为18—288μg/m³，超标率为2.5%。细颗粒物年平均浓度为15μg/m³，达标；24小时平均浓度范围为1—173μg/m³，超标率为0.8%。</w:t>
            </w:r>
          </w:p>
          <w:p>
            <w:pPr>
              <w:spacing w:line="360" w:lineRule="auto"/>
              <w:ind w:firstLine="480" w:firstLineChars="200"/>
              <w:rPr>
                <w:snapToGrid w:val="0"/>
              </w:rPr>
            </w:pPr>
            <w:r>
              <w:rPr>
                <w:sz w:val="24"/>
              </w:rPr>
              <w:t>本工程运行期不产生大气等污染物，不会对该区域环境空气质量产生影响，施工期采取洒水、苫盖、拦挡、施工运输车辆减速慢行等措施进行防护，施工结束后施工粉尘也随之消失。</w:t>
            </w:r>
          </w:p>
          <w:p>
            <w:pPr>
              <w:pStyle w:val="44"/>
              <w:spacing w:before="120"/>
              <w:rPr>
                <w:rFonts w:cs="Times New Roman"/>
                <w:color w:val="auto"/>
              </w:rPr>
            </w:pPr>
            <w:r>
              <w:rPr>
                <w:rFonts w:cs="Times New Roman"/>
                <w:color w:val="auto"/>
              </w:rPr>
              <w:t>4 声环境现状</w:t>
            </w:r>
          </w:p>
          <w:p>
            <w:pPr>
              <w:pStyle w:val="24"/>
              <w:ind w:firstLine="482"/>
              <w:rPr>
                <w:rFonts w:cs="Times New Roman"/>
              </w:rPr>
            </w:pPr>
            <w:r>
              <w:rPr>
                <w:rFonts w:cs="Times New Roman"/>
              </w:rPr>
              <w:t>（1）监测因子</w:t>
            </w:r>
          </w:p>
          <w:p>
            <w:pPr>
              <w:shd w:val="clear" w:color="auto" w:fill="FFFFFF"/>
              <w:adjustRightInd w:val="0"/>
              <w:snapToGrid w:val="0"/>
              <w:spacing w:line="360" w:lineRule="auto"/>
              <w:ind w:firstLine="480" w:firstLineChars="200"/>
              <w:rPr>
                <w:kern w:val="0"/>
                <w:sz w:val="24"/>
              </w:rPr>
            </w:pPr>
            <w:r>
              <w:rPr>
                <w:kern w:val="0"/>
                <w:sz w:val="24"/>
              </w:rPr>
              <w:t>等效连续A声级。</w:t>
            </w:r>
          </w:p>
          <w:p>
            <w:pPr>
              <w:pStyle w:val="24"/>
              <w:ind w:firstLine="482"/>
              <w:rPr>
                <w:rFonts w:cs="Times New Roman"/>
              </w:rPr>
            </w:pPr>
            <w:r>
              <w:rPr>
                <w:rFonts w:cs="Times New Roman"/>
              </w:rPr>
              <w:t>（2）监测点位及布点方法</w:t>
            </w:r>
          </w:p>
          <w:p>
            <w:pPr>
              <w:spacing w:line="360" w:lineRule="auto"/>
              <w:ind w:firstLine="480" w:firstLineChars="200"/>
              <w:rPr>
                <w:sz w:val="24"/>
              </w:rPr>
            </w:pPr>
            <w:r>
              <w:rPr>
                <w:rFonts w:hint="eastAsia"/>
                <w:sz w:val="24"/>
              </w:rPr>
              <w:t>在光伏场每个地块四周各布置1个监测点，6个地块共布设24个监测点，在光伏场地块1北侧156m处彩钢房布设1个监测点，在地块2西南侧185m处民房布设1个监测点，在地块5东南侧52m处民房布设1个监测点，布点见附图</w:t>
            </w:r>
            <w:r>
              <w:rPr>
                <w:sz w:val="24"/>
              </w:rPr>
              <w:t>4</w:t>
            </w:r>
            <w:r>
              <w:rPr>
                <w:rFonts w:hint="eastAsia"/>
                <w:sz w:val="24"/>
              </w:rPr>
              <w:t>。</w:t>
            </w:r>
          </w:p>
          <w:p>
            <w:pPr>
              <w:spacing w:line="360" w:lineRule="auto"/>
              <w:ind w:firstLine="480" w:firstLineChars="200"/>
              <w:rPr>
                <w:sz w:val="24"/>
              </w:rPr>
            </w:pPr>
            <w:r>
              <w:rPr>
                <w:rFonts w:hint="eastAsia"/>
                <w:sz w:val="24"/>
              </w:rPr>
              <w:t>在升压站站址四周各布设1个声环境监测点，共布设4个声环境监测点</w:t>
            </w:r>
            <w:r>
              <w:rPr>
                <w:sz w:val="24"/>
              </w:rPr>
              <w:t>。监测布点图见附图5。</w:t>
            </w:r>
          </w:p>
          <w:p>
            <w:pPr>
              <w:pStyle w:val="24"/>
              <w:ind w:firstLine="482"/>
              <w:rPr>
                <w:rFonts w:cs="Times New Roman"/>
              </w:rPr>
            </w:pPr>
            <w:r>
              <w:rPr>
                <w:rFonts w:cs="Times New Roman"/>
              </w:rPr>
              <w:t>（3）监测频次</w:t>
            </w:r>
          </w:p>
          <w:p>
            <w:pPr>
              <w:shd w:val="clear" w:color="auto" w:fill="FFFFFF"/>
              <w:adjustRightInd w:val="0"/>
              <w:snapToGrid w:val="0"/>
              <w:spacing w:line="360" w:lineRule="auto"/>
              <w:ind w:firstLine="480" w:firstLineChars="200"/>
              <w:rPr>
                <w:kern w:val="0"/>
                <w:sz w:val="24"/>
              </w:rPr>
            </w:pPr>
            <w:r>
              <w:rPr>
                <w:kern w:val="0"/>
                <w:sz w:val="24"/>
              </w:rPr>
              <w:t>连续监测1天，昼、夜各监测1次。</w:t>
            </w:r>
          </w:p>
          <w:p>
            <w:pPr>
              <w:pStyle w:val="24"/>
              <w:ind w:firstLine="482"/>
              <w:rPr>
                <w:rFonts w:cs="Times New Roman"/>
              </w:rPr>
            </w:pPr>
            <w:r>
              <w:rPr>
                <w:rFonts w:cs="Times New Roman"/>
              </w:rPr>
              <w:t>（4）监测期间气象条件</w:t>
            </w:r>
          </w:p>
          <w:p>
            <w:pPr>
              <w:pStyle w:val="46"/>
              <w:ind w:firstLine="480"/>
              <w:rPr>
                <w:rFonts w:cs="Times New Roman"/>
              </w:rPr>
            </w:pPr>
            <w:r>
              <w:rPr>
                <w:rFonts w:hint="eastAsia" w:cs="Times New Roman"/>
              </w:rPr>
              <w:t>监测时间：2023年</w:t>
            </w:r>
            <w:r>
              <w:rPr>
                <w:rFonts w:cs="Times New Roman"/>
              </w:rPr>
              <w:t>3</w:t>
            </w:r>
            <w:r>
              <w:rPr>
                <w:rFonts w:hint="eastAsia" w:cs="Times New Roman"/>
              </w:rPr>
              <w:t>月</w:t>
            </w:r>
            <w:r>
              <w:rPr>
                <w:rFonts w:cs="Times New Roman"/>
              </w:rPr>
              <w:t>21</w:t>
            </w:r>
            <w:r>
              <w:rPr>
                <w:rFonts w:hint="eastAsia" w:cs="Times New Roman"/>
              </w:rPr>
              <w:t>日</w:t>
            </w:r>
          </w:p>
          <w:p>
            <w:pPr>
              <w:pStyle w:val="46"/>
              <w:ind w:firstLine="480"/>
              <w:rPr>
                <w:rFonts w:cs="Times New Roman"/>
              </w:rPr>
            </w:pPr>
            <w:r>
              <w:rPr>
                <w:rFonts w:cs="Times New Roman"/>
              </w:rPr>
              <w:t>天气</w:t>
            </w:r>
            <w:r>
              <w:rPr>
                <w:rFonts w:hint="eastAsia" w:cs="Times New Roman"/>
              </w:rPr>
              <w:t>：阴~阴</w:t>
            </w:r>
          </w:p>
          <w:p>
            <w:pPr>
              <w:pStyle w:val="46"/>
              <w:ind w:firstLine="480"/>
              <w:rPr>
                <w:rFonts w:cs="Times New Roman"/>
              </w:rPr>
            </w:pPr>
            <w:r>
              <w:rPr>
                <w:rFonts w:cs="Times New Roman"/>
              </w:rPr>
              <w:t>温度</w:t>
            </w:r>
            <w:r>
              <w:rPr>
                <w:rFonts w:hint="eastAsia" w:cs="Times New Roman"/>
              </w:rPr>
              <w:t>：昼间</w:t>
            </w:r>
            <w:r>
              <w:rPr>
                <w:rFonts w:cs="Times New Roman"/>
              </w:rPr>
              <w:t>6.1~8.7℃</w:t>
            </w:r>
            <w:r>
              <w:rPr>
                <w:rFonts w:hint="eastAsia" w:cs="Times New Roman"/>
              </w:rPr>
              <w:t>，夜间</w:t>
            </w:r>
            <w:r>
              <w:rPr>
                <w:rFonts w:cs="Times New Roman"/>
              </w:rPr>
              <w:t>-2.1~-1.5℃</w:t>
            </w:r>
            <w:r>
              <w:rPr>
                <w:rFonts w:hint="eastAsia" w:cs="Times New Roman"/>
              </w:rPr>
              <w:t>；</w:t>
            </w:r>
          </w:p>
          <w:p>
            <w:pPr>
              <w:pStyle w:val="46"/>
              <w:ind w:firstLine="480"/>
              <w:rPr>
                <w:rFonts w:cs="Times New Roman"/>
              </w:rPr>
            </w:pPr>
            <w:r>
              <w:rPr>
                <w:rFonts w:cs="Times New Roman"/>
              </w:rPr>
              <w:t>相对湿度</w:t>
            </w:r>
            <w:r>
              <w:rPr>
                <w:rFonts w:hint="eastAsia" w:cs="Times New Roman"/>
              </w:rPr>
              <w:t>：昼间</w:t>
            </w:r>
            <w:r>
              <w:rPr>
                <w:rFonts w:cs="Times New Roman"/>
              </w:rPr>
              <w:t>33.1~37.2</w:t>
            </w:r>
            <w:r>
              <w:rPr>
                <w:rFonts w:hint="eastAsia" w:cs="Times New Roman"/>
              </w:rPr>
              <w:t>%，夜间</w:t>
            </w:r>
            <w:r>
              <w:rPr>
                <w:rFonts w:cs="Times New Roman"/>
              </w:rPr>
              <w:t>35.5~40.9</w:t>
            </w:r>
            <w:r>
              <w:rPr>
                <w:rFonts w:hint="eastAsia" w:cs="Times New Roman"/>
              </w:rPr>
              <w:t>%；</w:t>
            </w:r>
          </w:p>
          <w:p>
            <w:pPr>
              <w:pStyle w:val="46"/>
              <w:ind w:firstLine="480"/>
              <w:rPr>
                <w:rFonts w:cs="Times New Roman"/>
              </w:rPr>
            </w:pPr>
            <w:r>
              <w:rPr>
                <w:rFonts w:cs="Times New Roman"/>
              </w:rPr>
              <w:t>风速</w:t>
            </w:r>
            <w:r>
              <w:rPr>
                <w:rFonts w:hint="eastAsia" w:cs="Times New Roman"/>
              </w:rPr>
              <w:t>：昼间</w:t>
            </w:r>
            <w:r>
              <w:rPr>
                <w:rFonts w:cs="Times New Roman"/>
              </w:rPr>
              <w:t>2.1~3.0m/s</w:t>
            </w:r>
            <w:r>
              <w:rPr>
                <w:rFonts w:hint="eastAsia" w:cs="Times New Roman"/>
              </w:rPr>
              <w:t>，夜间</w:t>
            </w:r>
            <w:r>
              <w:rPr>
                <w:rFonts w:cs="Times New Roman"/>
              </w:rPr>
              <w:t>2.2~2.9m/s</w:t>
            </w:r>
            <w:r>
              <w:rPr>
                <w:rFonts w:hint="eastAsia" w:cs="Times New Roman"/>
              </w:rPr>
              <w:t>；</w:t>
            </w:r>
          </w:p>
          <w:p>
            <w:pPr>
              <w:pStyle w:val="46"/>
              <w:ind w:firstLine="480"/>
              <w:rPr>
                <w:rFonts w:cs="Times New Roman"/>
              </w:rPr>
            </w:pPr>
            <w:r>
              <w:rPr>
                <w:rFonts w:cs="Times New Roman"/>
              </w:rPr>
              <w:t>气压</w:t>
            </w:r>
            <w:r>
              <w:rPr>
                <w:rFonts w:hint="eastAsia" w:cs="Times New Roman"/>
              </w:rPr>
              <w:t>：昼间</w:t>
            </w:r>
            <w:r>
              <w:rPr>
                <w:rFonts w:cs="Times New Roman"/>
              </w:rPr>
              <w:t>867.4~872.7kPa，</w:t>
            </w:r>
            <w:r>
              <w:rPr>
                <w:rFonts w:hint="eastAsia" w:cs="Times New Roman"/>
              </w:rPr>
              <w:t>夜间</w:t>
            </w:r>
            <w:r>
              <w:rPr>
                <w:rFonts w:cs="Times New Roman"/>
              </w:rPr>
              <w:t>883.0~884.6kPa</w:t>
            </w:r>
            <w:r>
              <w:rPr>
                <w:rFonts w:hint="eastAsia" w:cs="Times New Roman"/>
              </w:rPr>
              <w:t>；</w:t>
            </w:r>
          </w:p>
          <w:p>
            <w:pPr>
              <w:pStyle w:val="46"/>
              <w:ind w:firstLine="480"/>
              <w:rPr>
                <w:rFonts w:cs="Times New Roman"/>
              </w:rPr>
            </w:pPr>
            <w:r>
              <w:rPr>
                <w:rFonts w:hint="eastAsia" w:cs="Times New Roman"/>
              </w:rPr>
              <w:t>气象条件</w:t>
            </w:r>
            <w:r>
              <w:rPr>
                <w:rFonts w:cs="Times New Roman"/>
              </w:rPr>
              <w:t>符合监测要求。</w:t>
            </w:r>
          </w:p>
          <w:p>
            <w:pPr>
              <w:pStyle w:val="24"/>
              <w:ind w:firstLine="482"/>
              <w:rPr>
                <w:rFonts w:cs="Times New Roman"/>
              </w:rPr>
            </w:pPr>
            <w:r>
              <w:rPr>
                <w:rFonts w:cs="Times New Roman"/>
              </w:rPr>
              <w:t>（5）监测单位</w:t>
            </w:r>
          </w:p>
          <w:p>
            <w:pPr>
              <w:spacing w:line="360" w:lineRule="auto"/>
              <w:ind w:firstLine="480" w:firstLineChars="200"/>
              <w:rPr>
                <w:sz w:val="24"/>
              </w:rPr>
            </w:pPr>
            <w:r>
              <w:rPr>
                <w:rFonts w:hint="eastAsia"/>
                <w:sz w:val="24"/>
              </w:rPr>
              <w:t>内蒙古玮森环境监测有限公司</w:t>
            </w:r>
            <w:r>
              <w:rPr>
                <w:sz w:val="24"/>
              </w:rPr>
              <w:t>。</w:t>
            </w:r>
          </w:p>
          <w:p>
            <w:pPr>
              <w:pStyle w:val="24"/>
              <w:ind w:firstLine="482"/>
              <w:rPr>
                <w:rFonts w:cs="Times New Roman"/>
              </w:rPr>
            </w:pPr>
            <w:r>
              <w:rPr>
                <w:rFonts w:cs="Times New Roman"/>
              </w:rPr>
              <w:t>（6）监测方法</w:t>
            </w:r>
          </w:p>
          <w:p>
            <w:pPr>
              <w:spacing w:line="360" w:lineRule="auto"/>
              <w:ind w:firstLine="480" w:firstLineChars="200"/>
              <w:rPr>
                <w:sz w:val="24"/>
              </w:rPr>
            </w:pPr>
            <w:r>
              <w:rPr>
                <w:sz w:val="24"/>
              </w:rPr>
              <w:t>按《声环境质量标准》（GB3096-2008）的方法进行监测。</w:t>
            </w:r>
          </w:p>
          <w:p>
            <w:pPr>
              <w:pStyle w:val="24"/>
              <w:ind w:firstLine="482"/>
              <w:rPr>
                <w:rFonts w:cs="Times New Roman"/>
              </w:rPr>
            </w:pPr>
            <w:r>
              <w:rPr>
                <w:rFonts w:cs="Times New Roman"/>
              </w:rPr>
              <w:t>（7）监测仪器</w:t>
            </w:r>
          </w:p>
          <w:p>
            <w:pPr>
              <w:pStyle w:val="22"/>
              <w:spacing w:before="240" w:after="120"/>
              <w:rPr>
                <w:kern w:val="0"/>
              </w:rPr>
            </w:pPr>
            <w:r>
              <w:t>表</w:t>
            </w:r>
            <w:r>
              <w:rPr>
                <w:rFonts w:hint="eastAsia"/>
              </w:rPr>
              <w:t>3.</w:t>
            </w:r>
            <w:r>
              <w:t>7                        监测仪器概况</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6"/>
              <w:gridCol w:w="2549"/>
              <w:gridCol w:w="1279"/>
              <w:gridCol w:w="1271"/>
              <w:gridCol w:w="1279"/>
              <w:gridCol w:w="1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trPr>
              <w:tc>
                <w:tcPr>
                  <w:tcW w:w="344" w:type="pct"/>
                  <w:vAlign w:val="center"/>
                </w:tcPr>
                <w:p>
                  <w:pPr>
                    <w:snapToGrid w:val="0"/>
                    <w:spacing w:line="240" w:lineRule="atLeast"/>
                    <w:jc w:val="center"/>
                    <w:rPr>
                      <w:b/>
                      <w:kern w:val="0"/>
                      <w:szCs w:val="21"/>
                    </w:rPr>
                  </w:pPr>
                  <w:r>
                    <w:rPr>
                      <w:b/>
                      <w:kern w:val="0"/>
                    </w:rPr>
                    <w:t>序号</w:t>
                  </w:r>
                </w:p>
              </w:tc>
              <w:tc>
                <w:tcPr>
                  <w:tcW w:w="1579" w:type="pct"/>
                  <w:vAlign w:val="center"/>
                </w:tcPr>
                <w:p>
                  <w:pPr>
                    <w:snapToGrid w:val="0"/>
                    <w:spacing w:line="240" w:lineRule="atLeast"/>
                    <w:jc w:val="center"/>
                    <w:rPr>
                      <w:b/>
                      <w:kern w:val="0"/>
                    </w:rPr>
                  </w:pPr>
                  <w:r>
                    <w:rPr>
                      <w:b/>
                      <w:kern w:val="0"/>
                    </w:rPr>
                    <w:t>监测仪器及管理编号</w:t>
                  </w:r>
                </w:p>
              </w:tc>
              <w:tc>
                <w:tcPr>
                  <w:tcW w:w="792" w:type="pct"/>
                  <w:vAlign w:val="center"/>
                </w:tcPr>
                <w:p>
                  <w:pPr>
                    <w:snapToGrid w:val="0"/>
                    <w:spacing w:line="240" w:lineRule="atLeast"/>
                    <w:jc w:val="center"/>
                    <w:rPr>
                      <w:b/>
                      <w:kern w:val="0"/>
                    </w:rPr>
                  </w:pPr>
                  <w:r>
                    <w:rPr>
                      <w:rFonts w:hint="eastAsia"/>
                      <w:b/>
                      <w:kern w:val="0"/>
                    </w:rPr>
                    <w:t>编号</w:t>
                  </w:r>
                </w:p>
              </w:tc>
              <w:tc>
                <w:tcPr>
                  <w:tcW w:w="787" w:type="pct"/>
                  <w:vAlign w:val="center"/>
                </w:tcPr>
                <w:p>
                  <w:pPr>
                    <w:snapToGrid w:val="0"/>
                    <w:spacing w:line="240" w:lineRule="atLeast"/>
                    <w:jc w:val="center"/>
                    <w:rPr>
                      <w:b/>
                      <w:kern w:val="0"/>
                    </w:rPr>
                  </w:pPr>
                  <w:r>
                    <w:rPr>
                      <w:rFonts w:hint="eastAsia"/>
                      <w:b/>
                      <w:kern w:val="0"/>
                    </w:rPr>
                    <w:t>测量范围</w:t>
                  </w:r>
                  <w:r>
                    <w:rPr>
                      <w:rFonts w:hint="eastAsia"/>
                      <w:sz w:val="22"/>
                      <w:szCs w:val="22"/>
                    </w:rPr>
                    <w:t>dB（A）</w:t>
                  </w:r>
                </w:p>
              </w:tc>
              <w:tc>
                <w:tcPr>
                  <w:tcW w:w="792" w:type="pct"/>
                  <w:vAlign w:val="center"/>
                </w:tcPr>
                <w:p>
                  <w:pPr>
                    <w:snapToGrid w:val="0"/>
                    <w:spacing w:line="240" w:lineRule="atLeast"/>
                    <w:jc w:val="center"/>
                    <w:rPr>
                      <w:b/>
                      <w:kern w:val="0"/>
                    </w:rPr>
                  </w:pPr>
                  <w:r>
                    <w:rPr>
                      <w:b/>
                      <w:kern w:val="0"/>
                    </w:rPr>
                    <w:t>设备检定单位</w:t>
                  </w:r>
                </w:p>
              </w:tc>
              <w:tc>
                <w:tcPr>
                  <w:tcW w:w="705" w:type="pct"/>
                  <w:vAlign w:val="center"/>
                </w:tcPr>
                <w:p>
                  <w:pPr>
                    <w:snapToGrid w:val="0"/>
                    <w:spacing w:line="240" w:lineRule="atLeast"/>
                    <w:jc w:val="center"/>
                    <w:rPr>
                      <w:b/>
                      <w:kern w:val="0"/>
                    </w:rPr>
                  </w:pPr>
                  <w:r>
                    <w:rPr>
                      <w:b/>
                      <w:kern w:val="0"/>
                    </w:rPr>
                    <w:t>有效期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44" w:type="pct"/>
                  <w:vAlign w:val="center"/>
                </w:tcPr>
                <w:p>
                  <w:pPr>
                    <w:snapToGrid w:val="0"/>
                    <w:spacing w:line="240" w:lineRule="atLeast"/>
                    <w:jc w:val="center"/>
                    <w:rPr>
                      <w:kern w:val="0"/>
                    </w:rPr>
                  </w:pPr>
                  <w:r>
                    <w:rPr>
                      <w:kern w:val="0"/>
                    </w:rPr>
                    <w:t>1</w:t>
                  </w:r>
                </w:p>
              </w:tc>
              <w:tc>
                <w:tcPr>
                  <w:tcW w:w="1579" w:type="pct"/>
                  <w:vAlign w:val="center"/>
                </w:tcPr>
                <w:p>
                  <w:pPr>
                    <w:pStyle w:val="62"/>
                    <w:jc w:val="center"/>
                    <w:rPr>
                      <w:color w:val="auto"/>
                    </w:rPr>
                  </w:pPr>
                  <w:r>
                    <w:rPr>
                      <w:rFonts w:hint="eastAsia"/>
                      <w:color w:val="auto"/>
                      <w:sz w:val="22"/>
                      <w:szCs w:val="22"/>
                    </w:rPr>
                    <w:t>多功能声级计</w:t>
                  </w:r>
                  <w:r>
                    <w:rPr>
                      <w:color w:val="auto"/>
                      <w:sz w:val="22"/>
                      <w:szCs w:val="22"/>
                    </w:rPr>
                    <w:t>AWA6228+</w:t>
                  </w:r>
                </w:p>
              </w:tc>
              <w:tc>
                <w:tcPr>
                  <w:tcW w:w="792" w:type="pct"/>
                  <w:vAlign w:val="center"/>
                </w:tcPr>
                <w:p>
                  <w:pPr>
                    <w:pStyle w:val="62"/>
                    <w:jc w:val="center"/>
                    <w:rPr>
                      <w:color w:val="auto"/>
                      <w:sz w:val="22"/>
                      <w:szCs w:val="22"/>
                    </w:rPr>
                  </w:pPr>
                  <w:r>
                    <w:rPr>
                      <w:color w:val="auto"/>
                      <w:sz w:val="22"/>
                      <w:szCs w:val="22"/>
                    </w:rPr>
                    <w:t>WS-YQ-023</w:t>
                  </w:r>
                </w:p>
              </w:tc>
              <w:tc>
                <w:tcPr>
                  <w:tcW w:w="787" w:type="pct"/>
                  <w:vAlign w:val="center"/>
                </w:tcPr>
                <w:p>
                  <w:pPr>
                    <w:pStyle w:val="62"/>
                    <w:jc w:val="center"/>
                    <w:rPr>
                      <w:color w:val="auto"/>
                      <w:sz w:val="22"/>
                      <w:szCs w:val="22"/>
                    </w:rPr>
                  </w:pPr>
                  <w:r>
                    <w:rPr>
                      <w:color w:val="auto"/>
                      <w:sz w:val="22"/>
                      <w:szCs w:val="22"/>
                    </w:rPr>
                    <w:t>25.0</w:t>
                  </w:r>
                  <w:r>
                    <w:rPr>
                      <w:rFonts w:hint="eastAsia" w:hAnsi="宋体"/>
                      <w:color w:val="auto"/>
                      <w:sz w:val="22"/>
                      <w:szCs w:val="22"/>
                    </w:rPr>
                    <w:t>～</w:t>
                  </w:r>
                  <w:r>
                    <w:rPr>
                      <w:rFonts w:hint="eastAsia"/>
                      <w:color w:val="auto"/>
                      <w:sz w:val="22"/>
                      <w:szCs w:val="22"/>
                    </w:rPr>
                    <w:t>130</w:t>
                  </w:r>
                </w:p>
              </w:tc>
              <w:tc>
                <w:tcPr>
                  <w:tcW w:w="792" w:type="pct"/>
                  <w:vMerge w:val="restart"/>
                  <w:vAlign w:val="center"/>
                </w:tcPr>
                <w:p>
                  <w:pPr>
                    <w:pStyle w:val="62"/>
                    <w:jc w:val="center"/>
                    <w:rPr>
                      <w:color w:val="auto"/>
                      <w:sz w:val="22"/>
                      <w:szCs w:val="22"/>
                    </w:rPr>
                  </w:pPr>
                  <w:r>
                    <w:rPr>
                      <w:rFonts w:hint="eastAsia"/>
                      <w:color w:val="auto"/>
                      <w:sz w:val="22"/>
                      <w:szCs w:val="22"/>
                    </w:rPr>
                    <w:t>浙江省计量科学研究院</w:t>
                  </w:r>
                </w:p>
              </w:tc>
              <w:tc>
                <w:tcPr>
                  <w:tcW w:w="705" w:type="pct"/>
                  <w:vAlign w:val="center"/>
                </w:tcPr>
                <w:p>
                  <w:pPr>
                    <w:snapToGrid w:val="0"/>
                    <w:spacing w:line="240" w:lineRule="atLeast"/>
                    <w:jc w:val="center"/>
                    <w:rPr>
                      <w:kern w:val="0"/>
                    </w:rPr>
                  </w:pPr>
                  <w:r>
                    <w:rPr>
                      <w:kern w:val="0"/>
                    </w:rPr>
                    <w:t>2024.2.22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44" w:type="pct"/>
                  <w:vAlign w:val="center"/>
                </w:tcPr>
                <w:p>
                  <w:pPr>
                    <w:snapToGrid w:val="0"/>
                    <w:spacing w:line="240" w:lineRule="atLeast"/>
                    <w:jc w:val="center"/>
                    <w:rPr>
                      <w:kern w:val="0"/>
                    </w:rPr>
                  </w:pPr>
                  <w:r>
                    <w:rPr>
                      <w:rFonts w:hint="eastAsia"/>
                      <w:kern w:val="0"/>
                    </w:rPr>
                    <w:t>2</w:t>
                  </w:r>
                </w:p>
              </w:tc>
              <w:tc>
                <w:tcPr>
                  <w:tcW w:w="1579" w:type="pct"/>
                  <w:vAlign w:val="center"/>
                </w:tcPr>
                <w:p>
                  <w:pPr>
                    <w:pStyle w:val="62"/>
                    <w:jc w:val="center"/>
                    <w:rPr>
                      <w:color w:val="auto"/>
                      <w:sz w:val="22"/>
                      <w:szCs w:val="22"/>
                    </w:rPr>
                  </w:pPr>
                  <w:r>
                    <w:rPr>
                      <w:rFonts w:hint="eastAsia"/>
                      <w:color w:val="auto"/>
                      <w:sz w:val="22"/>
                      <w:szCs w:val="22"/>
                    </w:rPr>
                    <w:t>声级校准器</w:t>
                  </w:r>
                  <w:r>
                    <w:rPr>
                      <w:color w:val="auto"/>
                      <w:sz w:val="22"/>
                      <w:szCs w:val="22"/>
                    </w:rPr>
                    <w:t>AWA6021A</w:t>
                  </w:r>
                </w:p>
              </w:tc>
              <w:tc>
                <w:tcPr>
                  <w:tcW w:w="792" w:type="pct"/>
                  <w:vAlign w:val="center"/>
                </w:tcPr>
                <w:p>
                  <w:pPr>
                    <w:pStyle w:val="62"/>
                    <w:jc w:val="center"/>
                    <w:rPr>
                      <w:color w:val="auto"/>
                      <w:sz w:val="22"/>
                      <w:szCs w:val="22"/>
                    </w:rPr>
                  </w:pPr>
                  <w:r>
                    <w:rPr>
                      <w:color w:val="auto"/>
                      <w:sz w:val="22"/>
                      <w:szCs w:val="22"/>
                    </w:rPr>
                    <w:t>WS-YQ-025</w:t>
                  </w:r>
                </w:p>
              </w:tc>
              <w:tc>
                <w:tcPr>
                  <w:tcW w:w="787" w:type="pct"/>
                  <w:vAlign w:val="center"/>
                </w:tcPr>
                <w:p>
                  <w:pPr>
                    <w:pStyle w:val="62"/>
                    <w:jc w:val="center"/>
                    <w:rPr>
                      <w:color w:val="auto"/>
                      <w:sz w:val="22"/>
                      <w:szCs w:val="22"/>
                    </w:rPr>
                  </w:pPr>
                  <w:r>
                    <w:rPr>
                      <w:rFonts w:hint="eastAsia" w:hAnsi="宋体"/>
                      <w:color w:val="auto"/>
                      <w:sz w:val="22"/>
                      <w:szCs w:val="22"/>
                    </w:rPr>
                    <w:t>—</w:t>
                  </w:r>
                </w:p>
              </w:tc>
              <w:tc>
                <w:tcPr>
                  <w:tcW w:w="792" w:type="pct"/>
                  <w:vMerge w:val="continue"/>
                  <w:vAlign w:val="center"/>
                </w:tcPr>
                <w:p>
                  <w:pPr>
                    <w:pStyle w:val="62"/>
                    <w:jc w:val="center"/>
                    <w:rPr>
                      <w:color w:val="auto"/>
                      <w:sz w:val="22"/>
                      <w:szCs w:val="22"/>
                    </w:rPr>
                  </w:pPr>
                </w:p>
              </w:tc>
              <w:tc>
                <w:tcPr>
                  <w:tcW w:w="705" w:type="pct"/>
                  <w:vAlign w:val="center"/>
                </w:tcPr>
                <w:p>
                  <w:pPr>
                    <w:snapToGrid w:val="0"/>
                    <w:spacing w:line="240" w:lineRule="atLeast"/>
                    <w:jc w:val="center"/>
                    <w:rPr>
                      <w:kern w:val="0"/>
                    </w:rPr>
                  </w:pPr>
                  <w:r>
                    <w:rPr>
                      <w:kern w:val="0"/>
                    </w:rPr>
                    <w:t>2024.2.22</w:t>
                  </w:r>
                </w:p>
              </w:tc>
            </w:tr>
          </w:tbl>
          <w:p>
            <w:pPr>
              <w:pStyle w:val="24"/>
              <w:ind w:firstLine="482"/>
              <w:rPr>
                <w:rFonts w:cs="Times New Roman"/>
              </w:rPr>
            </w:pPr>
            <w:r>
              <w:rPr>
                <w:rFonts w:cs="Times New Roman"/>
              </w:rPr>
              <w:t>（8）监测结果及声环境现状评价</w:t>
            </w:r>
          </w:p>
          <w:p>
            <w:pPr>
              <w:adjustRightInd w:val="0"/>
              <w:snapToGrid w:val="0"/>
              <w:spacing w:line="360" w:lineRule="auto"/>
              <w:ind w:firstLine="480" w:firstLineChars="200"/>
              <w:rPr>
                <w:sz w:val="24"/>
              </w:rPr>
            </w:pPr>
            <w:r>
              <w:rPr>
                <w:sz w:val="24"/>
              </w:rPr>
              <w:t>声环境监测点位和监测结果见表3.8。</w:t>
            </w:r>
          </w:p>
          <w:p>
            <w:pPr>
              <w:pStyle w:val="22"/>
              <w:spacing w:before="240" w:after="120"/>
            </w:pPr>
            <w:r>
              <w:t>表3</w:t>
            </w:r>
            <w:r>
              <w:rPr>
                <w:rFonts w:hint="eastAsia"/>
              </w:rPr>
              <w:t>.</w:t>
            </w:r>
            <w:r>
              <w:t>8                       监测点位及监测结果</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3"/>
              <w:gridCol w:w="1868"/>
              <w:gridCol w:w="1516"/>
              <w:gridCol w:w="1379"/>
              <w:gridCol w:w="1275"/>
              <w:gridCol w:w="1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1710" w:type="pct"/>
                  <w:gridSpan w:val="2"/>
                  <w:vMerge w:val="restart"/>
                  <w:vAlign w:val="center"/>
                </w:tcPr>
                <w:p>
                  <w:pPr>
                    <w:adjustRightInd w:val="0"/>
                    <w:snapToGrid w:val="0"/>
                    <w:spacing w:line="240" w:lineRule="atLeast"/>
                    <w:jc w:val="center"/>
                    <w:rPr>
                      <w:b/>
                      <w:szCs w:val="21"/>
                    </w:rPr>
                  </w:pPr>
                  <w:r>
                    <w:rPr>
                      <w:b/>
                      <w:szCs w:val="21"/>
                    </w:rPr>
                    <w:t>检测点位</w:t>
                  </w:r>
                </w:p>
              </w:tc>
              <w:tc>
                <w:tcPr>
                  <w:tcW w:w="1793" w:type="pct"/>
                  <w:gridSpan w:val="2"/>
                </w:tcPr>
                <w:p>
                  <w:pPr>
                    <w:adjustRightInd w:val="0"/>
                    <w:snapToGrid w:val="0"/>
                    <w:spacing w:line="240" w:lineRule="atLeast"/>
                    <w:jc w:val="center"/>
                    <w:rPr>
                      <w:b/>
                      <w:szCs w:val="21"/>
                    </w:rPr>
                  </w:pPr>
                  <w:r>
                    <w:rPr>
                      <w:b/>
                      <w:szCs w:val="21"/>
                    </w:rPr>
                    <w:t>坐标</w:t>
                  </w:r>
                </w:p>
              </w:tc>
              <w:tc>
                <w:tcPr>
                  <w:tcW w:w="1497" w:type="pct"/>
                  <w:gridSpan w:val="2"/>
                  <w:vAlign w:val="center"/>
                </w:tcPr>
                <w:p>
                  <w:pPr>
                    <w:adjustRightInd w:val="0"/>
                    <w:snapToGrid w:val="0"/>
                    <w:spacing w:line="240" w:lineRule="atLeast"/>
                    <w:jc w:val="center"/>
                    <w:rPr>
                      <w:b/>
                      <w:szCs w:val="21"/>
                    </w:rPr>
                  </w:pPr>
                  <w:r>
                    <w:rPr>
                      <w:b/>
                      <w:szCs w:val="21"/>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1710" w:type="pct"/>
                  <w:gridSpan w:val="2"/>
                  <w:vMerge w:val="continue"/>
                  <w:vAlign w:val="center"/>
                </w:tcPr>
                <w:p>
                  <w:pPr>
                    <w:widowControl/>
                    <w:jc w:val="left"/>
                    <w:rPr>
                      <w:szCs w:val="21"/>
                    </w:rPr>
                  </w:pPr>
                </w:p>
              </w:tc>
              <w:tc>
                <w:tcPr>
                  <w:tcW w:w="939" w:type="pct"/>
                  <w:vAlign w:val="center"/>
                </w:tcPr>
                <w:p>
                  <w:pPr>
                    <w:adjustRightInd w:val="0"/>
                    <w:snapToGrid w:val="0"/>
                    <w:spacing w:line="240" w:lineRule="atLeast"/>
                    <w:jc w:val="center"/>
                    <w:rPr>
                      <w:szCs w:val="21"/>
                    </w:rPr>
                  </w:pPr>
                  <w:r>
                    <w:rPr>
                      <w:szCs w:val="21"/>
                    </w:rPr>
                    <w:t>经度</w:t>
                  </w:r>
                </w:p>
              </w:tc>
              <w:tc>
                <w:tcPr>
                  <w:tcW w:w="854" w:type="pct"/>
                  <w:vAlign w:val="center"/>
                </w:tcPr>
                <w:p>
                  <w:pPr>
                    <w:adjustRightInd w:val="0"/>
                    <w:snapToGrid w:val="0"/>
                    <w:spacing w:line="240" w:lineRule="atLeast"/>
                    <w:jc w:val="center"/>
                    <w:rPr>
                      <w:szCs w:val="21"/>
                    </w:rPr>
                  </w:pPr>
                  <w:r>
                    <w:rPr>
                      <w:szCs w:val="21"/>
                    </w:rPr>
                    <w:t>纬度</w:t>
                  </w:r>
                </w:p>
              </w:tc>
              <w:tc>
                <w:tcPr>
                  <w:tcW w:w="790" w:type="pct"/>
                  <w:vAlign w:val="center"/>
                </w:tcPr>
                <w:p>
                  <w:pPr>
                    <w:adjustRightInd w:val="0"/>
                    <w:snapToGrid w:val="0"/>
                    <w:spacing w:line="240" w:lineRule="atLeast"/>
                    <w:jc w:val="center"/>
                    <w:rPr>
                      <w:szCs w:val="21"/>
                    </w:rPr>
                  </w:pPr>
                  <w:r>
                    <w:rPr>
                      <w:szCs w:val="21"/>
                    </w:rPr>
                    <w:t>昼间（dB）</w:t>
                  </w:r>
                </w:p>
              </w:tc>
              <w:tc>
                <w:tcPr>
                  <w:tcW w:w="707" w:type="pct"/>
                  <w:vAlign w:val="center"/>
                </w:tcPr>
                <w:p>
                  <w:pPr>
                    <w:adjustRightInd w:val="0"/>
                    <w:snapToGrid w:val="0"/>
                    <w:spacing w:line="240" w:lineRule="atLeast"/>
                    <w:jc w:val="center"/>
                    <w:rPr>
                      <w:szCs w:val="21"/>
                    </w:rPr>
                  </w:pPr>
                  <w:r>
                    <w:rPr>
                      <w:szCs w:val="21"/>
                    </w:rPr>
                    <w:t>夜间（dB)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adjustRightInd w:val="0"/>
                    <w:snapToGrid w:val="0"/>
                    <w:spacing w:line="240" w:lineRule="atLeast"/>
                    <w:jc w:val="center"/>
                    <w:rPr>
                      <w:szCs w:val="21"/>
                    </w:rPr>
                  </w:pPr>
                  <w:r>
                    <w:rPr>
                      <w:szCs w:val="21"/>
                    </w:rPr>
                    <w:t>升压站</w:t>
                  </w:r>
                </w:p>
              </w:tc>
              <w:tc>
                <w:tcPr>
                  <w:tcW w:w="1157" w:type="pct"/>
                  <w:vAlign w:val="center"/>
                </w:tcPr>
                <w:p>
                  <w:pPr>
                    <w:widowControl/>
                    <w:snapToGrid w:val="0"/>
                    <w:spacing w:line="240" w:lineRule="atLeast"/>
                    <w:jc w:val="center"/>
                    <w:rPr>
                      <w:kern w:val="0"/>
                      <w:szCs w:val="21"/>
                    </w:rPr>
                  </w:pPr>
                  <w:r>
                    <w:rPr>
                      <w:szCs w:val="21"/>
                    </w:rPr>
                    <w:t>站界北侧监测点</w:t>
                  </w:r>
                </w:p>
              </w:tc>
              <w:tc>
                <w:tcPr>
                  <w:tcW w:w="939" w:type="pct"/>
                  <w:vAlign w:val="center"/>
                </w:tcPr>
                <w:p>
                  <w:pPr>
                    <w:adjustRightInd w:val="0"/>
                    <w:snapToGrid w:val="0"/>
                    <w:spacing w:line="240" w:lineRule="atLeast"/>
                    <w:jc w:val="center"/>
                    <w:rPr>
                      <w:szCs w:val="21"/>
                    </w:rPr>
                  </w:pPr>
                  <w:r>
                    <w:rPr>
                      <w:szCs w:val="21"/>
                    </w:rPr>
                    <w:t>109°03'48.80"</w:t>
                  </w:r>
                </w:p>
              </w:tc>
              <w:tc>
                <w:tcPr>
                  <w:tcW w:w="854" w:type="pct"/>
                  <w:vAlign w:val="center"/>
                </w:tcPr>
                <w:p>
                  <w:pPr>
                    <w:adjustRightInd w:val="0"/>
                    <w:snapToGrid w:val="0"/>
                    <w:spacing w:line="240" w:lineRule="atLeast"/>
                    <w:jc w:val="center"/>
                    <w:rPr>
                      <w:szCs w:val="21"/>
                    </w:rPr>
                  </w:pPr>
                  <w:r>
                    <w:rPr>
                      <w:szCs w:val="21"/>
                    </w:rPr>
                    <w:t>40°48'46.43"</w:t>
                  </w:r>
                </w:p>
              </w:tc>
              <w:tc>
                <w:tcPr>
                  <w:tcW w:w="790" w:type="pct"/>
                  <w:vAlign w:val="center"/>
                </w:tcPr>
                <w:p>
                  <w:pPr>
                    <w:jc w:val="center"/>
                    <w:rPr>
                      <w:szCs w:val="21"/>
                    </w:rPr>
                  </w:pPr>
                  <w:r>
                    <w:rPr>
                      <w:szCs w:val="21"/>
                    </w:rPr>
                    <w:t>35.4</w:t>
                  </w:r>
                </w:p>
              </w:tc>
              <w:tc>
                <w:tcPr>
                  <w:tcW w:w="707" w:type="pct"/>
                  <w:vAlign w:val="center"/>
                </w:tcPr>
                <w:p>
                  <w:pPr>
                    <w:jc w:val="center"/>
                    <w:rPr>
                      <w:szCs w:val="21"/>
                    </w:rPr>
                  </w:pPr>
                  <w:r>
                    <w:rPr>
                      <w:szCs w:val="21"/>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站界东侧监测点</w:t>
                  </w:r>
                </w:p>
              </w:tc>
              <w:tc>
                <w:tcPr>
                  <w:tcW w:w="939" w:type="pct"/>
                  <w:vAlign w:val="center"/>
                </w:tcPr>
                <w:p>
                  <w:pPr>
                    <w:adjustRightInd w:val="0"/>
                    <w:snapToGrid w:val="0"/>
                    <w:spacing w:line="240" w:lineRule="atLeast"/>
                    <w:jc w:val="center"/>
                    <w:rPr>
                      <w:szCs w:val="21"/>
                    </w:rPr>
                  </w:pPr>
                  <w:r>
                    <w:rPr>
                      <w:szCs w:val="21"/>
                    </w:rPr>
                    <w:t>109°03'50.64"</w:t>
                  </w:r>
                </w:p>
              </w:tc>
              <w:tc>
                <w:tcPr>
                  <w:tcW w:w="854" w:type="pct"/>
                  <w:vAlign w:val="center"/>
                </w:tcPr>
                <w:p>
                  <w:pPr>
                    <w:adjustRightInd w:val="0"/>
                    <w:snapToGrid w:val="0"/>
                    <w:spacing w:line="240" w:lineRule="atLeast"/>
                    <w:jc w:val="center"/>
                    <w:rPr>
                      <w:szCs w:val="21"/>
                    </w:rPr>
                  </w:pPr>
                  <w:r>
                    <w:rPr>
                      <w:szCs w:val="21"/>
                    </w:rPr>
                    <w:t>40°48'43.71"</w:t>
                  </w:r>
                </w:p>
              </w:tc>
              <w:tc>
                <w:tcPr>
                  <w:tcW w:w="790" w:type="pct"/>
                  <w:vAlign w:val="center"/>
                </w:tcPr>
                <w:p>
                  <w:pPr>
                    <w:jc w:val="center"/>
                    <w:rPr>
                      <w:szCs w:val="21"/>
                    </w:rPr>
                  </w:pPr>
                  <w:r>
                    <w:rPr>
                      <w:szCs w:val="21"/>
                    </w:rPr>
                    <w:t>35.4</w:t>
                  </w:r>
                </w:p>
              </w:tc>
              <w:tc>
                <w:tcPr>
                  <w:tcW w:w="707" w:type="pct"/>
                  <w:vAlign w:val="center"/>
                </w:tcPr>
                <w:p>
                  <w:pPr>
                    <w:jc w:val="center"/>
                    <w:rPr>
                      <w:szCs w:val="21"/>
                    </w:rPr>
                  </w:pPr>
                  <w:r>
                    <w:rPr>
                      <w:szCs w:val="21"/>
                    </w:rPr>
                    <w:t>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站界南侧监测点</w:t>
                  </w:r>
                </w:p>
              </w:tc>
              <w:tc>
                <w:tcPr>
                  <w:tcW w:w="939" w:type="pct"/>
                  <w:vAlign w:val="center"/>
                </w:tcPr>
                <w:p>
                  <w:pPr>
                    <w:adjustRightInd w:val="0"/>
                    <w:snapToGrid w:val="0"/>
                    <w:spacing w:line="240" w:lineRule="atLeast"/>
                    <w:jc w:val="center"/>
                    <w:rPr>
                      <w:szCs w:val="21"/>
                    </w:rPr>
                  </w:pPr>
                  <w:r>
                    <w:rPr>
                      <w:szCs w:val="21"/>
                    </w:rPr>
                    <w:t>109°03'49.10"</w:t>
                  </w:r>
                </w:p>
              </w:tc>
              <w:tc>
                <w:tcPr>
                  <w:tcW w:w="854" w:type="pct"/>
                  <w:vAlign w:val="center"/>
                </w:tcPr>
                <w:p>
                  <w:pPr>
                    <w:adjustRightInd w:val="0"/>
                    <w:snapToGrid w:val="0"/>
                    <w:spacing w:line="240" w:lineRule="atLeast"/>
                    <w:jc w:val="center"/>
                    <w:rPr>
                      <w:szCs w:val="21"/>
                    </w:rPr>
                  </w:pPr>
                  <w:r>
                    <w:rPr>
                      <w:szCs w:val="21"/>
                    </w:rPr>
                    <w:t>40°48'40.61"</w:t>
                  </w:r>
                </w:p>
              </w:tc>
              <w:tc>
                <w:tcPr>
                  <w:tcW w:w="790" w:type="pct"/>
                  <w:vAlign w:val="center"/>
                </w:tcPr>
                <w:p>
                  <w:pPr>
                    <w:jc w:val="center"/>
                    <w:rPr>
                      <w:szCs w:val="21"/>
                    </w:rPr>
                  </w:pPr>
                  <w:r>
                    <w:rPr>
                      <w:szCs w:val="21"/>
                    </w:rPr>
                    <w:t>35.4</w:t>
                  </w:r>
                </w:p>
              </w:tc>
              <w:tc>
                <w:tcPr>
                  <w:tcW w:w="707" w:type="pct"/>
                  <w:vAlign w:val="center"/>
                </w:tcPr>
                <w:p>
                  <w:pPr>
                    <w:jc w:val="center"/>
                    <w:rPr>
                      <w:szCs w:val="21"/>
                    </w:rPr>
                  </w:pPr>
                  <w:r>
                    <w:rPr>
                      <w:szCs w:val="21"/>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站界西侧监测点</w:t>
                  </w:r>
                </w:p>
              </w:tc>
              <w:tc>
                <w:tcPr>
                  <w:tcW w:w="939" w:type="pct"/>
                  <w:vAlign w:val="center"/>
                </w:tcPr>
                <w:p>
                  <w:pPr>
                    <w:adjustRightInd w:val="0"/>
                    <w:snapToGrid w:val="0"/>
                    <w:spacing w:line="240" w:lineRule="atLeast"/>
                    <w:jc w:val="center"/>
                    <w:rPr>
                      <w:szCs w:val="21"/>
                    </w:rPr>
                  </w:pPr>
                  <w:r>
                    <w:rPr>
                      <w:szCs w:val="21"/>
                    </w:rPr>
                    <w:t>109°03'46.83"</w:t>
                  </w:r>
                </w:p>
              </w:tc>
              <w:tc>
                <w:tcPr>
                  <w:tcW w:w="854" w:type="pct"/>
                  <w:vAlign w:val="center"/>
                </w:tcPr>
                <w:p>
                  <w:pPr>
                    <w:adjustRightInd w:val="0"/>
                    <w:snapToGrid w:val="0"/>
                    <w:spacing w:line="240" w:lineRule="atLeast"/>
                    <w:jc w:val="center"/>
                    <w:rPr>
                      <w:szCs w:val="21"/>
                    </w:rPr>
                  </w:pPr>
                  <w:r>
                    <w:rPr>
                      <w:szCs w:val="21"/>
                    </w:rPr>
                    <w:t>40°48'43.18"</w:t>
                  </w:r>
                </w:p>
              </w:tc>
              <w:tc>
                <w:tcPr>
                  <w:tcW w:w="790" w:type="pct"/>
                  <w:vAlign w:val="center"/>
                </w:tcPr>
                <w:p>
                  <w:pPr>
                    <w:jc w:val="center"/>
                    <w:rPr>
                      <w:szCs w:val="21"/>
                    </w:rPr>
                  </w:pPr>
                  <w:r>
                    <w:rPr>
                      <w:szCs w:val="21"/>
                    </w:rPr>
                    <w:t>36.4</w:t>
                  </w:r>
                </w:p>
              </w:tc>
              <w:tc>
                <w:tcPr>
                  <w:tcW w:w="707" w:type="pct"/>
                  <w:vAlign w:val="center"/>
                </w:tcPr>
                <w:p>
                  <w:pPr>
                    <w:jc w:val="center"/>
                    <w:rPr>
                      <w:szCs w:val="21"/>
                    </w:rPr>
                  </w:pPr>
                  <w:r>
                    <w:rPr>
                      <w:szCs w:val="21"/>
                    </w:rPr>
                    <w:t>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adjustRightInd w:val="0"/>
                    <w:snapToGrid w:val="0"/>
                    <w:spacing w:line="240" w:lineRule="atLeast"/>
                    <w:jc w:val="center"/>
                    <w:rPr>
                      <w:szCs w:val="21"/>
                    </w:rPr>
                  </w:pPr>
                  <w:r>
                    <w:rPr>
                      <w:szCs w:val="21"/>
                    </w:rPr>
                    <w:t>光伏场地块1</w:t>
                  </w:r>
                </w:p>
              </w:tc>
              <w:tc>
                <w:tcPr>
                  <w:tcW w:w="1157" w:type="pct"/>
                  <w:vAlign w:val="center"/>
                </w:tcPr>
                <w:p>
                  <w:pPr>
                    <w:widowControl/>
                    <w:snapToGrid w:val="0"/>
                    <w:spacing w:line="240" w:lineRule="atLeast"/>
                    <w:jc w:val="center"/>
                    <w:rPr>
                      <w:kern w:val="0"/>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109°05'13.66"</w:t>
                  </w:r>
                </w:p>
              </w:tc>
              <w:tc>
                <w:tcPr>
                  <w:tcW w:w="854" w:type="pct"/>
                  <w:vAlign w:val="center"/>
                </w:tcPr>
                <w:p>
                  <w:pPr>
                    <w:adjustRightInd w:val="0"/>
                    <w:snapToGrid w:val="0"/>
                    <w:spacing w:line="240" w:lineRule="atLeast"/>
                    <w:jc w:val="center"/>
                    <w:rPr>
                      <w:szCs w:val="21"/>
                    </w:rPr>
                  </w:pPr>
                  <w:r>
                    <w:rPr>
                      <w:szCs w:val="21"/>
                    </w:rPr>
                    <w:t>40°47'26.48"</w:t>
                  </w:r>
                </w:p>
              </w:tc>
              <w:tc>
                <w:tcPr>
                  <w:tcW w:w="790" w:type="pct"/>
                  <w:vAlign w:val="center"/>
                </w:tcPr>
                <w:p>
                  <w:pPr>
                    <w:jc w:val="center"/>
                    <w:rPr>
                      <w:szCs w:val="21"/>
                    </w:rPr>
                  </w:pPr>
                  <w:r>
                    <w:rPr>
                      <w:szCs w:val="21"/>
                    </w:rPr>
                    <w:t>36.6</w:t>
                  </w:r>
                </w:p>
              </w:tc>
              <w:tc>
                <w:tcPr>
                  <w:tcW w:w="707" w:type="pct"/>
                  <w:vAlign w:val="center"/>
                </w:tcPr>
                <w:p>
                  <w:pPr>
                    <w:jc w:val="center"/>
                    <w:rPr>
                      <w:szCs w:val="21"/>
                    </w:rPr>
                  </w:pPr>
                  <w:r>
                    <w:rPr>
                      <w:szCs w:val="21"/>
                    </w:rPr>
                    <w:t>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109°04'57.42"</w:t>
                  </w:r>
                </w:p>
              </w:tc>
              <w:tc>
                <w:tcPr>
                  <w:tcW w:w="854" w:type="pct"/>
                  <w:vAlign w:val="center"/>
                </w:tcPr>
                <w:p>
                  <w:pPr>
                    <w:adjustRightInd w:val="0"/>
                    <w:snapToGrid w:val="0"/>
                    <w:spacing w:line="240" w:lineRule="atLeast"/>
                    <w:jc w:val="center"/>
                    <w:rPr>
                      <w:szCs w:val="21"/>
                    </w:rPr>
                  </w:pPr>
                  <w:r>
                    <w:rPr>
                      <w:szCs w:val="21"/>
                    </w:rPr>
                    <w:t>40°47'21.92"</w:t>
                  </w:r>
                </w:p>
              </w:tc>
              <w:tc>
                <w:tcPr>
                  <w:tcW w:w="790" w:type="pct"/>
                  <w:vAlign w:val="center"/>
                </w:tcPr>
                <w:p>
                  <w:pPr>
                    <w:jc w:val="center"/>
                    <w:rPr>
                      <w:szCs w:val="21"/>
                    </w:rPr>
                  </w:pPr>
                  <w:r>
                    <w:rPr>
                      <w:szCs w:val="21"/>
                    </w:rPr>
                    <w:t>36.5</w:t>
                  </w:r>
                </w:p>
              </w:tc>
              <w:tc>
                <w:tcPr>
                  <w:tcW w:w="707" w:type="pct"/>
                  <w:vAlign w:val="center"/>
                </w:tcPr>
                <w:p>
                  <w:pPr>
                    <w:jc w:val="center"/>
                    <w:rPr>
                      <w:szCs w:val="21"/>
                    </w:rPr>
                  </w:pPr>
                  <w:r>
                    <w:rPr>
                      <w:szCs w:val="21"/>
                    </w:rPr>
                    <w:t>35.8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109°04'41.53"</w:t>
                  </w:r>
                </w:p>
              </w:tc>
              <w:tc>
                <w:tcPr>
                  <w:tcW w:w="854" w:type="pct"/>
                  <w:vAlign w:val="center"/>
                </w:tcPr>
                <w:p>
                  <w:pPr>
                    <w:adjustRightInd w:val="0"/>
                    <w:snapToGrid w:val="0"/>
                    <w:spacing w:line="240" w:lineRule="atLeast"/>
                    <w:jc w:val="center"/>
                    <w:rPr>
                      <w:szCs w:val="21"/>
                    </w:rPr>
                  </w:pPr>
                  <w:r>
                    <w:rPr>
                      <w:szCs w:val="21"/>
                    </w:rPr>
                    <w:t>40°47'25.27"</w:t>
                  </w:r>
                </w:p>
              </w:tc>
              <w:tc>
                <w:tcPr>
                  <w:tcW w:w="790" w:type="pct"/>
                  <w:vAlign w:val="center"/>
                </w:tcPr>
                <w:p>
                  <w:pPr>
                    <w:jc w:val="center"/>
                    <w:rPr>
                      <w:szCs w:val="21"/>
                    </w:rPr>
                  </w:pPr>
                  <w:r>
                    <w:rPr>
                      <w:szCs w:val="21"/>
                    </w:rPr>
                    <w:t>36.4</w:t>
                  </w:r>
                </w:p>
              </w:tc>
              <w:tc>
                <w:tcPr>
                  <w:tcW w:w="707" w:type="pct"/>
                  <w:vAlign w:val="center"/>
                </w:tcPr>
                <w:p>
                  <w:pPr>
                    <w:jc w:val="center"/>
                    <w:rPr>
                      <w:szCs w:val="21"/>
                    </w:rPr>
                  </w:pPr>
                  <w:r>
                    <w:rPr>
                      <w:szCs w:val="21"/>
                    </w:rPr>
                    <w:t>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109°05'02.04"</w:t>
                  </w:r>
                </w:p>
              </w:tc>
              <w:tc>
                <w:tcPr>
                  <w:tcW w:w="854" w:type="pct"/>
                  <w:vAlign w:val="center"/>
                </w:tcPr>
                <w:p>
                  <w:pPr>
                    <w:adjustRightInd w:val="0"/>
                    <w:snapToGrid w:val="0"/>
                    <w:spacing w:line="240" w:lineRule="atLeast"/>
                    <w:jc w:val="center"/>
                    <w:rPr>
                      <w:szCs w:val="21"/>
                    </w:rPr>
                  </w:pPr>
                  <w:r>
                    <w:rPr>
                      <w:szCs w:val="21"/>
                    </w:rPr>
                    <w:t>40°47'33.36"</w:t>
                  </w:r>
                </w:p>
              </w:tc>
              <w:tc>
                <w:tcPr>
                  <w:tcW w:w="790" w:type="pct"/>
                  <w:vAlign w:val="center"/>
                </w:tcPr>
                <w:p>
                  <w:pPr>
                    <w:jc w:val="center"/>
                    <w:rPr>
                      <w:szCs w:val="21"/>
                    </w:rPr>
                  </w:pPr>
                  <w:r>
                    <w:rPr>
                      <w:szCs w:val="21"/>
                    </w:rPr>
                    <w:t>37.5</w:t>
                  </w:r>
                </w:p>
              </w:tc>
              <w:tc>
                <w:tcPr>
                  <w:tcW w:w="707" w:type="pct"/>
                  <w:vAlign w:val="center"/>
                </w:tcPr>
                <w:p>
                  <w:pPr>
                    <w:jc w:val="center"/>
                    <w:rPr>
                      <w:szCs w:val="21"/>
                    </w:rPr>
                  </w:pPr>
                  <w:r>
                    <w:rPr>
                      <w:szCs w:val="21"/>
                    </w:rPr>
                    <w:t>35.3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北侧156m处彩钢房</w:t>
                  </w:r>
                </w:p>
              </w:tc>
              <w:tc>
                <w:tcPr>
                  <w:tcW w:w="939" w:type="pct"/>
                  <w:vAlign w:val="center"/>
                </w:tcPr>
                <w:p>
                  <w:pPr>
                    <w:adjustRightInd w:val="0"/>
                    <w:snapToGrid w:val="0"/>
                    <w:spacing w:line="240" w:lineRule="atLeast"/>
                    <w:jc w:val="center"/>
                    <w:rPr>
                      <w:szCs w:val="21"/>
                    </w:rPr>
                  </w:pPr>
                  <w:r>
                    <w:rPr>
                      <w:szCs w:val="21"/>
                    </w:rPr>
                    <w:t>109°04'49.36"</w:t>
                  </w:r>
                </w:p>
              </w:tc>
              <w:tc>
                <w:tcPr>
                  <w:tcW w:w="854" w:type="pct"/>
                  <w:vAlign w:val="center"/>
                </w:tcPr>
                <w:p>
                  <w:pPr>
                    <w:adjustRightInd w:val="0"/>
                    <w:snapToGrid w:val="0"/>
                    <w:spacing w:line="240" w:lineRule="atLeast"/>
                    <w:jc w:val="center"/>
                    <w:rPr>
                      <w:szCs w:val="21"/>
                    </w:rPr>
                  </w:pPr>
                  <w:r>
                    <w:rPr>
                      <w:szCs w:val="21"/>
                    </w:rPr>
                    <w:t>40°47'39.39"</w:t>
                  </w:r>
                </w:p>
              </w:tc>
              <w:tc>
                <w:tcPr>
                  <w:tcW w:w="790" w:type="pct"/>
                  <w:vAlign w:val="center"/>
                </w:tcPr>
                <w:p>
                  <w:pPr>
                    <w:jc w:val="center"/>
                    <w:rPr>
                      <w:szCs w:val="21"/>
                    </w:rPr>
                  </w:pPr>
                  <w:r>
                    <w:rPr>
                      <w:szCs w:val="21"/>
                    </w:rPr>
                    <w:t>37.6</w:t>
                  </w:r>
                </w:p>
              </w:tc>
              <w:tc>
                <w:tcPr>
                  <w:tcW w:w="707" w:type="pct"/>
                  <w:vAlign w:val="center"/>
                </w:tcPr>
                <w:p>
                  <w:pPr>
                    <w:jc w:val="center"/>
                    <w:rPr>
                      <w:szCs w:val="21"/>
                    </w:rPr>
                  </w:pPr>
                  <w:r>
                    <w:rPr>
                      <w:szCs w:val="21"/>
                    </w:rPr>
                    <w:t>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adjustRightInd w:val="0"/>
                    <w:snapToGrid w:val="0"/>
                    <w:spacing w:line="240" w:lineRule="atLeast"/>
                    <w:jc w:val="center"/>
                    <w:rPr>
                      <w:szCs w:val="21"/>
                    </w:rPr>
                  </w:pPr>
                  <w:r>
                    <w:rPr>
                      <w:szCs w:val="21"/>
                    </w:rPr>
                    <w:t>光伏场地块2</w:t>
                  </w: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109°03'16.42"</w:t>
                  </w:r>
                </w:p>
              </w:tc>
              <w:tc>
                <w:tcPr>
                  <w:tcW w:w="854" w:type="pct"/>
                  <w:vAlign w:val="center"/>
                </w:tcPr>
                <w:p>
                  <w:pPr>
                    <w:adjustRightInd w:val="0"/>
                    <w:snapToGrid w:val="0"/>
                    <w:spacing w:line="240" w:lineRule="atLeast"/>
                    <w:jc w:val="center"/>
                    <w:rPr>
                      <w:szCs w:val="21"/>
                    </w:rPr>
                  </w:pPr>
                  <w:r>
                    <w:rPr>
                      <w:szCs w:val="21"/>
                    </w:rPr>
                    <w:t>40°48'44.76"</w:t>
                  </w:r>
                </w:p>
              </w:tc>
              <w:tc>
                <w:tcPr>
                  <w:tcW w:w="790" w:type="pct"/>
                  <w:vAlign w:val="center"/>
                </w:tcPr>
                <w:p>
                  <w:pPr>
                    <w:jc w:val="center"/>
                    <w:rPr>
                      <w:szCs w:val="21"/>
                    </w:rPr>
                  </w:pPr>
                  <w:r>
                    <w:rPr>
                      <w:szCs w:val="21"/>
                    </w:rPr>
                    <w:t>36.5</w:t>
                  </w:r>
                </w:p>
              </w:tc>
              <w:tc>
                <w:tcPr>
                  <w:tcW w:w="707" w:type="pct"/>
                  <w:vAlign w:val="center"/>
                </w:tcPr>
                <w:p>
                  <w:pPr>
                    <w:jc w:val="center"/>
                    <w:rPr>
                      <w:szCs w:val="21"/>
                    </w:rPr>
                  </w:pPr>
                  <w:r>
                    <w:rPr>
                      <w:szCs w:val="21"/>
                    </w:rPr>
                    <w:t>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109°03'18.92"</w:t>
                  </w:r>
                </w:p>
              </w:tc>
              <w:tc>
                <w:tcPr>
                  <w:tcW w:w="854" w:type="pct"/>
                  <w:vAlign w:val="center"/>
                </w:tcPr>
                <w:p>
                  <w:pPr>
                    <w:adjustRightInd w:val="0"/>
                    <w:snapToGrid w:val="0"/>
                    <w:spacing w:line="240" w:lineRule="atLeast"/>
                    <w:jc w:val="center"/>
                    <w:rPr>
                      <w:szCs w:val="21"/>
                    </w:rPr>
                  </w:pPr>
                  <w:r>
                    <w:rPr>
                      <w:szCs w:val="21"/>
                    </w:rPr>
                    <w:t>40°48'47.64"</w:t>
                  </w:r>
                </w:p>
              </w:tc>
              <w:tc>
                <w:tcPr>
                  <w:tcW w:w="790" w:type="pct"/>
                  <w:vAlign w:val="center"/>
                </w:tcPr>
                <w:p>
                  <w:pPr>
                    <w:jc w:val="center"/>
                    <w:rPr>
                      <w:szCs w:val="21"/>
                    </w:rPr>
                  </w:pPr>
                  <w:r>
                    <w:rPr>
                      <w:szCs w:val="21"/>
                    </w:rPr>
                    <w:t>36.5</w:t>
                  </w:r>
                </w:p>
              </w:tc>
              <w:tc>
                <w:tcPr>
                  <w:tcW w:w="707" w:type="pct"/>
                  <w:vAlign w:val="center"/>
                </w:tcPr>
                <w:p>
                  <w:pPr>
                    <w:jc w:val="center"/>
                    <w:rPr>
                      <w:szCs w:val="21"/>
                    </w:rPr>
                  </w:pPr>
                  <w:r>
                    <w:rPr>
                      <w:szCs w:val="21"/>
                    </w:rPr>
                    <w:t>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109°03'24.35"</w:t>
                  </w:r>
                </w:p>
              </w:tc>
              <w:tc>
                <w:tcPr>
                  <w:tcW w:w="854" w:type="pct"/>
                  <w:vAlign w:val="center"/>
                </w:tcPr>
                <w:p>
                  <w:pPr>
                    <w:adjustRightInd w:val="0"/>
                    <w:snapToGrid w:val="0"/>
                    <w:spacing w:line="240" w:lineRule="atLeast"/>
                    <w:jc w:val="center"/>
                    <w:rPr>
                      <w:szCs w:val="21"/>
                    </w:rPr>
                  </w:pPr>
                  <w:r>
                    <w:rPr>
                      <w:szCs w:val="21"/>
                    </w:rPr>
                    <w:t>40°48'44.16"</w:t>
                  </w:r>
                </w:p>
              </w:tc>
              <w:tc>
                <w:tcPr>
                  <w:tcW w:w="790" w:type="pct"/>
                  <w:vAlign w:val="center"/>
                </w:tcPr>
                <w:p>
                  <w:pPr>
                    <w:jc w:val="center"/>
                    <w:rPr>
                      <w:szCs w:val="21"/>
                    </w:rPr>
                  </w:pPr>
                  <w:r>
                    <w:rPr>
                      <w:szCs w:val="21"/>
                    </w:rPr>
                    <w:t>37.3</w:t>
                  </w:r>
                </w:p>
              </w:tc>
              <w:tc>
                <w:tcPr>
                  <w:tcW w:w="707" w:type="pct"/>
                  <w:vAlign w:val="center"/>
                </w:tcPr>
                <w:p>
                  <w:pPr>
                    <w:jc w:val="center"/>
                    <w:rPr>
                      <w:szCs w:val="21"/>
                    </w:rPr>
                  </w:pPr>
                  <w:r>
                    <w:rPr>
                      <w:szCs w:val="21"/>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109°03'19.92"</w:t>
                  </w:r>
                </w:p>
              </w:tc>
              <w:tc>
                <w:tcPr>
                  <w:tcW w:w="854" w:type="pct"/>
                  <w:vAlign w:val="center"/>
                </w:tcPr>
                <w:p>
                  <w:pPr>
                    <w:adjustRightInd w:val="0"/>
                    <w:snapToGrid w:val="0"/>
                    <w:spacing w:line="240" w:lineRule="atLeast"/>
                    <w:jc w:val="center"/>
                    <w:rPr>
                      <w:szCs w:val="21"/>
                    </w:rPr>
                  </w:pPr>
                  <w:r>
                    <w:rPr>
                      <w:szCs w:val="21"/>
                    </w:rPr>
                    <w:t>40°48'40.73"</w:t>
                  </w:r>
                </w:p>
              </w:tc>
              <w:tc>
                <w:tcPr>
                  <w:tcW w:w="790" w:type="pct"/>
                  <w:vAlign w:val="center"/>
                </w:tcPr>
                <w:p>
                  <w:pPr>
                    <w:jc w:val="center"/>
                    <w:rPr>
                      <w:szCs w:val="21"/>
                    </w:rPr>
                  </w:pPr>
                  <w:r>
                    <w:rPr>
                      <w:szCs w:val="21"/>
                    </w:rPr>
                    <w:t>36.5</w:t>
                  </w:r>
                </w:p>
              </w:tc>
              <w:tc>
                <w:tcPr>
                  <w:tcW w:w="707" w:type="pct"/>
                  <w:vAlign w:val="center"/>
                </w:tcPr>
                <w:p>
                  <w:pPr>
                    <w:jc w:val="center"/>
                    <w:rPr>
                      <w:szCs w:val="21"/>
                    </w:rPr>
                  </w:pPr>
                  <w:r>
                    <w:rPr>
                      <w:szCs w:val="21"/>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西南侧185m处民房</w:t>
                  </w:r>
                </w:p>
              </w:tc>
              <w:tc>
                <w:tcPr>
                  <w:tcW w:w="939" w:type="pct"/>
                  <w:vAlign w:val="center"/>
                </w:tcPr>
                <w:p>
                  <w:pPr>
                    <w:adjustRightInd w:val="0"/>
                    <w:snapToGrid w:val="0"/>
                    <w:spacing w:line="240" w:lineRule="atLeast"/>
                    <w:jc w:val="center"/>
                    <w:rPr>
                      <w:szCs w:val="21"/>
                    </w:rPr>
                  </w:pPr>
                  <w:r>
                    <w:rPr>
                      <w:szCs w:val="21"/>
                    </w:rPr>
                    <w:t>109°03'11.21"</w:t>
                  </w:r>
                </w:p>
              </w:tc>
              <w:tc>
                <w:tcPr>
                  <w:tcW w:w="854" w:type="pct"/>
                  <w:vAlign w:val="center"/>
                </w:tcPr>
                <w:p>
                  <w:pPr>
                    <w:adjustRightInd w:val="0"/>
                    <w:snapToGrid w:val="0"/>
                    <w:spacing w:line="240" w:lineRule="atLeast"/>
                    <w:jc w:val="center"/>
                    <w:rPr>
                      <w:szCs w:val="21"/>
                    </w:rPr>
                  </w:pPr>
                  <w:r>
                    <w:rPr>
                      <w:szCs w:val="21"/>
                    </w:rPr>
                    <w:t>40°48'35.63"</w:t>
                  </w:r>
                </w:p>
              </w:tc>
              <w:tc>
                <w:tcPr>
                  <w:tcW w:w="790" w:type="pct"/>
                  <w:vAlign w:val="center"/>
                </w:tcPr>
                <w:p>
                  <w:pPr>
                    <w:jc w:val="center"/>
                    <w:rPr>
                      <w:szCs w:val="21"/>
                    </w:rPr>
                  </w:pPr>
                  <w:r>
                    <w:rPr>
                      <w:szCs w:val="21"/>
                    </w:rPr>
                    <w:t>37.6</w:t>
                  </w:r>
                </w:p>
              </w:tc>
              <w:tc>
                <w:tcPr>
                  <w:tcW w:w="707" w:type="pct"/>
                  <w:vAlign w:val="center"/>
                </w:tcPr>
                <w:p>
                  <w:pPr>
                    <w:jc w:val="center"/>
                    <w:rPr>
                      <w:szCs w:val="21"/>
                    </w:rPr>
                  </w:pPr>
                  <w:r>
                    <w:rPr>
                      <w:szCs w:val="21"/>
                    </w:rPr>
                    <w:t>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widowControl/>
                    <w:jc w:val="left"/>
                    <w:rPr>
                      <w:szCs w:val="21"/>
                    </w:rPr>
                  </w:pPr>
                  <w:r>
                    <w:rPr>
                      <w:szCs w:val="21"/>
                    </w:rPr>
                    <w:t>光伏场地块3</w:t>
                  </w:r>
                </w:p>
              </w:tc>
              <w:tc>
                <w:tcPr>
                  <w:tcW w:w="1157" w:type="pct"/>
                  <w:vAlign w:val="center"/>
                </w:tcPr>
                <w:p>
                  <w:pPr>
                    <w:snapToGrid w:val="0"/>
                    <w:spacing w:line="240" w:lineRule="atLeast"/>
                    <w:jc w:val="center"/>
                    <w:rPr>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109°03'50.85"</w:t>
                  </w:r>
                </w:p>
              </w:tc>
              <w:tc>
                <w:tcPr>
                  <w:tcW w:w="854" w:type="pct"/>
                  <w:vAlign w:val="center"/>
                </w:tcPr>
                <w:p>
                  <w:pPr>
                    <w:adjustRightInd w:val="0"/>
                    <w:snapToGrid w:val="0"/>
                    <w:spacing w:line="240" w:lineRule="atLeast"/>
                    <w:jc w:val="center"/>
                    <w:rPr>
                      <w:szCs w:val="21"/>
                    </w:rPr>
                  </w:pPr>
                  <w:r>
                    <w:rPr>
                      <w:szCs w:val="21"/>
                    </w:rPr>
                    <w:t>40°48'56.79"</w:t>
                  </w:r>
                </w:p>
              </w:tc>
              <w:tc>
                <w:tcPr>
                  <w:tcW w:w="790" w:type="pct"/>
                  <w:vAlign w:val="center"/>
                </w:tcPr>
                <w:p>
                  <w:pPr>
                    <w:jc w:val="center"/>
                    <w:rPr>
                      <w:szCs w:val="21"/>
                    </w:rPr>
                  </w:pPr>
                  <w:r>
                    <w:rPr>
                      <w:szCs w:val="21"/>
                    </w:rPr>
                    <w:t>35.5</w:t>
                  </w:r>
                </w:p>
              </w:tc>
              <w:tc>
                <w:tcPr>
                  <w:tcW w:w="707" w:type="pct"/>
                  <w:vAlign w:val="center"/>
                </w:tcPr>
                <w:p>
                  <w:pPr>
                    <w:jc w:val="center"/>
                    <w:rPr>
                      <w:szCs w:val="21"/>
                    </w:rPr>
                  </w:pPr>
                  <w:r>
                    <w:rPr>
                      <w:szCs w:val="21"/>
                    </w:rPr>
                    <w:t>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109°03'42.84"</w:t>
                  </w:r>
                </w:p>
              </w:tc>
              <w:tc>
                <w:tcPr>
                  <w:tcW w:w="854" w:type="pct"/>
                  <w:vAlign w:val="center"/>
                </w:tcPr>
                <w:p>
                  <w:pPr>
                    <w:adjustRightInd w:val="0"/>
                    <w:snapToGrid w:val="0"/>
                    <w:spacing w:line="240" w:lineRule="atLeast"/>
                    <w:jc w:val="center"/>
                    <w:rPr>
                      <w:szCs w:val="21"/>
                    </w:rPr>
                  </w:pPr>
                  <w:r>
                    <w:rPr>
                      <w:szCs w:val="21"/>
                    </w:rPr>
                    <w:t>40°49'18.47"</w:t>
                  </w:r>
                </w:p>
              </w:tc>
              <w:tc>
                <w:tcPr>
                  <w:tcW w:w="790" w:type="pct"/>
                  <w:vAlign w:val="center"/>
                </w:tcPr>
                <w:p>
                  <w:pPr>
                    <w:jc w:val="center"/>
                    <w:rPr>
                      <w:szCs w:val="21"/>
                    </w:rPr>
                  </w:pPr>
                  <w:r>
                    <w:rPr>
                      <w:szCs w:val="21"/>
                    </w:rPr>
                    <w:t>35.7</w:t>
                  </w:r>
                </w:p>
              </w:tc>
              <w:tc>
                <w:tcPr>
                  <w:tcW w:w="707" w:type="pct"/>
                  <w:vAlign w:val="center"/>
                </w:tcPr>
                <w:p>
                  <w:pPr>
                    <w:jc w:val="center"/>
                    <w:rPr>
                      <w:szCs w:val="21"/>
                    </w:rPr>
                  </w:pPr>
                  <w:r>
                    <w:rPr>
                      <w:szCs w:val="21"/>
                    </w:rPr>
                    <w:t>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109°03'24.95"</w:t>
                  </w:r>
                </w:p>
              </w:tc>
              <w:tc>
                <w:tcPr>
                  <w:tcW w:w="854" w:type="pct"/>
                  <w:vAlign w:val="center"/>
                </w:tcPr>
                <w:p>
                  <w:pPr>
                    <w:adjustRightInd w:val="0"/>
                    <w:snapToGrid w:val="0"/>
                    <w:spacing w:line="240" w:lineRule="atLeast"/>
                    <w:jc w:val="center"/>
                    <w:rPr>
                      <w:szCs w:val="21"/>
                    </w:rPr>
                  </w:pPr>
                  <w:r>
                    <w:rPr>
                      <w:szCs w:val="21"/>
                    </w:rPr>
                    <w:t>40°48'54.55"</w:t>
                  </w:r>
                </w:p>
              </w:tc>
              <w:tc>
                <w:tcPr>
                  <w:tcW w:w="790" w:type="pct"/>
                  <w:vAlign w:val="center"/>
                </w:tcPr>
                <w:p>
                  <w:pPr>
                    <w:jc w:val="center"/>
                    <w:rPr>
                      <w:szCs w:val="21"/>
                    </w:rPr>
                  </w:pPr>
                  <w:r>
                    <w:rPr>
                      <w:szCs w:val="21"/>
                    </w:rPr>
                    <w:t>35.1</w:t>
                  </w:r>
                </w:p>
              </w:tc>
              <w:tc>
                <w:tcPr>
                  <w:tcW w:w="707" w:type="pct"/>
                  <w:vAlign w:val="center"/>
                </w:tcPr>
                <w:p>
                  <w:pPr>
                    <w:jc w:val="center"/>
                    <w:rPr>
                      <w:szCs w:val="21"/>
                    </w:rPr>
                  </w:pPr>
                  <w:r>
                    <w:rPr>
                      <w:szCs w:val="21"/>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109°03'37.74"</w:t>
                  </w:r>
                </w:p>
              </w:tc>
              <w:tc>
                <w:tcPr>
                  <w:tcW w:w="854" w:type="pct"/>
                  <w:vAlign w:val="center"/>
                </w:tcPr>
                <w:p>
                  <w:pPr>
                    <w:adjustRightInd w:val="0"/>
                    <w:snapToGrid w:val="0"/>
                    <w:spacing w:line="240" w:lineRule="atLeast"/>
                    <w:jc w:val="center"/>
                    <w:rPr>
                      <w:szCs w:val="21"/>
                    </w:rPr>
                  </w:pPr>
                  <w:r>
                    <w:rPr>
                      <w:szCs w:val="21"/>
                    </w:rPr>
                    <w:t>40°48'39.73"</w:t>
                  </w:r>
                </w:p>
              </w:tc>
              <w:tc>
                <w:tcPr>
                  <w:tcW w:w="790" w:type="pct"/>
                  <w:vAlign w:val="center"/>
                </w:tcPr>
                <w:p>
                  <w:pPr>
                    <w:jc w:val="center"/>
                    <w:rPr>
                      <w:szCs w:val="21"/>
                    </w:rPr>
                  </w:pPr>
                  <w:r>
                    <w:rPr>
                      <w:szCs w:val="21"/>
                    </w:rPr>
                    <w:t>36.6</w:t>
                  </w:r>
                </w:p>
              </w:tc>
              <w:tc>
                <w:tcPr>
                  <w:tcW w:w="707" w:type="pct"/>
                  <w:vAlign w:val="center"/>
                </w:tcPr>
                <w:p>
                  <w:pPr>
                    <w:jc w:val="center"/>
                    <w:rPr>
                      <w:szCs w:val="21"/>
                    </w:rPr>
                  </w:pPr>
                  <w:r>
                    <w:rPr>
                      <w:szCs w:val="21"/>
                    </w:rPr>
                    <w:t>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widowControl/>
                    <w:jc w:val="left"/>
                    <w:rPr>
                      <w:szCs w:val="21"/>
                    </w:rPr>
                  </w:pPr>
                  <w:r>
                    <w:rPr>
                      <w:szCs w:val="21"/>
                    </w:rPr>
                    <w:t>光伏场地块4</w:t>
                  </w: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109°04'05.97"</w:t>
                  </w:r>
                </w:p>
              </w:tc>
              <w:tc>
                <w:tcPr>
                  <w:tcW w:w="854" w:type="pct"/>
                  <w:vAlign w:val="center"/>
                </w:tcPr>
                <w:p>
                  <w:pPr>
                    <w:adjustRightInd w:val="0"/>
                    <w:snapToGrid w:val="0"/>
                    <w:spacing w:line="240" w:lineRule="atLeast"/>
                    <w:jc w:val="center"/>
                    <w:rPr>
                      <w:szCs w:val="21"/>
                    </w:rPr>
                  </w:pPr>
                  <w:r>
                    <w:rPr>
                      <w:szCs w:val="21"/>
                    </w:rPr>
                    <w:t>40°49'30.05"</w:t>
                  </w:r>
                </w:p>
              </w:tc>
              <w:tc>
                <w:tcPr>
                  <w:tcW w:w="790" w:type="pct"/>
                  <w:vAlign w:val="center"/>
                </w:tcPr>
                <w:p>
                  <w:pPr>
                    <w:jc w:val="center"/>
                    <w:rPr>
                      <w:szCs w:val="21"/>
                    </w:rPr>
                  </w:pPr>
                  <w:r>
                    <w:rPr>
                      <w:szCs w:val="21"/>
                    </w:rPr>
                    <w:t>36.0</w:t>
                  </w:r>
                </w:p>
              </w:tc>
              <w:tc>
                <w:tcPr>
                  <w:tcW w:w="707" w:type="pct"/>
                  <w:vAlign w:val="center"/>
                </w:tcPr>
                <w:p>
                  <w:pPr>
                    <w:jc w:val="center"/>
                    <w:rPr>
                      <w:szCs w:val="21"/>
                    </w:rPr>
                  </w:pPr>
                  <w:r>
                    <w:rPr>
                      <w:szCs w:val="21"/>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109°04'07.54"</w:t>
                  </w:r>
                </w:p>
              </w:tc>
              <w:tc>
                <w:tcPr>
                  <w:tcW w:w="854" w:type="pct"/>
                  <w:vAlign w:val="center"/>
                </w:tcPr>
                <w:p>
                  <w:pPr>
                    <w:adjustRightInd w:val="0"/>
                    <w:snapToGrid w:val="0"/>
                    <w:spacing w:line="240" w:lineRule="atLeast"/>
                    <w:jc w:val="center"/>
                    <w:rPr>
                      <w:szCs w:val="21"/>
                    </w:rPr>
                  </w:pPr>
                  <w:r>
                    <w:rPr>
                      <w:szCs w:val="21"/>
                    </w:rPr>
                    <w:t>40°49'32.37"</w:t>
                  </w:r>
                </w:p>
              </w:tc>
              <w:tc>
                <w:tcPr>
                  <w:tcW w:w="790" w:type="pct"/>
                  <w:vAlign w:val="center"/>
                </w:tcPr>
                <w:p>
                  <w:pPr>
                    <w:jc w:val="center"/>
                    <w:rPr>
                      <w:szCs w:val="21"/>
                    </w:rPr>
                  </w:pPr>
                  <w:r>
                    <w:rPr>
                      <w:szCs w:val="21"/>
                    </w:rPr>
                    <w:t>35.6</w:t>
                  </w:r>
                </w:p>
              </w:tc>
              <w:tc>
                <w:tcPr>
                  <w:tcW w:w="707" w:type="pct"/>
                  <w:vAlign w:val="center"/>
                </w:tcPr>
                <w:p>
                  <w:pPr>
                    <w:jc w:val="center"/>
                    <w:rPr>
                      <w:szCs w:val="21"/>
                    </w:rPr>
                  </w:pPr>
                  <w:r>
                    <w:rPr>
                      <w:szCs w:val="21"/>
                    </w:rPr>
                    <w:t>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109°04'05.43"</w:t>
                  </w:r>
                </w:p>
              </w:tc>
              <w:tc>
                <w:tcPr>
                  <w:tcW w:w="854" w:type="pct"/>
                  <w:vAlign w:val="center"/>
                </w:tcPr>
                <w:p>
                  <w:pPr>
                    <w:adjustRightInd w:val="0"/>
                    <w:snapToGrid w:val="0"/>
                    <w:spacing w:line="240" w:lineRule="atLeast"/>
                    <w:jc w:val="center"/>
                    <w:rPr>
                      <w:szCs w:val="21"/>
                    </w:rPr>
                  </w:pPr>
                  <w:r>
                    <w:rPr>
                      <w:szCs w:val="21"/>
                    </w:rPr>
                    <w:t>40°49'34.37"</w:t>
                  </w:r>
                </w:p>
              </w:tc>
              <w:tc>
                <w:tcPr>
                  <w:tcW w:w="790" w:type="pct"/>
                  <w:vAlign w:val="center"/>
                </w:tcPr>
                <w:p>
                  <w:pPr>
                    <w:jc w:val="center"/>
                    <w:rPr>
                      <w:szCs w:val="21"/>
                    </w:rPr>
                  </w:pPr>
                  <w:r>
                    <w:rPr>
                      <w:szCs w:val="21"/>
                    </w:rPr>
                    <w:t>35.7</w:t>
                  </w:r>
                </w:p>
              </w:tc>
              <w:tc>
                <w:tcPr>
                  <w:tcW w:w="707" w:type="pct"/>
                  <w:vAlign w:val="center"/>
                </w:tcPr>
                <w:p>
                  <w:pPr>
                    <w:jc w:val="center"/>
                    <w:rPr>
                      <w:szCs w:val="21"/>
                    </w:rPr>
                  </w:pPr>
                  <w:r>
                    <w:rPr>
                      <w:szCs w:val="21"/>
                    </w:rPr>
                    <w:t>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109°04'03.85"</w:t>
                  </w:r>
                </w:p>
              </w:tc>
              <w:tc>
                <w:tcPr>
                  <w:tcW w:w="854" w:type="pct"/>
                  <w:vAlign w:val="center"/>
                </w:tcPr>
                <w:p>
                  <w:pPr>
                    <w:adjustRightInd w:val="0"/>
                    <w:snapToGrid w:val="0"/>
                    <w:spacing w:line="240" w:lineRule="atLeast"/>
                    <w:jc w:val="center"/>
                    <w:rPr>
                      <w:szCs w:val="21"/>
                    </w:rPr>
                  </w:pPr>
                  <w:r>
                    <w:rPr>
                      <w:szCs w:val="21"/>
                    </w:rPr>
                    <w:t>40°49'32.20"</w:t>
                  </w:r>
                </w:p>
              </w:tc>
              <w:tc>
                <w:tcPr>
                  <w:tcW w:w="790" w:type="pct"/>
                  <w:vAlign w:val="center"/>
                </w:tcPr>
                <w:p>
                  <w:pPr>
                    <w:jc w:val="center"/>
                    <w:rPr>
                      <w:szCs w:val="21"/>
                    </w:rPr>
                  </w:pPr>
                  <w:r>
                    <w:rPr>
                      <w:szCs w:val="21"/>
                    </w:rPr>
                    <w:t>35.1</w:t>
                  </w:r>
                </w:p>
              </w:tc>
              <w:tc>
                <w:tcPr>
                  <w:tcW w:w="707" w:type="pct"/>
                  <w:vAlign w:val="center"/>
                </w:tcPr>
                <w:p>
                  <w:pPr>
                    <w:jc w:val="center"/>
                    <w:rPr>
                      <w:szCs w:val="21"/>
                    </w:rPr>
                  </w:pPr>
                  <w:r>
                    <w:rPr>
                      <w:szCs w:val="21"/>
                    </w:rPr>
                    <w:t>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widowControl/>
                    <w:jc w:val="left"/>
                    <w:rPr>
                      <w:szCs w:val="21"/>
                    </w:rPr>
                  </w:pPr>
                  <w:r>
                    <w:rPr>
                      <w:szCs w:val="21"/>
                    </w:rPr>
                    <w:t>光伏场地块5</w:t>
                  </w: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109°04'27.06"</w:t>
                  </w:r>
                </w:p>
              </w:tc>
              <w:tc>
                <w:tcPr>
                  <w:tcW w:w="854" w:type="pct"/>
                  <w:vAlign w:val="center"/>
                </w:tcPr>
                <w:p>
                  <w:pPr>
                    <w:adjustRightInd w:val="0"/>
                    <w:snapToGrid w:val="0"/>
                    <w:spacing w:line="240" w:lineRule="atLeast"/>
                    <w:jc w:val="center"/>
                    <w:rPr>
                      <w:szCs w:val="21"/>
                    </w:rPr>
                  </w:pPr>
                  <w:r>
                    <w:rPr>
                      <w:szCs w:val="21"/>
                    </w:rPr>
                    <w:t>40°49'36.05"</w:t>
                  </w:r>
                </w:p>
              </w:tc>
              <w:tc>
                <w:tcPr>
                  <w:tcW w:w="790" w:type="pct"/>
                  <w:vAlign w:val="center"/>
                </w:tcPr>
                <w:p>
                  <w:pPr>
                    <w:jc w:val="center"/>
                    <w:rPr>
                      <w:szCs w:val="21"/>
                    </w:rPr>
                  </w:pPr>
                  <w:r>
                    <w:rPr>
                      <w:szCs w:val="21"/>
                    </w:rPr>
                    <w:t>34.5</w:t>
                  </w:r>
                </w:p>
              </w:tc>
              <w:tc>
                <w:tcPr>
                  <w:tcW w:w="707" w:type="pct"/>
                  <w:vAlign w:val="center"/>
                </w:tcPr>
                <w:p>
                  <w:pPr>
                    <w:jc w:val="center"/>
                    <w:rPr>
                      <w:szCs w:val="21"/>
                    </w:rPr>
                  </w:pPr>
                  <w:r>
                    <w:rPr>
                      <w:szCs w:val="21"/>
                    </w:rPr>
                    <w:t>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109°04'25.20"</w:t>
                  </w:r>
                </w:p>
              </w:tc>
              <w:tc>
                <w:tcPr>
                  <w:tcW w:w="854" w:type="pct"/>
                  <w:vAlign w:val="center"/>
                </w:tcPr>
                <w:p>
                  <w:pPr>
                    <w:adjustRightInd w:val="0"/>
                    <w:snapToGrid w:val="0"/>
                    <w:spacing w:line="240" w:lineRule="atLeast"/>
                    <w:jc w:val="center"/>
                    <w:rPr>
                      <w:szCs w:val="21"/>
                    </w:rPr>
                  </w:pPr>
                  <w:r>
                    <w:rPr>
                      <w:szCs w:val="21"/>
                    </w:rPr>
                    <w:t>40°49'37.73"</w:t>
                  </w:r>
                </w:p>
              </w:tc>
              <w:tc>
                <w:tcPr>
                  <w:tcW w:w="790" w:type="pct"/>
                  <w:vAlign w:val="center"/>
                </w:tcPr>
                <w:p>
                  <w:pPr>
                    <w:jc w:val="center"/>
                    <w:rPr>
                      <w:szCs w:val="21"/>
                    </w:rPr>
                  </w:pPr>
                  <w:r>
                    <w:rPr>
                      <w:szCs w:val="21"/>
                    </w:rPr>
                    <w:t>35.7</w:t>
                  </w:r>
                </w:p>
              </w:tc>
              <w:tc>
                <w:tcPr>
                  <w:tcW w:w="707" w:type="pct"/>
                  <w:vAlign w:val="center"/>
                </w:tcPr>
                <w:p>
                  <w:pPr>
                    <w:jc w:val="center"/>
                    <w:rPr>
                      <w:szCs w:val="21"/>
                    </w:rPr>
                  </w:pPr>
                  <w:r>
                    <w:rPr>
                      <w:szCs w:val="21"/>
                    </w:rPr>
                    <w:t>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109°04'28.52"</w:t>
                  </w:r>
                </w:p>
              </w:tc>
              <w:tc>
                <w:tcPr>
                  <w:tcW w:w="854" w:type="pct"/>
                  <w:vAlign w:val="center"/>
                </w:tcPr>
                <w:p>
                  <w:pPr>
                    <w:adjustRightInd w:val="0"/>
                    <w:snapToGrid w:val="0"/>
                    <w:spacing w:line="240" w:lineRule="atLeast"/>
                    <w:jc w:val="center"/>
                    <w:rPr>
                      <w:szCs w:val="21"/>
                    </w:rPr>
                  </w:pPr>
                  <w:r>
                    <w:rPr>
                      <w:szCs w:val="21"/>
                    </w:rPr>
                    <w:t>40°49'39.20"</w:t>
                  </w:r>
                </w:p>
              </w:tc>
              <w:tc>
                <w:tcPr>
                  <w:tcW w:w="790" w:type="pct"/>
                  <w:vAlign w:val="center"/>
                </w:tcPr>
                <w:p>
                  <w:pPr>
                    <w:jc w:val="center"/>
                    <w:rPr>
                      <w:szCs w:val="21"/>
                    </w:rPr>
                  </w:pPr>
                  <w:r>
                    <w:rPr>
                      <w:szCs w:val="21"/>
                    </w:rPr>
                    <w:t>34.4</w:t>
                  </w:r>
                </w:p>
              </w:tc>
              <w:tc>
                <w:tcPr>
                  <w:tcW w:w="707" w:type="pct"/>
                  <w:vAlign w:val="center"/>
                </w:tcPr>
                <w:p>
                  <w:pPr>
                    <w:jc w:val="center"/>
                    <w:rPr>
                      <w:szCs w:val="21"/>
                    </w:rPr>
                  </w:pPr>
                  <w:r>
                    <w:rPr>
                      <w:szCs w:val="21"/>
                    </w:rPr>
                    <w:t>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109°04'31.50"</w:t>
                  </w:r>
                </w:p>
              </w:tc>
              <w:tc>
                <w:tcPr>
                  <w:tcW w:w="854" w:type="pct"/>
                  <w:vAlign w:val="center"/>
                </w:tcPr>
                <w:p>
                  <w:pPr>
                    <w:adjustRightInd w:val="0"/>
                    <w:snapToGrid w:val="0"/>
                    <w:spacing w:line="240" w:lineRule="atLeast"/>
                    <w:jc w:val="center"/>
                    <w:rPr>
                      <w:szCs w:val="21"/>
                    </w:rPr>
                  </w:pPr>
                  <w:r>
                    <w:rPr>
                      <w:szCs w:val="21"/>
                    </w:rPr>
                    <w:t>40°49'38.34"</w:t>
                  </w:r>
                </w:p>
              </w:tc>
              <w:tc>
                <w:tcPr>
                  <w:tcW w:w="790" w:type="pct"/>
                  <w:vAlign w:val="center"/>
                </w:tcPr>
                <w:p>
                  <w:pPr>
                    <w:jc w:val="center"/>
                    <w:rPr>
                      <w:szCs w:val="21"/>
                    </w:rPr>
                  </w:pPr>
                  <w:r>
                    <w:rPr>
                      <w:szCs w:val="21"/>
                    </w:rPr>
                    <w:t>35.5</w:t>
                  </w:r>
                </w:p>
              </w:tc>
              <w:tc>
                <w:tcPr>
                  <w:tcW w:w="707" w:type="pct"/>
                  <w:vAlign w:val="center"/>
                </w:tcPr>
                <w:p>
                  <w:pPr>
                    <w:jc w:val="center"/>
                    <w:rPr>
                      <w:szCs w:val="21"/>
                    </w:rPr>
                  </w:pPr>
                  <w:r>
                    <w:rPr>
                      <w:szCs w:val="21"/>
                    </w:rPr>
                    <w:t>33.7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东南侧52m处民房</w:t>
                  </w:r>
                </w:p>
              </w:tc>
              <w:tc>
                <w:tcPr>
                  <w:tcW w:w="939" w:type="pct"/>
                  <w:vAlign w:val="center"/>
                </w:tcPr>
                <w:p>
                  <w:pPr>
                    <w:adjustRightInd w:val="0"/>
                    <w:snapToGrid w:val="0"/>
                    <w:spacing w:line="240" w:lineRule="atLeast"/>
                    <w:jc w:val="center"/>
                    <w:rPr>
                      <w:szCs w:val="21"/>
                    </w:rPr>
                  </w:pPr>
                  <w:r>
                    <w:rPr>
                      <w:szCs w:val="21"/>
                    </w:rPr>
                    <w:t>109°04'30.26"</w:t>
                  </w:r>
                </w:p>
              </w:tc>
              <w:tc>
                <w:tcPr>
                  <w:tcW w:w="854" w:type="pct"/>
                  <w:vAlign w:val="center"/>
                </w:tcPr>
                <w:p>
                  <w:pPr>
                    <w:adjustRightInd w:val="0"/>
                    <w:snapToGrid w:val="0"/>
                    <w:spacing w:line="240" w:lineRule="atLeast"/>
                    <w:jc w:val="center"/>
                    <w:rPr>
                      <w:szCs w:val="21"/>
                    </w:rPr>
                  </w:pPr>
                  <w:r>
                    <w:rPr>
                      <w:szCs w:val="21"/>
                    </w:rPr>
                    <w:t>40°49'34.64"</w:t>
                  </w:r>
                </w:p>
              </w:tc>
              <w:tc>
                <w:tcPr>
                  <w:tcW w:w="790" w:type="pct"/>
                  <w:vAlign w:val="center"/>
                </w:tcPr>
                <w:p>
                  <w:pPr>
                    <w:jc w:val="center"/>
                    <w:rPr>
                      <w:szCs w:val="21"/>
                    </w:rPr>
                  </w:pPr>
                  <w:r>
                    <w:rPr>
                      <w:szCs w:val="21"/>
                    </w:rPr>
                    <w:t>34.3</w:t>
                  </w:r>
                </w:p>
              </w:tc>
              <w:tc>
                <w:tcPr>
                  <w:tcW w:w="707" w:type="pct"/>
                  <w:vAlign w:val="center"/>
                </w:tcPr>
                <w:p>
                  <w:pPr>
                    <w:jc w:val="center"/>
                    <w:rPr>
                      <w:szCs w:val="21"/>
                    </w:rPr>
                  </w:pPr>
                  <w:r>
                    <w:rPr>
                      <w:szCs w:val="21"/>
                    </w:rPr>
                    <w:t>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vAlign w:val="center"/>
                </w:tcPr>
                <w:p>
                  <w:pPr>
                    <w:widowControl/>
                    <w:jc w:val="left"/>
                    <w:rPr>
                      <w:szCs w:val="21"/>
                    </w:rPr>
                  </w:pPr>
                  <w:r>
                    <w:rPr>
                      <w:szCs w:val="21"/>
                    </w:rPr>
                    <w:t>光伏场地块6</w:t>
                  </w:r>
                </w:p>
              </w:tc>
              <w:tc>
                <w:tcPr>
                  <w:tcW w:w="1157" w:type="pct"/>
                  <w:vAlign w:val="center"/>
                </w:tcPr>
                <w:p>
                  <w:pPr>
                    <w:snapToGrid w:val="0"/>
                    <w:spacing w:line="240" w:lineRule="atLeast"/>
                    <w:jc w:val="center"/>
                    <w:rPr>
                      <w:szCs w:val="21"/>
                    </w:rPr>
                  </w:pPr>
                  <w:r>
                    <w:rPr>
                      <w:szCs w:val="21"/>
                    </w:rPr>
                    <w:t>光伏场东侧</w:t>
                  </w:r>
                </w:p>
              </w:tc>
              <w:tc>
                <w:tcPr>
                  <w:tcW w:w="939" w:type="pct"/>
                  <w:vAlign w:val="center"/>
                </w:tcPr>
                <w:p>
                  <w:pPr>
                    <w:adjustRightInd w:val="0"/>
                    <w:snapToGrid w:val="0"/>
                    <w:spacing w:line="240" w:lineRule="atLeast"/>
                    <w:jc w:val="center"/>
                    <w:rPr>
                      <w:szCs w:val="21"/>
                    </w:rPr>
                  </w:pPr>
                  <w:r>
                    <w:rPr>
                      <w:szCs w:val="21"/>
                    </w:rPr>
                    <w:t>109°04'55.51"</w:t>
                  </w:r>
                </w:p>
              </w:tc>
              <w:tc>
                <w:tcPr>
                  <w:tcW w:w="854" w:type="pct"/>
                  <w:vAlign w:val="center"/>
                </w:tcPr>
                <w:p>
                  <w:pPr>
                    <w:jc w:val="center"/>
                    <w:rPr>
                      <w:szCs w:val="21"/>
                    </w:rPr>
                  </w:pPr>
                  <w:r>
                    <w:rPr>
                      <w:szCs w:val="21"/>
                    </w:rPr>
                    <w:t>40°49'56.43"</w:t>
                  </w:r>
                </w:p>
              </w:tc>
              <w:tc>
                <w:tcPr>
                  <w:tcW w:w="790" w:type="pct"/>
                  <w:vAlign w:val="center"/>
                </w:tcPr>
                <w:p>
                  <w:pPr>
                    <w:jc w:val="center"/>
                    <w:rPr>
                      <w:szCs w:val="21"/>
                    </w:rPr>
                  </w:pPr>
                  <w:r>
                    <w:rPr>
                      <w:szCs w:val="21"/>
                    </w:rPr>
                    <w:t>34.6</w:t>
                  </w:r>
                </w:p>
              </w:tc>
              <w:tc>
                <w:tcPr>
                  <w:tcW w:w="707" w:type="pct"/>
                  <w:vAlign w:val="center"/>
                </w:tcPr>
                <w:p>
                  <w:pPr>
                    <w:jc w:val="center"/>
                    <w:rPr>
                      <w:szCs w:val="21"/>
                    </w:rPr>
                  </w:pPr>
                  <w:r>
                    <w:rPr>
                      <w:szCs w:val="21"/>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光伏场南侧</w:t>
                  </w:r>
                </w:p>
              </w:tc>
              <w:tc>
                <w:tcPr>
                  <w:tcW w:w="939" w:type="pct"/>
                  <w:vAlign w:val="center"/>
                </w:tcPr>
                <w:p>
                  <w:pPr>
                    <w:adjustRightInd w:val="0"/>
                    <w:snapToGrid w:val="0"/>
                    <w:spacing w:line="240" w:lineRule="atLeast"/>
                    <w:jc w:val="center"/>
                    <w:rPr>
                      <w:szCs w:val="21"/>
                    </w:rPr>
                  </w:pPr>
                  <w:r>
                    <w:rPr>
                      <w:szCs w:val="21"/>
                    </w:rPr>
                    <w:t>109°04'14.75"</w:t>
                  </w:r>
                </w:p>
              </w:tc>
              <w:tc>
                <w:tcPr>
                  <w:tcW w:w="854" w:type="pct"/>
                  <w:vAlign w:val="center"/>
                </w:tcPr>
                <w:p>
                  <w:pPr>
                    <w:adjustRightInd w:val="0"/>
                    <w:snapToGrid w:val="0"/>
                    <w:spacing w:line="240" w:lineRule="atLeast"/>
                    <w:jc w:val="center"/>
                    <w:rPr>
                      <w:szCs w:val="21"/>
                    </w:rPr>
                  </w:pPr>
                  <w:r>
                    <w:rPr>
                      <w:szCs w:val="21"/>
                    </w:rPr>
                    <w:t>40°49'40.28"</w:t>
                  </w:r>
                </w:p>
              </w:tc>
              <w:tc>
                <w:tcPr>
                  <w:tcW w:w="790" w:type="pct"/>
                  <w:vAlign w:val="center"/>
                </w:tcPr>
                <w:p>
                  <w:pPr>
                    <w:jc w:val="center"/>
                    <w:rPr>
                      <w:szCs w:val="21"/>
                    </w:rPr>
                  </w:pPr>
                  <w:r>
                    <w:rPr>
                      <w:szCs w:val="21"/>
                    </w:rPr>
                    <w:t>35.3</w:t>
                  </w:r>
                </w:p>
              </w:tc>
              <w:tc>
                <w:tcPr>
                  <w:tcW w:w="707" w:type="pct"/>
                  <w:vAlign w:val="center"/>
                </w:tcPr>
                <w:p>
                  <w:pPr>
                    <w:jc w:val="center"/>
                    <w:rPr>
                      <w:szCs w:val="21"/>
                    </w:rPr>
                  </w:pPr>
                  <w:r>
                    <w:rPr>
                      <w:szCs w:val="21"/>
                    </w:rPr>
                    <w:t>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光伏场西侧</w:t>
                  </w:r>
                </w:p>
              </w:tc>
              <w:tc>
                <w:tcPr>
                  <w:tcW w:w="939" w:type="pct"/>
                  <w:vAlign w:val="center"/>
                </w:tcPr>
                <w:p>
                  <w:pPr>
                    <w:adjustRightInd w:val="0"/>
                    <w:snapToGrid w:val="0"/>
                    <w:spacing w:line="240" w:lineRule="atLeast"/>
                    <w:jc w:val="center"/>
                    <w:rPr>
                      <w:szCs w:val="21"/>
                    </w:rPr>
                  </w:pPr>
                  <w:r>
                    <w:rPr>
                      <w:szCs w:val="21"/>
                    </w:rPr>
                    <w:t>109°03'07.76"</w:t>
                  </w:r>
                </w:p>
              </w:tc>
              <w:tc>
                <w:tcPr>
                  <w:tcW w:w="854" w:type="pct"/>
                  <w:vAlign w:val="center"/>
                </w:tcPr>
                <w:p>
                  <w:pPr>
                    <w:adjustRightInd w:val="0"/>
                    <w:snapToGrid w:val="0"/>
                    <w:spacing w:line="240" w:lineRule="atLeast"/>
                    <w:jc w:val="center"/>
                    <w:rPr>
                      <w:szCs w:val="21"/>
                    </w:rPr>
                  </w:pPr>
                  <w:r>
                    <w:rPr>
                      <w:szCs w:val="21"/>
                    </w:rPr>
                    <w:t>40°50'04.70"</w:t>
                  </w:r>
                </w:p>
              </w:tc>
              <w:tc>
                <w:tcPr>
                  <w:tcW w:w="790" w:type="pct"/>
                  <w:vAlign w:val="center"/>
                </w:tcPr>
                <w:p>
                  <w:pPr>
                    <w:jc w:val="center"/>
                    <w:rPr>
                      <w:szCs w:val="21"/>
                    </w:rPr>
                  </w:pPr>
                  <w:r>
                    <w:rPr>
                      <w:szCs w:val="21"/>
                    </w:rPr>
                    <w:t>35.4</w:t>
                  </w:r>
                </w:p>
              </w:tc>
              <w:tc>
                <w:tcPr>
                  <w:tcW w:w="707" w:type="pct"/>
                  <w:vAlign w:val="center"/>
                </w:tcPr>
                <w:p>
                  <w:pPr>
                    <w:jc w:val="center"/>
                    <w:rPr>
                      <w:szCs w:val="21"/>
                    </w:rPr>
                  </w:pPr>
                  <w:r>
                    <w:rPr>
                      <w:szCs w:val="21"/>
                    </w:rPr>
                    <w:t>33.9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vAlign w:val="center"/>
                </w:tcPr>
                <w:p>
                  <w:pPr>
                    <w:widowControl/>
                    <w:jc w:val="left"/>
                    <w:rPr>
                      <w:szCs w:val="21"/>
                    </w:rPr>
                  </w:pPr>
                </w:p>
              </w:tc>
              <w:tc>
                <w:tcPr>
                  <w:tcW w:w="1157" w:type="pct"/>
                  <w:vAlign w:val="center"/>
                </w:tcPr>
                <w:p>
                  <w:pPr>
                    <w:snapToGrid w:val="0"/>
                    <w:spacing w:line="240" w:lineRule="atLeast"/>
                    <w:jc w:val="center"/>
                    <w:rPr>
                      <w:szCs w:val="21"/>
                    </w:rPr>
                  </w:pPr>
                  <w:r>
                    <w:rPr>
                      <w:szCs w:val="21"/>
                    </w:rPr>
                    <w:t>光伏场北侧</w:t>
                  </w:r>
                </w:p>
              </w:tc>
              <w:tc>
                <w:tcPr>
                  <w:tcW w:w="939" w:type="pct"/>
                  <w:vAlign w:val="center"/>
                </w:tcPr>
                <w:p>
                  <w:pPr>
                    <w:adjustRightInd w:val="0"/>
                    <w:snapToGrid w:val="0"/>
                    <w:spacing w:line="240" w:lineRule="atLeast"/>
                    <w:jc w:val="center"/>
                    <w:rPr>
                      <w:szCs w:val="21"/>
                    </w:rPr>
                  </w:pPr>
                  <w:r>
                    <w:rPr>
                      <w:szCs w:val="21"/>
                    </w:rPr>
                    <w:t>109°04'02.40"</w:t>
                  </w:r>
                </w:p>
              </w:tc>
              <w:tc>
                <w:tcPr>
                  <w:tcW w:w="854" w:type="pct"/>
                  <w:vAlign w:val="center"/>
                </w:tcPr>
                <w:p>
                  <w:pPr>
                    <w:adjustRightInd w:val="0"/>
                    <w:snapToGrid w:val="0"/>
                    <w:spacing w:line="240" w:lineRule="atLeast"/>
                    <w:jc w:val="center"/>
                    <w:rPr>
                      <w:szCs w:val="21"/>
                    </w:rPr>
                  </w:pPr>
                  <w:r>
                    <w:rPr>
                      <w:szCs w:val="21"/>
                    </w:rPr>
                    <w:t>40°50'16.75"</w:t>
                  </w:r>
                </w:p>
              </w:tc>
              <w:tc>
                <w:tcPr>
                  <w:tcW w:w="790" w:type="pct"/>
                  <w:vAlign w:val="center"/>
                </w:tcPr>
                <w:p>
                  <w:pPr>
                    <w:jc w:val="center"/>
                    <w:rPr>
                      <w:szCs w:val="21"/>
                    </w:rPr>
                  </w:pPr>
                  <w:r>
                    <w:rPr>
                      <w:szCs w:val="21"/>
                    </w:rPr>
                    <w:t>35.2</w:t>
                  </w:r>
                </w:p>
              </w:tc>
              <w:tc>
                <w:tcPr>
                  <w:tcW w:w="707" w:type="pct"/>
                  <w:vAlign w:val="center"/>
                </w:tcPr>
                <w:p>
                  <w:pPr>
                    <w:jc w:val="center"/>
                    <w:rPr>
                      <w:szCs w:val="21"/>
                    </w:rPr>
                  </w:pPr>
                  <w:r>
                    <w:rPr>
                      <w:szCs w:val="21"/>
                    </w:rPr>
                    <w:t>34.4</w:t>
                  </w:r>
                </w:p>
              </w:tc>
            </w:tr>
          </w:tbl>
          <w:p>
            <w:pPr>
              <w:pStyle w:val="46"/>
              <w:ind w:firstLine="480"/>
              <w:rPr>
                <w:rFonts w:cs="Times New Roman"/>
              </w:rPr>
            </w:pPr>
            <w:r>
              <w:rPr>
                <w:rFonts w:cs="Times New Roman"/>
              </w:rPr>
              <w:t>从表3.5可知，</w:t>
            </w:r>
            <w:r>
              <w:rPr>
                <w:rFonts w:hint="eastAsia" w:cs="Times New Roman"/>
              </w:rPr>
              <w:t>光伏场场</w:t>
            </w:r>
            <w:r>
              <w:rPr>
                <w:rFonts w:hint="eastAsia"/>
              </w:rPr>
              <w:t>界</w:t>
            </w:r>
            <w:r>
              <w:rPr>
                <w:rFonts w:hint="eastAsia" w:cs="Times New Roman"/>
              </w:rPr>
              <w:t>四周</w:t>
            </w:r>
            <w:r>
              <w:rPr>
                <w:rFonts w:cs="Times New Roman"/>
              </w:rPr>
              <w:t>监测点昼间</w:t>
            </w:r>
            <w:r>
              <w:rPr>
                <w:rFonts w:hint="eastAsia" w:cs="Times New Roman"/>
              </w:rPr>
              <w:t>声环境</w:t>
            </w:r>
            <w:r>
              <w:rPr>
                <w:rFonts w:cs="Times New Roman"/>
              </w:rPr>
              <w:t>现状监测值在34.4～37.5dB（A）之间，夜间</w:t>
            </w:r>
            <w:r>
              <w:rPr>
                <w:rFonts w:hint="eastAsia" w:cs="Times New Roman"/>
              </w:rPr>
              <w:t>声环境现状监测值在3</w:t>
            </w:r>
            <w:r>
              <w:rPr>
                <w:rFonts w:cs="Times New Roman"/>
              </w:rPr>
              <w:t>3.4</w:t>
            </w:r>
            <w:r>
              <w:rPr>
                <w:rFonts w:hint="eastAsia" w:cs="Times New Roman"/>
              </w:rPr>
              <w:t>～3</w:t>
            </w:r>
            <w:r>
              <w:rPr>
                <w:rFonts w:cs="Times New Roman"/>
              </w:rPr>
              <w:t>5.8</w:t>
            </w:r>
            <w:r>
              <w:rPr>
                <w:rFonts w:hint="eastAsia" w:cs="Times New Roman"/>
              </w:rPr>
              <w:t>dB（A）之间，声环境现状监测值</w:t>
            </w:r>
            <w:r>
              <w:rPr>
                <w:rFonts w:cs="Times New Roman"/>
              </w:rPr>
              <w:t>均满足《声环境质量标准》（GB3096-2008）的2类标准。</w:t>
            </w:r>
          </w:p>
          <w:p>
            <w:pPr>
              <w:pStyle w:val="46"/>
              <w:ind w:firstLine="480"/>
              <w:rPr>
                <w:rFonts w:cs="Times New Roman"/>
              </w:rPr>
            </w:pPr>
            <w:r>
              <w:rPr>
                <w:rFonts w:cs="Times New Roman"/>
              </w:rPr>
              <w:t>光伏场附近敏感点</w:t>
            </w:r>
            <w:r>
              <w:rPr>
                <w:rFonts w:hint="eastAsia" w:cs="Times New Roman"/>
              </w:rPr>
              <w:t>昼间声环境现状监测值在3</w:t>
            </w:r>
            <w:r>
              <w:rPr>
                <w:rFonts w:cs="Times New Roman"/>
              </w:rPr>
              <w:t>4.3</w:t>
            </w:r>
            <w:r>
              <w:rPr>
                <w:rFonts w:hint="eastAsia" w:cs="Times New Roman"/>
              </w:rPr>
              <w:t>～37.6dB（A）之间，夜间声环境现状监测值在33.</w:t>
            </w:r>
            <w:r>
              <w:rPr>
                <w:rFonts w:cs="Times New Roman"/>
              </w:rPr>
              <w:t>3</w:t>
            </w:r>
            <w:r>
              <w:rPr>
                <w:rFonts w:hint="eastAsia" w:cs="Times New Roman"/>
              </w:rPr>
              <w:t>～36.4dB（A）之间，声环境现状监测值均满足《声环境质量标准》（GB3096-2008）的1</w:t>
            </w:r>
            <w:r>
              <w:rPr>
                <w:rFonts w:cs="Times New Roman"/>
              </w:rPr>
              <w:t>类</w:t>
            </w:r>
            <w:r>
              <w:rPr>
                <w:rFonts w:hint="eastAsia" w:cs="Times New Roman"/>
              </w:rPr>
              <w:t>标准。</w:t>
            </w:r>
          </w:p>
          <w:p>
            <w:pPr>
              <w:pStyle w:val="46"/>
              <w:ind w:firstLine="480"/>
              <w:rPr>
                <w:rFonts w:cs="Times New Roman"/>
              </w:rPr>
            </w:pPr>
            <w:r>
              <w:rPr>
                <w:rFonts w:cs="Times New Roman"/>
              </w:rPr>
              <w:t>升压站</w:t>
            </w:r>
            <w:r>
              <w:rPr>
                <w:rFonts w:hint="eastAsia"/>
              </w:rPr>
              <w:t>站界</w:t>
            </w:r>
            <w:r>
              <w:rPr>
                <w:rFonts w:cs="Times New Roman"/>
              </w:rPr>
              <w:t>四周监测点昼间</w:t>
            </w:r>
            <w:r>
              <w:rPr>
                <w:rFonts w:hint="eastAsia" w:cs="Times New Roman"/>
              </w:rPr>
              <w:t>声环境</w:t>
            </w:r>
            <w:r>
              <w:rPr>
                <w:rFonts w:cs="Times New Roman"/>
              </w:rPr>
              <w:t>现状监测值在35.4～36.4dB（A）之间，夜间在34.4</w:t>
            </w:r>
            <w:r>
              <w:rPr>
                <w:rFonts w:hint="eastAsia" w:cs="Times New Roman"/>
              </w:rPr>
              <w:t>~</w:t>
            </w:r>
            <w:r>
              <w:rPr>
                <w:rFonts w:cs="Times New Roman"/>
              </w:rPr>
              <w:t>34.6dB（A）之间，</w:t>
            </w:r>
            <w:r>
              <w:rPr>
                <w:rFonts w:hint="eastAsia" w:cs="Times New Roman"/>
              </w:rPr>
              <w:t>声环境现状检测值</w:t>
            </w:r>
            <w:r>
              <w:rPr>
                <w:rFonts w:cs="Times New Roman"/>
              </w:rPr>
              <w:t>均满足《声环境质量标准》（GB3096-2008）的2类标准。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13" w:type="dxa"/>
            <w:left w:w="108" w:type="dxa"/>
            <w:bottom w:w="113" w:type="dxa"/>
            <w:right w:w="108" w:type="dxa"/>
          </w:tblCellMar>
        </w:tblPrEx>
        <w:trPr>
          <w:jc w:val="center"/>
        </w:trPr>
        <w:tc>
          <w:tcPr>
            <w:tcW w:w="456" w:type="dxa"/>
            <w:vAlign w:val="center"/>
          </w:tcPr>
          <w:p>
            <w:pPr>
              <w:adjustRightInd w:val="0"/>
              <w:snapToGrid w:val="0"/>
              <w:jc w:val="center"/>
              <w:rPr>
                <w:kern w:val="0"/>
                <w:szCs w:val="21"/>
              </w:rPr>
            </w:pPr>
            <w:r>
              <w:rPr>
                <w:bCs/>
                <w:sz w:val="24"/>
                <w:szCs w:val="21"/>
              </w:rPr>
              <w:t>与项目有关的原有环境污染和生态破坏问题</w:t>
            </w:r>
          </w:p>
        </w:tc>
        <w:tc>
          <w:tcPr>
            <w:tcW w:w="8318" w:type="dxa"/>
            <w:vAlign w:val="center"/>
          </w:tcPr>
          <w:p>
            <w:pPr>
              <w:pStyle w:val="46"/>
              <w:ind w:firstLine="480"/>
            </w:pPr>
            <w:r>
              <w:rPr>
                <w:rFonts w:hint="eastAsia"/>
              </w:rPr>
              <w:t>本工程光伏场地块1位于华拓矿东侧，为已整治的尾矿，地势较为平坦。地块2位于金龙矿，为整治后的土堆，地块4、地块5为尾矿堆土。光伏场涉及的神龙、金龙、阳光、昌兴尾矿库已全部完成闭库工作，项目已取得乌拉特前旗发展和改革委员会《关于同意巴彦淖尔1</w:t>
            </w:r>
            <w:r>
              <w:t>00万千瓦光储项目乌拉特前旗</w:t>
            </w:r>
            <w:r>
              <w:rPr>
                <w:rFonts w:hint="eastAsia"/>
              </w:rPr>
              <w:t>1</w:t>
            </w:r>
            <w:r>
              <w:t>5万千瓦子项目部分场址涉及尾矿库建设的函》同意项目在此地建设及办理相关手续。本项目光伏场为租地，产权归属当地牧民，升压站为征地。</w:t>
            </w:r>
          </w:p>
          <w:p>
            <w:pPr>
              <w:pStyle w:val="46"/>
              <w:ind w:firstLine="480"/>
            </w:pPr>
            <w:r>
              <w:rPr>
                <w:rFonts w:hint="eastAsia"/>
              </w:rPr>
              <w:t>尾矿库关闭后形成尾矿砂干滩。由于尾矿碴颗粒小，每逢刮风天气含尾矿砂随风飘移，产生大面积的扬尘，尾矿库平台未完成覆土工作，无植被生长，对植物正常生长产生不利影响，影响生态环境恢复。</w:t>
            </w:r>
          </w:p>
          <w:p>
            <w:pPr>
              <w:pStyle w:val="46"/>
              <w:ind w:firstLine="480"/>
            </w:pPr>
            <w:r>
              <w:rPr>
                <w:rFonts w:hint="eastAsia"/>
              </w:rPr>
              <w:t>项目区属于干旱地区，四季气温变化明显，常年主导风向为西北风，风沙大，易产生扬尘，目前项目区多为裸露地表，急需植被覆盖。</w:t>
            </w:r>
          </w:p>
          <w:p>
            <w:pPr>
              <w:pStyle w:val="46"/>
              <w:ind w:firstLine="480"/>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13" w:type="dxa"/>
            <w:left w:w="108" w:type="dxa"/>
            <w:bottom w:w="113" w:type="dxa"/>
            <w:right w:w="108" w:type="dxa"/>
          </w:tblCellMar>
        </w:tblPrEx>
        <w:trPr>
          <w:jc w:val="center"/>
        </w:trPr>
        <w:tc>
          <w:tcPr>
            <w:tcW w:w="456" w:type="dxa"/>
            <w:vAlign w:val="center"/>
          </w:tcPr>
          <w:p>
            <w:pPr>
              <w:adjustRightInd w:val="0"/>
              <w:snapToGrid w:val="0"/>
              <w:jc w:val="center"/>
              <w:rPr>
                <w:kern w:val="0"/>
                <w:szCs w:val="21"/>
              </w:rPr>
            </w:pPr>
            <w:r>
              <w:rPr>
                <w:kern w:val="0"/>
                <w:sz w:val="24"/>
                <w:szCs w:val="21"/>
              </w:rPr>
              <w:t>生态环境保护目标</w:t>
            </w:r>
          </w:p>
        </w:tc>
        <w:tc>
          <w:tcPr>
            <w:tcW w:w="8318" w:type="dxa"/>
          </w:tcPr>
          <w:p>
            <w:pPr>
              <w:pStyle w:val="44"/>
              <w:spacing w:before="120"/>
              <w:rPr>
                <w:rFonts w:cs="Times New Roman"/>
                <w:color w:val="auto"/>
              </w:rPr>
            </w:pPr>
            <w:r>
              <w:rPr>
                <w:rFonts w:cs="Times New Roman"/>
                <w:color w:val="auto"/>
              </w:rPr>
              <w:t>1、评价工作等级</w:t>
            </w:r>
          </w:p>
          <w:p>
            <w:pPr>
              <w:pStyle w:val="24"/>
              <w:ind w:firstLine="482"/>
              <w:rPr>
                <w:rFonts w:cs="Times New Roman"/>
                <w:sz w:val="28"/>
                <w:szCs w:val="28"/>
              </w:rPr>
            </w:pPr>
            <w:r>
              <w:rPr>
                <w:rFonts w:cs="Times New Roman"/>
              </w:rPr>
              <w:t>（1）大气环境评价</w:t>
            </w:r>
          </w:p>
          <w:p>
            <w:pPr>
              <w:adjustRightInd w:val="0"/>
              <w:snapToGrid w:val="0"/>
              <w:spacing w:line="360" w:lineRule="auto"/>
              <w:ind w:firstLine="480" w:firstLineChars="200"/>
              <w:rPr>
                <w:sz w:val="24"/>
              </w:rPr>
            </w:pPr>
            <w:r>
              <w:rPr>
                <w:sz w:val="24"/>
              </w:rPr>
              <w:t>本工程运行期冬季采用电热设施取暖，运行期无燃煤大气污染物产生，项目在运行过程中无工艺废气及锅炉废气产生，因此本次评价对大气环境影响只进行简要分析。</w:t>
            </w:r>
          </w:p>
          <w:p>
            <w:pPr>
              <w:pStyle w:val="24"/>
              <w:ind w:firstLine="482"/>
              <w:rPr>
                <w:rFonts w:cs="Times New Roman"/>
              </w:rPr>
            </w:pPr>
            <w:r>
              <w:rPr>
                <w:rFonts w:cs="Times New Roman"/>
              </w:rPr>
              <w:t xml:space="preserve">（2）声环境评价 </w:t>
            </w:r>
          </w:p>
          <w:p>
            <w:pPr>
              <w:pStyle w:val="46"/>
              <w:ind w:firstLine="480"/>
            </w:pPr>
            <w:r>
              <w:t>本工程升压站和光伏组件周边评价范围内有3处环境保护目标，受噪声影响人口数量增加较少，</w:t>
            </w:r>
            <w:r>
              <w:rPr>
                <w:rFonts w:hint="eastAsia"/>
              </w:rPr>
              <w:t>根据《环境影响评价技术导则 声环境》（HJ2.4-2021）噪声环境影响评价等级为二级。</w:t>
            </w:r>
          </w:p>
          <w:p>
            <w:pPr>
              <w:pStyle w:val="24"/>
              <w:ind w:firstLine="482"/>
              <w:rPr>
                <w:rFonts w:cs="Times New Roman"/>
                <w:highlight w:val="yellow"/>
              </w:rPr>
            </w:pPr>
            <w:r>
              <w:rPr>
                <w:rFonts w:cs="Times New Roman"/>
              </w:rPr>
              <w:t>（3）生态环境评价</w:t>
            </w:r>
          </w:p>
          <w:p>
            <w:pPr>
              <w:pStyle w:val="46"/>
              <w:ind w:firstLine="480"/>
            </w:pPr>
            <w:r>
              <w:rPr>
                <w:rFonts w:hint="eastAsia"/>
              </w:rPr>
              <w:t>本项目不涉及国家公园、自然保护区世界遗产等重要生境；不涉及自然公园；不涉及生态保护红线；不为属于水文要素影响型且地表评价等级不低二的建设项目；不为地下水位或土壤影响范围内分布有天然林、公益湿等生态保护目标的建设项；</w:t>
            </w:r>
            <w:r>
              <w:t>本项目场址总占地面积为17.29km²，工程占地范围小于20km²。</w:t>
            </w:r>
          </w:p>
          <w:p>
            <w:pPr>
              <w:pStyle w:val="46"/>
              <w:ind w:firstLine="480"/>
            </w:pPr>
            <w:r>
              <w:rPr>
                <w:rFonts w:hint="eastAsia"/>
              </w:rPr>
              <w:t>本项目不涉及对保护生物多样性具有重要意义的区域。</w:t>
            </w:r>
          </w:p>
          <w:p>
            <w:pPr>
              <w:pStyle w:val="46"/>
              <w:ind w:firstLine="480"/>
            </w:pPr>
            <w:r>
              <w:rPr>
                <w:rFonts w:hint="eastAsia"/>
              </w:rPr>
              <w:t>项目不涉及陆生、水生生态影响。不涉及矿山开采与拦河闸坝建设。</w:t>
            </w:r>
          </w:p>
          <w:p>
            <w:pPr>
              <w:pStyle w:val="46"/>
              <w:ind w:firstLine="480"/>
            </w:pPr>
            <w:r>
              <w:rPr>
                <w:rFonts w:hint="eastAsia"/>
              </w:rPr>
              <w:t>本项目不属于线性工程，不穿越生态敏感区。不属于涉海工程。</w:t>
            </w:r>
          </w:p>
          <w:p>
            <w:pPr>
              <w:pStyle w:val="46"/>
              <w:ind w:firstLine="480"/>
            </w:pPr>
            <w:r>
              <w:rPr>
                <w:rFonts w:hint="eastAsia"/>
              </w:rPr>
              <w:t>项目符合生态环境分区要求，不涉及原厂界（或永久用地）范围内的污染影响类改扩建项目及已批准规划环评的产业园区。</w:t>
            </w:r>
          </w:p>
          <w:p>
            <w:pPr>
              <w:pStyle w:val="46"/>
              <w:ind w:firstLine="480"/>
            </w:pPr>
            <w:r>
              <w:rPr>
                <w:rFonts w:hint="eastAsia"/>
              </w:rPr>
              <w:t>根据《环境影响评价技术导则 生态影响》（</w:t>
            </w:r>
            <w:r>
              <w:t>HJ 19—2022）</w:t>
            </w:r>
            <w:r>
              <w:rPr>
                <w:rFonts w:hint="eastAsia"/>
              </w:rPr>
              <w:t>本项目生态环境影响评价等级确定为三级。</w:t>
            </w:r>
          </w:p>
          <w:p>
            <w:pPr>
              <w:pStyle w:val="24"/>
              <w:ind w:firstLine="482"/>
              <w:rPr>
                <w:szCs w:val="24"/>
              </w:rPr>
            </w:pPr>
            <w:r>
              <w:t>（4）地表水环境</w:t>
            </w:r>
          </w:p>
          <w:p>
            <w:pPr>
              <w:pStyle w:val="46"/>
              <w:ind w:firstLine="480"/>
            </w:pPr>
            <w:r>
              <w:t>光伏</w:t>
            </w:r>
            <w:r>
              <w:rPr>
                <w:rFonts w:hint="eastAsia"/>
              </w:rPr>
              <w:t>场</w:t>
            </w:r>
            <w:r>
              <w:t>及升压站附近有一条季节性河流达拉盖沟。运营期本项目主要废水为职工产生生活污水，生活污水经一体化处理设施处理后贮存于集水井中，用于升压站绿化，冬季由环卫车运走，不外排。根据《环境影响评价技术导则 地表水环境》（HJ/T2.3-2018），本项目地表水评价等级为三级B。本报告对其生活污水处理方案可行性进行分析。</w:t>
            </w:r>
          </w:p>
          <w:p>
            <w:pPr>
              <w:pStyle w:val="24"/>
              <w:ind w:firstLine="482"/>
            </w:pPr>
            <w:r>
              <w:t>（5）地下水环境</w:t>
            </w:r>
          </w:p>
          <w:p>
            <w:pPr>
              <w:pStyle w:val="46"/>
              <w:ind w:firstLine="480"/>
              <w:rPr>
                <w:rFonts w:cs="Times New Roman"/>
              </w:rPr>
            </w:pPr>
            <w:r>
              <w:rPr>
                <w:rFonts w:cs="Times New Roman"/>
              </w:rPr>
              <w:t>根据《环境影响评价技术导则 地下水环境》（HJ610-2016）地下水环境影响评价行业分类表，确定本项目属</w:t>
            </w:r>
            <w:r>
              <w:rPr>
                <w:rFonts w:ascii="宋体" w:hAnsi="宋体" w:cs="Times New Roman"/>
              </w:rPr>
              <w:t>“</w:t>
            </w:r>
            <w:r>
              <w:rPr>
                <w:rFonts w:cs="Times New Roman"/>
              </w:rPr>
              <w:t>其他能源发电</w:t>
            </w:r>
            <w:r>
              <w:rPr>
                <w:rFonts w:ascii="宋体" w:hAnsi="宋体" w:cs="Times New Roman"/>
                <w:snapToGrid/>
              </w:rPr>
              <w:t>”</w:t>
            </w:r>
            <w:r>
              <w:rPr>
                <w:rFonts w:cs="Times New Roman"/>
              </w:rPr>
              <w:t>中</w:t>
            </w:r>
            <w:r>
              <w:rPr>
                <w:rFonts w:ascii="宋体" w:hAnsi="宋体" w:cs="Times New Roman"/>
              </w:rPr>
              <w:t>“</w:t>
            </w:r>
            <w:r>
              <w:rPr>
                <w:rFonts w:hint="eastAsia" w:cs="Times New Roman"/>
              </w:rPr>
              <w:t>并网光伏发电</w:t>
            </w:r>
            <w:r>
              <w:rPr>
                <w:rFonts w:ascii="宋体" w:hAnsi="宋体" w:cs="Times New Roman"/>
                <w:snapToGrid/>
              </w:rPr>
              <w:t>”</w:t>
            </w:r>
            <w:r>
              <w:rPr>
                <w:rFonts w:cs="Times New Roman"/>
              </w:rPr>
              <w:t>类别，为IV类项目。</w:t>
            </w:r>
          </w:p>
          <w:p>
            <w:pPr>
              <w:pStyle w:val="46"/>
              <w:ind w:firstLine="480"/>
              <w:rPr>
                <w:rFonts w:cs="Times New Roman"/>
              </w:rPr>
            </w:pPr>
            <w:r>
              <w:rPr>
                <w:rFonts w:cs="Times New Roman"/>
              </w:rPr>
              <w:t>根据《环境影响评价技术导则 地下水环境》（HJ610-2016）评价等级分级要求，本项目无需进行地下水环境影响评价</w:t>
            </w:r>
            <w:r>
              <w:rPr>
                <w:rFonts w:hint="eastAsia" w:cs="Times New Roman"/>
              </w:rPr>
              <w:t>。</w:t>
            </w:r>
          </w:p>
          <w:p>
            <w:pPr>
              <w:pStyle w:val="44"/>
              <w:spacing w:before="120"/>
              <w:rPr>
                <w:rFonts w:cs="Times New Roman"/>
                <w:color w:val="auto"/>
                <w:sz w:val="24"/>
                <w:szCs w:val="20"/>
              </w:rPr>
            </w:pPr>
            <w:r>
              <w:rPr>
                <w:rFonts w:cs="Times New Roman"/>
                <w:color w:val="auto"/>
              </w:rPr>
              <w:t>2、评价范围</w:t>
            </w:r>
          </w:p>
          <w:p>
            <w:pPr>
              <w:pStyle w:val="24"/>
              <w:ind w:firstLine="482"/>
              <w:rPr>
                <w:rFonts w:cs="Times New Roman"/>
              </w:rPr>
            </w:pPr>
            <w:r>
              <w:rPr>
                <w:rFonts w:cs="Times New Roman"/>
              </w:rPr>
              <w:t>（1）声环境</w:t>
            </w:r>
          </w:p>
          <w:p>
            <w:pPr>
              <w:pStyle w:val="46"/>
              <w:ind w:firstLine="480"/>
            </w:pPr>
            <w:r>
              <w:rPr>
                <w:rFonts w:hint="eastAsia"/>
              </w:rPr>
              <w:t>光伏场各地块场界外</w:t>
            </w:r>
            <w:r>
              <w:t>200m范围与升压站</w:t>
            </w:r>
            <w:r>
              <w:rPr>
                <w:rFonts w:hint="eastAsia"/>
              </w:rPr>
              <w:t>站界外</w:t>
            </w:r>
            <w:r>
              <w:t>200m范围，升压站进站道路两侧</w:t>
            </w:r>
            <w:r>
              <w:rPr>
                <w:rFonts w:hint="eastAsia"/>
              </w:rPr>
              <w:t>2</w:t>
            </w:r>
            <w:r>
              <w:t>00m范围。</w:t>
            </w:r>
          </w:p>
          <w:p>
            <w:pPr>
              <w:pStyle w:val="24"/>
              <w:ind w:firstLine="482"/>
              <w:rPr>
                <w:rFonts w:cs="Times New Roman"/>
              </w:rPr>
            </w:pPr>
            <w:r>
              <w:rPr>
                <w:rFonts w:cs="Times New Roman"/>
              </w:rPr>
              <w:t>（2）生态环境</w:t>
            </w:r>
          </w:p>
          <w:p>
            <w:pPr>
              <w:pStyle w:val="46"/>
              <w:ind w:firstLine="480"/>
              <w:rPr>
                <w:rFonts w:cs="Times New Roman"/>
                <w:kern w:val="0"/>
                <w:sz w:val="30"/>
                <w:szCs w:val="30"/>
              </w:rPr>
            </w:pPr>
            <w:r>
              <w:t>本项目生态环境影响评价范围为</w:t>
            </w:r>
            <w:r>
              <w:rPr>
                <w:rFonts w:hint="eastAsia"/>
              </w:rPr>
              <w:t>光伏电场各地块场界外</w:t>
            </w:r>
            <w:r>
              <w:t>500m范围内与升压站</w:t>
            </w:r>
            <w:r>
              <w:rPr>
                <w:rFonts w:hint="eastAsia"/>
              </w:rPr>
              <w:t>站界外</w:t>
            </w:r>
            <w:r>
              <w:t>500m范围。</w:t>
            </w:r>
          </w:p>
          <w:p>
            <w:pPr>
              <w:pStyle w:val="44"/>
              <w:spacing w:before="120"/>
              <w:rPr>
                <w:rFonts w:cs="Times New Roman"/>
                <w:color w:val="auto"/>
              </w:rPr>
            </w:pPr>
            <w:r>
              <w:rPr>
                <w:rFonts w:cs="Times New Roman"/>
                <w:color w:val="auto"/>
              </w:rPr>
              <w:t>3、环境保护目标</w:t>
            </w:r>
          </w:p>
          <w:p>
            <w:pPr>
              <w:pStyle w:val="24"/>
              <w:ind w:firstLine="482"/>
              <w:rPr>
                <w:rFonts w:cs="Times New Roman"/>
              </w:rPr>
            </w:pPr>
            <w:r>
              <w:rPr>
                <w:rFonts w:cs="Times New Roman"/>
              </w:rPr>
              <w:t>（1）声环境保护目标</w:t>
            </w:r>
          </w:p>
          <w:p>
            <w:pPr>
              <w:pStyle w:val="46"/>
              <w:ind w:firstLine="480"/>
              <w:rPr>
                <w:rFonts w:cs="Times New Roman"/>
              </w:rPr>
            </w:pPr>
            <w:r>
              <w:rPr>
                <w:rFonts w:hint="eastAsia"/>
              </w:rPr>
              <w:t>本工程光伏场四周共有</w:t>
            </w:r>
            <w:r>
              <w:t>3</w:t>
            </w:r>
            <w:r>
              <w:rPr>
                <w:rFonts w:hint="eastAsia"/>
              </w:rPr>
              <w:t>处</w:t>
            </w:r>
            <w:r>
              <w:rPr>
                <w:rFonts w:cs="Times New Roman"/>
              </w:rPr>
              <w:t>声环境敏感点。</w:t>
            </w:r>
          </w:p>
          <w:p>
            <w:pPr>
              <w:pStyle w:val="46"/>
              <w:ind w:firstLine="0" w:firstLineChars="0"/>
              <w:rPr>
                <w:rFonts w:cs="Times New Roman"/>
                <w:b/>
              </w:rPr>
            </w:pPr>
            <w:r>
              <w:rPr>
                <w:rFonts w:hint="eastAsia" w:cs="Times New Roman"/>
                <w:b/>
              </w:rPr>
              <w:t>表3</w:t>
            </w:r>
            <w:r>
              <w:rPr>
                <w:rFonts w:cs="Times New Roman"/>
                <w:b/>
              </w:rPr>
              <w:t>.9                        本工程声环境敏感点</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3665"/>
              <w:gridCol w:w="32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90" w:type="pct"/>
                  <w:vAlign w:val="center"/>
                </w:tcPr>
                <w:p>
                  <w:pPr>
                    <w:snapToGrid w:val="0"/>
                    <w:spacing w:line="340" w:lineRule="exact"/>
                    <w:jc w:val="center"/>
                    <w:rPr>
                      <w:kern w:val="0"/>
                      <w:szCs w:val="21"/>
                    </w:rPr>
                  </w:pPr>
                </w:p>
              </w:tc>
              <w:tc>
                <w:tcPr>
                  <w:tcW w:w="2270" w:type="pct"/>
                  <w:vAlign w:val="center"/>
                </w:tcPr>
                <w:p>
                  <w:pPr>
                    <w:widowControl/>
                    <w:snapToGrid w:val="0"/>
                    <w:spacing w:line="340" w:lineRule="exact"/>
                    <w:ind w:left="420" w:hanging="420"/>
                    <w:jc w:val="center"/>
                    <w:rPr>
                      <w:kern w:val="0"/>
                    </w:rPr>
                  </w:pPr>
                  <w:r>
                    <w:rPr>
                      <w:kern w:val="0"/>
                    </w:rPr>
                    <w:t>保护目标</w:t>
                  </w:r>
                </w:p>
              </w:tc>
              <w:tc>
                <w:tcPr>
                  <w:tcW w:w="2040" w:type="pct"/>
                  <w:vAlign w:val="center"/>
                </w:tcPr>
                <w:p>
                  <w:pPr>
                    <w:widowControl/>
                    <w:snapToGrid w:val="0"/>
                    <w:spacing w:line="340" w:lineRule="exact"/>
                    <w:ind w:left="420" w:hanging="420"/>
                    <w:jc w:val="center"/>
                  </w:pPr>
                  <w: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90" w:type="pct"/>
                  <w:vMerge w:val="restart"/>
                  <w:vAlign w:val="center"/>
                </w:tcPr>
                <w:p>
                  <w:pPr>
                    <w:snapToGrid w:val="0"/>
                    <w:spacing w:line="340" w:lineRule="exact"/>
                    <w:jc w:val="center"/>
                    <w:rPr>
                      <w:kern w:val="0"/>
                      <w:szCs w:val="21"/>
                    </w:rPr>
                  </w:pPr>
                  <w:r>
                    <w:t>声环境</w:t>
                  </w:r>
                </w:p>
              </w:tc>
              <w:tc>
                <w:tcPr>
                  <w:tcW w:w="2270" w:type="pct"/>
                  <w:vAlign w:val="center"/>
                </w:tcPr>
                <w:p>
                  <w:pPr>
                    <w:widowControl/>
                    <w:snapToGrid w:val="0"/>
                    <w:spacing w:line="340" w:lineRule="exact"/>
                    <w:ind w:left="420" w:hanging="420"/>
                    <w:jc w:val="center"/>
                    <w:rPr>
                      <w:kern w:val="0"/>
                    </w:rPr>
                  </w:pPr>
                  <w:r>
                    <w:rPr>
                      <w:rFonts w:hint="eastAsia"/>
                    </w:rPr>
                    <w:t>地块1北侧156m处彩钢房</w:t>
                  </w:r>
                </w:p>
              </w:tc>
              <w:tc>
                <w:tcPr>
                  <w:tcW w:w="2040" w:type="pct"/>
                  <w:vMerge w:val="restart"/>
                  <w:vAlign w:val="center"/>
                </w:tcPr>
                <w:p>
                  <w:pPr>
                    <w:widowControl/>
                    <w:snapToGrid w:val="0"/>
                    <w:spacing w:line="340" w:lineRule="exact"/>
                    <w:ind w:left="420" w:hanging="420"/>
                    <w:jc w:val="center"/>
                  </w:pPr>
                  <w:r>
                    <w:rPr>
                      <w:rFonts w:hint="eastAsia"/>
                    </w:rPr>
                    <w:t>《声环境质量标准》（GB3096-2008）的</w:t>
                  </w:r>
                  <w:r>
                    <w:t>1类</w:t>
                  </w:r>
                  <w:r>
                    <w:rPr>
                      <w:rFonts w:hint="eastAsia"/>
                    </w:rPr>
                    <w:t>标准（昼间</w:t>
                  </w:r>
                  <w:r>
                    <w:t>55</w:t>
                  </w:r>
                  <w:r>
                    <w:rPr>
                      <w:rFonts w:hint="eastAsia"/>
                    </w:rPr>
                    <w:t>dB（A），夜间</w:t>
                  </w:r>
                  <w:r>
                    <w:t>45</w:t>
                  </w:r>
                  <w:r>
                    <w:rPr>
                      <w:rFonts w:hint="eastAsia"/>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90" w:type="pct"/>
                  <w:vMerge w:val="continue"/>
                  <w:vAlign w:val="center"/>
                </w:tcPr>
                <w:p>
                  <w:pPr>
                    <w:snapToGrid w:val="0"/>
                    <w:spacing w:line="340" w:lineRule="exact"/>
                    <w:jc w:val="center"/>
                    <w:rPr>
                      <w:kern w:val="0"/>
                      <w:szCs w:val="21"/>
                    </w:rPr>
                  </w:pPr>
                </w:p>
              </w:tc>
              <w:tc>
                <w:tcPr>
                  <w:tcW w:w="2270" w:type="pct"/>
                  <w:vAlign w:val="center"/>
                </w:tcPr>
                <w:p>
                  <w:pPr>
                    <w:widowControl/>
                    <w:snapToGrid w:val="0"/>
                    <w:spacing w:line="340" w:lineRule="exact"/>
                    <w:ind w:left="420" w:hanging="420"/>
                    <w:jc w:val="center"/>
                    <w:rPr>
                      <w:kern w:val="0"/>
                    </w:rPr>
                  </w:pPr>
                  <w:r>
                    <w:rPr>
                      <w:rFonts w:hint="eastAsia"/>
                    </w:rPr>
                    <w:t>地块2西南侧185m处民房</w:t>
                  </w:r>
                </w:p>
              </w:tc>
              <w:tc>
                <w:tcPr>
                  <w:tcW w:w="2040" w:type="pct"/>
                  <w:vMerge w:val="continue"/>
                  <w:vAlign w:val="center"/>
                </w:tcPr>
                <w:p>
                  <w:pPr>
                    <w:widowControl/>
                    <w:snapToGrid w:val="0"/>
                    <w:spacing w:line="340" w:lineRule="exact"/>
                    <w:ind w:left="420" w:hanging="42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690" w:type="pct"/>
                  <w:vMerge w:val="continue"/>
                  <w:vAlign w:val="center"/>
                </w:tcPr>
                <w:p>
                  <w:pPr>
                    <w:widowControl/>
                    <w:snapToGrid w:val="0"/>
                    <w:spacing w:line="340" w:lineRule="exact"/>
                    <w:jc w:val="center"/>
                    <w:rPr>
                      <w:kern w:val="0"/>
                    </w:rPr>
                  </w:pPr>
                </w:p>
              </w:tc>
              <w:tc>
                <w:tcPr>
                  <w:tcW w:w="2270" w:type="pct"/>
                  <w:vAlign w:val="center"/>
                </w:tcPr>
                <w:p>
                  <w:pPr>
                    <w:widowControl/>
                    <w:snapToGrid w:val="0"/>
                    <w:spacing w:line="340" w:lineRule="exact"/>
                    <w:jc w:val="center"/>
                    <w:rPr>
                      <w:kern w:val="0"/>
                    </w:rPr>
                  </w:pPr>
                  <w:r>
                    <w:rPr>
                      <w:rFonts w:hint="eastAsia"/>
                    </w:rPr>
                    <w:t>地块5东南侧52m处民房</w:t>
                  </w:r>
                </w:p>
              </w:tc>
              <w:tc>
                <w:tcPr>
                  <w:tcW w:w="2040" w:type="pct"/>
                  <w:vMerge w:val="continue"/>
                  <w:vAlign w:val="center"/>
                </w:tcPr>
                <w:p>
                  <w:pPr>
                    <w:autoSpaceDE w:val="0"/>
                    <w:autoSpaceDN w:val="0"/>
                    <w:adjustRightInd w:val="0"/>
                    <w:spacing w:line="340" w:lineRule="exact"/>
                  </w:pPr>
                </w:p>
              </w:tc>
            </w:tr>
          </w:tbl>
          <w:p>
            <w:pPr>
              <w:pStyle w:val="24"/>
              <w:ind w:firstLine="482"/>
              <w:rPr>
                <w:rFonts w:cs="Times New Roman"/>
              </w:rPr>
            </w:pPr>
          </w:p>
          <w:p>
            <w:pPr>
              <w:pStyle w:val="24"/>
              <w:ind w:firstLine="482"/>
              <w:rPr>
                <w:rFonts w:cs="Times New Roman"/>
              </w:rPr>
            </w:pPr>
            <w:r>
              <w:rPr>
                <w:rFonts w:cs="Times New Roman"/>
              </w:rPr>
              <w:t>（2）生态环境保护目标</w:t>
            </w:r>
          </w:p>
          <w:p>
            <w:pPr>
              <w:pStyle w:val="46"/>
              <w:ind w:firstLine="480"/>
              <w:rPr>
                <w:rFonts w:cs="Times New Roman"/>
              </w:rPr>
            </w:pPr>
            <w:r>
              <w:rPr>
                <w:rFonts w:hint="eastAsia" w:cs="Times New Roman"/>
              </w:rPr>
              <w:t>本项目不涉及国家公园、自然保护区、风景名胜区、世界文化和自然遗产地、饮用水水源保护区，也不涉及风景名胜区、森林公园、地质公园、原始天然林、珍稀濒危野生动植物天然集中分布区等重要生态敏感区。生态</w:t>
            </w:r>
            <w:r>
              <w:rPr>
                <w:rFonts w:cs="Times New Roman"/>
              </w:rPr>
              <w:t>环境保护目标详见表3.10。</w:t>
            </w:r>
          </w:p>
          <w:p>
            <w:pPr>
              <w:pStyle w:val="22"/>
              <w:spacing w:before="240" w:after="120"/>
            </w:pPr>
            <w:r>
              <w:t>表3.10                      环境敏感目标一览表</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3665"/>
              <w:gridCol w:w="32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90" w:type="pct"/>
                  <w:vAlign w:val="center"/>
                </w:tcPr>
                <w:p>
                  <w:pPr>
                    <w:snapToGrid w:val="0"/>
                    <w:spacing w:line="340" w:lineRule="exact"/>
                    <w:jc w:val="center"/>
                    <w:rPr>
                      <w:kern w:val="0"/>
                      <w:szCs w:val="21"/>
                    </w:rPr>
                  </w:pPr>
                </w:p>
              </w:tc>
              <w:tc>
                <w:tcPr>
                  <w:tcW w:w="2270" w:type="pct"/>
                  <w:vAlign w:val="center"/>
                </w:tcPr>
                <w:p>
                  <w:pPr>
                    <w:widowControl/>
                    <w:snapToGrid w:val="0"/>
                    <w:spacing w:line="340" w:lineRule="exact"/>
                    <w:ind w:left="420" w:hanging="420"/>
                    <w:jc w:val="center"/>
                    <w:rPr>
                      <w:kern w:val="0"/>
                    </w:rPr>
                  </w:pPr>
                  <w:r>
                    <w:rPr>
                      <w:kern w:val="0"/>
                    </w:rPr>
                    <w:t>保护目标</w:t>
                  </w:r>
                </w:p>
              </w:tc>
              <w:tc>
                <w:tcPr>
                  <w:tcW w:w="2041" w:type="pct"/>
                  <w:vAlign w:val="center"/>
                </w:tcPr>
                <w:p>
                  <w:pPr>
                    <w:widowControl/>
                    <w:snapToGrid w:val="0"/>
                    <w:spacing w:line="340" w:lineRule="exact"/>
                    <w:ind w:left="420" w:hanging="420"/>
                    <w:jc w:val="center"/>
                  </w:pPr>
                  <w: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690" w:type="pct"/>
                  <w:vAlign w:val="center"/>
                </w:tcPr>
                <w:p>
                  <w:pPr>
                    <w:widowControl/>
                    <w:snapToGrid w:val="0"/>
                    <w:spacing w:line="340" w:lineRule="exact"/>
                    <w:jc w:val="center"/>
                    <w:rPr>
                      <w:kern w:val="0"/>
                    </w:rPr>
                  </w:pPr>
                  <w:r>
                    <w:rPr>
                      <w:kern w:val="0"/>
                    </w:rPr>
                    <w:t>生态环境</w:t>
                  </w:r>
                </w:p>
              </w:tc>
              <w:tc>
                <w:tcPr>
                  <w:tcW w:w="2270" w:type="pct"/>
                  <w:vAlign w:val="center"/>
                </w:tcPr>
                <w:p>
                  <w:pPr>
                    <w:widowControl/>
                    <w:snapToGrid w:val="0"/>
                    <w:spacing w:line="340" w:lineRule="exact"/>
                    <w:rPr>
                      <w:kern w:val="0"/>
                    </w:rPr>
                  </w:pPr>
                  <w:r>
                    <w:t>工程占地范围内草地生态系统和动植物等</w:t>
                  </w:r>
                </w:p>
              </w:tc>
              <w:tc>
                <w:tcPr>
                  <w:tcW w:w="2041" w:type="pct"/>
                  <w:vAlign w:val="center"/>
                </w:tcPr>
                <w:p>
                  <w:pPr>
                    <w:autoSpaceDE w:val="0"/>
                    <w:autoSpaceDN w:val="0"/>
                    <w:adjustRightInd w:val="0"/>
                    <w:spacing w:line="340" w:lineRule="exact"/>
                  </w:pPr>
                  <w:r>
                    <w:t>维护区域生态系统的完整性和稳定性</w:t>
                  </w:r>
                </w:p>
              </w:tc>
            </w:tr>
          </w:tbl>
          <w:p>
            <w:pPr>
              <w:tabs>
                <w:tab w:val="left" w:pos="1223"/>
              </w:tabs>
              <w:adjustRightInd w:val="0"/>
              <w:snapToGrid w:val="0"/>
              <w:spacing w:line="360" w:lineRule="auto"/>
              <w:rPr>
                <w:sz w:val="24"/>
              </w:rPr>
            </w:pPr>
            <w:r>
              <w:rPr>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13" w:type="dxa"/>
            <w:left w:w="108" w:type="dxa"/>
            <w:bottom w:w="113" w:type="dxa"/>
            <w:right w:w="108" w:type="dxa"/>
          </w:tblCellMar>
        </w:tblPrEx>
        <w:trPr>
          <w:trHeight w:val="860" w:hRule="atLeast"/>
          <w:jc w:val="center"/>
        </w:trPr>
        <w:tc>
          <w:tcPr>
            <w:tcW w:w="456" w:type="dxa"/>
            <w:vAlign w:val="center"/>
          </w:tcPr>
          <w:p>
            <w:pPr>
              <w:adjustRightInd w:val="0"/>
              <w:snapToGrid w:val="0"/>
              <w:jc w:val="center"/>
              <w:rPr>
                <w:kern w:val="0"/>
                <w:sz w:val="24"/>
                <w:szCs w:val="21"/>
              </w:rPr>
            </w:pPr>
            <w:r>
              <w:rPr>
                <w:kern w:val="0"/>
                <w:sz w:val="24"/>
                <w:szCs w:val="21"/>
              </w:rPr>
              <w:t>评价</w:t>
            </w:r>
          </w:p>
          <w:p>
            <w:pPr>
              <w:adjustRightInd w:val="0"/>
              <w:snapToGrid w:val="0"/>
              <w:jc w:val="center"/>
              <w:rPr>
                <w:kern w:val="0"/>
                <w:szCs w:val="21"/>
              </w:rPr>
            </w:pPr>
            <w:r>
              <w:rPr>
                <w:kern w:val="0"/>
                <w:sz w:val="24"/>
                <w:szCs w:val="21"/>
              </w:rPr>
              <w:t>标准</w:t>
            </w:r>
          </w:p>
        </w:tc>
        <w:tc>
          <w:tcPr>
            <w:tcW w:w="8318" w:type="dxa"/>
            <w:vAlign w:val="center"/>
          </w:tcPr>
          <w:p>
            <w:pPr>
              <w:pStyle w:val="44"/>
              <w:spacing w:before="120"/>
              <w:rPr>
                <w:rFonts w:cs="Times New Roman"/>
                <w:color w:val="auto"/>
              </w:rPr>
            </w:pPr>
            <w:r>
              <w:rPr>
                <w:rFonts w:cs="Times New Roman"/>
                <w:color w:val="auto"/>
              </w:rPr>
              <w:t>1、环境质量标准</w:t>
            </w:r>
          </w:p>
          <w:p>
            <w:pPr>
              <w:pStyle w:val="24"/>
              <w:ind w:firstLine="482"/>
              <w:rPr>
                <w:rFonts w:cs="Times New Roman"/>
              </w:rPr>
            </w:pPr>
            <w:r>
              <w:rPr>
                <w:rFonts w:cs="Times New Roman"/>
              </w:rPr>
              <w:t>（1）环境空气质量标准</w:t>
            </w:r>
          </w:p>
          <w:p>
            <w:pPr>
              <w:spacing w:line="360" w:lineRule="auto"/>
              <w:ind w:firstLine="480" w:firstLineChars="200"/>
              <w:rPr>
                <w:sz w:val="24"/>
              </w:rPr>
            </w:pPr>
            <w:r>
              <w:rPr>
                <w:sz w:val="24"/>
              </w:rPr>
              <w:t>环境空气质量执行《环境空气质量标准》（GB3095-2012）中的二级标准，主要指标见表3.11。</w:t>
            </w:r>
          </w:p>
          <w:p>
            <w:pPr>
              <w:pStyle w:val="22"/>
              <w:spacing w:before="240" w:after="120"/>
            </w:pPr>
            <w:r>
              <w:t>表3.11                 环境空气质量标准（GB3095-2012）</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50"/>
              <w:gridCol w:w="1821"/>
              <w:gridCol w:w="1456"/>
              <w:gridCol w:w="1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trPr>
              <w:tc>
                <w:tcPr>
                  <w:tcW w:w="1889" w:type="pct"/>
                  <w:vAlign w:val="center"/>
                </w:tcPr>
                <w:p>
                  <w:pPr>
                    <w:snapToGrid w:val="0"/>
                    <w:jc w:val="center"/>
                    <w:rPr>
                      <w:b/>
                      <w:szCs w:val="21"/>
                    </w:rPr>
                  </w:pPr>
                  <w:r>
                    <w:rPr>
                      <w:b/>
                    </w:rPr>
                    <w:t>污染物名称</w:t>
                  </w:r>
                </w:p>
              </w:tc>
              <w:tc>
                <w:tcPr>
                  <w:tcW w:w="1128" w:type="pct"/>
                  <w:vAlign w:val="center"/>
                </w:tcPr>
                <w:p>
                  <w:pPr>
                    <w:snapToGrid w:val="0"/>
                    <w:jc w:val="center"/>
                    <w:rPr>
                      <w:b/>
                    </w:rPr>
                  </w:pPr>
                  <w:r>
                    <w:rPr>
                      <w:b/>
                    </w:rPr>
                    <w:t>平均时间</w:t>
                  </w:r>
                </w:p>
              </w:tc>
              <w:tc>
                <w:tcPr>
                  <w:tcW w:w="902" w:type="pct"/>
                  <w:vAlign w:val="center"/>
                </w:tcPr>
                <w:p>
                  <w:pPr>
                    <w:snapToGrid w:val="0"/>
                    <w:jc w:val="center"/>
                    <w:rPr>
                      <w:b/>
                    </w:rPr>
                  </w:pPr>
                  <w:r>
                    <w:rPr>
                      <w:b/>
                    </w:rPr>
                    <w:t>浓度限值</w:t>
                  </w:r>
                </w:p>
                <w:p>
                  <w:pPr>
                    <w:snapToGrid w:val="0"/>
                    <w:jc w:val="center"/>
                    <w:rPr>
                      <w:b/>
                    </w:rPr>
                  </w:pPr>
                  <w:r>
                    <w:rPr>
                      <w:b/>
                    </w:rPr>
                    <w:t>（二级标准）</w:t>
                  </w:r>
                </w:p>
              </w:tc>
              <w:tc>
                <w:tcPr>
                  <w:tcW w:w="1081" w:type="pct"/>
                  <w:vAlign w:val="center"/>
                </w:tcPr>
                <w:p>
                  <w:pPr>
                    <w:snapToGrid w:val="0"/>
                    <w:jc w:val="center"/>
                    <w:rPr>
                      <w:b/>
                    </w:rPr>
                  </w:pPr>
                  <w:r>
                    <w:rPr>
                      <w:b/>
                    </w:rPr>
                    <w:t>浓度单位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restart"/>
                  <w:vAlign w:val="center"/>
                </w:tcPr>
                <w:p>
                  <w:pPr>
                    <w:snapToGrid w:val="0"/>
                    <w:jc w:val="center"/>
                  </w:pPr>
                  <w:r>
                    <w:t>二氧化硫（SO</w:t>
                  </w:r>
                  <w:r>
                    <w:rPr>
                      <w:vertAlign w:val="subscript"/>
                    </w:rPr>
                    <w:t>2</w:t>
                  </w:r>
                  <w:r>
                    <w:t>）</w:t>
                  </w:r>
                </w:p>
              </w:tc>
              <w:tc>
                <w:tcPr>
                  <w:tcW w:w="1128" w:type="pct"/>
                  <w:vAlign w:val="center"/>
                </w:tcPr>
                <w:p>
                  <w:pPr>
                    <w:snapToGrid w:val="0"/>
                    <w:jc w:val="center"/>
                  </w:pPr>
                  <w:r>
                    <w:t>24h平均</w:t>
                  </w:r>
                </w:p>
              </w:tc>
              <w:tc>
                <w:tcPr>
                  <w:tcW w:w="902" w:type="pct"/>
                  <w:vAlign w:val="center"/>
                </w:tcPr>
                <w:p>
                  <w:pPr>
                    <w:snapToGrid w:val="0"/>
                    <w:jc w:val="center"/>
                  </w:pPr>
                  <w:r>
                    <w:t>150</w:t>
                  </w:r>
                </w:p>
              </w:tc>
              <w:tc>
                <w:tcPr>
                  <w:tcW w:w="1081" w:type="pct"/>
                  <w:vMerge w:val="restart"/>
                  <w:vAlign w:val="center"/>
                </w:tcPr>
                <w:p>
                  <w:pPr>
                    <w:snapToGrid w:val="0"/>
                    <w:jc w:val="center"/>
                    <w:rPr>
                      <w:vertAlign w:val="superscript"/>
                    </w:rPr>
                  </w:pPr>
                  <w:r>
                    <w:t>μg/m³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continue"/>
                  <w:vAlign w:val="center"/>
                </w:tcPr>
                <w:p>
                  <w:pPr>
                    <w:widowControl/>
                    <w:jc w:val="left"/>
                    <w:rPr>
                      <w:szCs w:val="21"/>
                    </w:rPr>
                  </w:pPr>
                </w:p>
              </w:tc>
              <w:tc>
                <w:tcPr>
                  <w:tcW w:w="1128" w:type="pct"/>
                  <w:vAlign w:val="center"/>
                </w:tcPr>
                <w:p>
                  <w:pPr>
                    <w:snapToGrid w:val="0"/>
                    <w:jc w:val="center"/>
                  </w:pPr>
                  <w:r>
                    <w:t>1h平均</w:t>
                  </w:r>
                </w:p>
              </w:tc>
              <w:tc>
                <w:tcPr>
                  <w:tcW w:w="902" w:type="pct"/>
                  <w:vAlign w:val="center"/>
                </w:tcPr>
                <w:p>
                  <w:pPr>
                    <w:snapToGrid w:val="0"/>
                    <w:jc w:val="center"/>
                  </w:pPr>
                  <w:r>
                    <w:t>500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restart"/>
                  <w:vAlign w:val="center"/>
                </w:tcPr>
                <w:p>
                  <w:pPr>
                    <w:snapToGrid w:val="0"/>
                    <w:jc w:val="center"/>
                  </w:pPr>
                  <w:r>
                    <w:t>二氧化氮（NO</w:t>
                  </w:r>
                  <w:r>
                    <w:rPr>
                      <w:vertAlign w:val="subscript"/>
                    </w:rPr>
                    <w:t>2</w:t>
                  </w:r>
                  <w:r>
                    <w:t>）</w:t>
                  </w:r>
                </w:p>
              </w:tc>
              <w:tc>
                <w:tcPr>
                  <w:tcW w:w="1128" w:type="pct"/>
                  <w:vAlign w:val="center"/>
                </w:tcPr>
                <w:p>
                  <w:pPr>
                    <w:snapToGrid w:val="0"/>
                    <w:jc w:val="center"/>
                  </w:pPr>
                  <w:r>
                    <w:t>24h平均</w:t>
                  </w:r>
                </w:p>
              </w:tc>
              <w:tc>
                <w:tcPr>
                  <w:tcW w:w="902" w:type="pct"/>
                  <w:vAlign w:val="center"/>
                </w:tcPr>
                <w:p>
                  <w:pPr>
                    <w:snapToGrid w:val="0"/>
                    <w:jc w:val="center"/>
                  </w:pPr>
                  <w:r>
                    <w:t>80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continue"/>
                  <w:vAlign w:val="center"/>
                </w:tcPr>
                <w:p>
                  <w:pPr>
                    <w:widowControl/>
                    <w:jc w:val="left"/>
                    <w:rPr>
                      <w:szCs w:val="21"/>
                    </w:rPr>
                  </w:pPr>
                </w:p>
              </w:tc>
              <w:tc>
                <w:tcPr>
                  <w:tcW w:w="1128" w:type="pct"/>
                  <w:vAlign w:val="center"/>
                </w:tcPr>
                <w:p>
                  <w:pPr>
                    <w:snapToGrid w:val="0"/>
                    <w:jc w:val="center"/>
                  </w:pPr>
                  <w:r>
                    <w:t>1h平均</w:t>
                  </w:r>
                </w:p>
              </w:tc>
              <w:tc>
                <w:tcPr>
                  <w:tcW w:w="902" w:type="pct"/>
                  <w:vAlign w:val="center"/>
                </w:tcPr>
                <w:p>
                  <w:pPr>
                    <w:snapToGrid w:val="0"/>
                    <w:jc w:val="center"/>
                  </w:pPr>
                  <w:r>
                    <w:t>200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Align w:val="center"/>
                </w:tcPr>
                <w:p>
                  <w:pPr>
                    <w:snapToGrid w:val="0"/>
                    <w:jc w:val="center"/>
                  </w:pPr>
                  <w:r>
                    <w:t>细颗粒物（PM</w:t>
                  </w:r>
                  <w:r>
                    <w:rPr>
                      <w:vertAlign w:val="subscript"/>
                    </w:rPr>
                    <w:t>10</w:t>
                  </w:r>
                  <w:r>
                    <w:t>）</w:t>
                  </w:r>
                </w:p>
              </w:tc>
              <w:tc>
                <w:tcPr>
                  <w:tcW w:w="1128" w:type="pct"/>
                  <w:vAlign w:val="center"/>
                </w:tcPr>
                <w:p>
                  <w:pPr>
                    <w:snapToGrid w:val="0"/>
                    <w:jc w:val="center"/>
                  </w:pPr>
                  <w:r>
                    <w:t>24h平均</w:t>
                  </w:r>
                </w:p>
              </w:tc>
              <w:tc>
                <w:tcPr>
                  <w:tcW w:w="902" w:type="pct"/>
                  <w:vAlign w:val="center"/>
                </w:tcPr>
                <w:p>
                  <w:pPr>
                    <w:snapToGrid w:val="0"/>
                    <w:jc w:val="center"/>
                  </w:pPr>
                  <w:r>
                    <w:t>150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Align w:val="center"/>
                </w:tcPr>
                <w:p>
                  <w:pPr>
                    <w:snapToGrid w:val="0"/>
                    <w:jc w:val="center"/>
                  </w:pPr>
                  <w:r>
                    <w:t>可吸入颗粒物（PM</w:t>
                  </w:r>
                  <w:r>
                    <w:rPr>
                      <w:vertAlign w:val="subscript"/>
                    </w:rPr>
                    <w:t>2.5</w:t>
                  </w:r>
                  <w:r>
                    <w:t>）</w:t>
                  </w:r>
                </w:p>
              </w:tc>
              <w:tc>
                <w:tcPr>
                  <w:tcW w:w="1128" w:type="pct"/>
                  <w:vAlign w:val="center"/>
                </w:tcPr>
                <w:p>
                  <w:pPr>
                    <w:snapToGrid w:val="0"/>
                    <w:jc w:val="center"/>
                  </w:pPr>
                  <w:r>
                    <w:t>24h平均</w:t>
                  </w:r>
                </w:p>
              </w:tc>
              <w:tc>
                <w:tcPr>
                  <w:tcW w:w="902" w:type="pct"/>
                  <w:vAlign w:val="center"/>
                </w:tcPr>
                <w:p>
                  <w:pPr>
                    <w:snapToGrid w:val="0"/>
                    <w:jc w:val="center"/>
                  </w:pPr>
                  <w:r>
                    <w:t>300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restart"/>
                  <w:vAlign w:val="center"/>
                </w:tcPr>
                <w:p>
                  <w:pPr>
                    <w:snapToGrid w:val="0"/>
                    <w:jc w:val="center"/>
                  </w:pPr>
                  <w:r>
                    <w:t>O</w:t>
                  </w:r>
                  <w:r>
                    <w:rPr>
                      <w:vertAlign w:val="subscript"/>
                    </w:rPr>
                    <w:t>3</w:t>
                  </w:r>
                </w:p>
              </w:tc>
              <w:tc>
                <w:tcPr>
                  <w:tcW w:w="1128" w:type="pct"/>
                  <w:vAlign w:val="center"/>
                </w:tcPr>
                <w:p>
                  <w:pPr>
                    <w:snapToGrid w:val="0"/>
                    <w:jc w:val="center"/>
                  </w:pPr>
                  <w:r>
                    <w:t>日最大8h平均</w:t>
                  </w:r>
                </w:p>
              </w:tc>
              <w:tc>
                <w:tcPr>
                  <w:tcW w:w="902" w:type="pct"/>
                  <w:vAlign w:val="center"/>
                </w:tcPr>
                <w:p>
                  <w:pPr>
                    <w:snapToGrid w:val="0"/>
                    <w:jc w:val="center"/>
                  </w:pPr>
                  <w:r>
                    <w:t>160</w:t>
                  </w:r>
                </w:p>
              </w:tc>
              <w:tc>
                <w:tcPr>
                  <w:tcW w:w="1081" w:type="pct"/>
                  <w:vMerge w:val="restart"/>
                  <w:vAlign w:val="center"/>
                </w:tcPr>
                <w:p>
                  <w:pPr>
                    <w:snapToGrid w:val="0"/>
                    <w:jc w:val="center"/>
                    <w:rPr>
                      <w:vertAlign w:val="superscript"/>
                    </w:rPr>
                  </w:pPr>
                  <w:r>
                    <w:t>μg/m³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continue"/>
                  <w:vAlign w:val="center"/>
                </w:tcPr>
                <w:p>
                  <w:pPr>
                    <w:widowControl/>
                    <w:jc w:val="left"/>
                    <w:rPr>
                      <w:szCs w:val="21"/>
                    </w:rPr>
                  </w:pPr>
                </w:p>
              </w:tc>
              <w:tc>
                <w:tcPr>
                  <w:tcW w:w="1128" w:type="pct"/>
                  <w:vAlign w:val="center"/>
                </w:tcPr>
                <w:p>
                  <w:pPr>
                    <w:snapToGrid w:val="0"/>
                    <w:jc w:val="center"/>
                  </w:pPr>
                  <w:r>
                    <w:t>1h平均</w:t>
                  </w:r>
                </w:p>
              </w:tc>
              <w:tc>
                <w:tcPr>
                  <w:tcW w:w="902" w:type="pct"/>
                  <w:vAlign w:val="center"/>
                </w:tcPr>
                <w:p>
                  <w:pPr>
                    <w:snapToGrid w:val="0"/>
                    <w:jc w:val="center"/>
                  </w:pPr>
                  <w:r>
                    <w:t>200</w:t>
                  </w:r>
                </w:p>
              </w:tc>
              <w:tc>
                <w:tcPr>
                  <w:tcW w:w="1081" w:type="pct"/>
                  <w:vMerge w:val="continue"/>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restart"/>
                  <w:vAlign w:val="center"/>
                </w:tcPr>
                <w:p>
                  <w:pPr>
                    <w:snapToGrid w:val="0"/>
                    <w:jc w:val="center"/>
                  </w:pPr>
                  <w:r>
                    <w:t>CO</w:t>
                  </w:r>
                </w:p>
              </w:tc>
              <w:tc>
                <w:tcPr>
                  <w:tcW w:w="1128" w:type="pct"/>
                  <w:vAlign w:val="center"/>
                </w:tcPr>
                <w:p>
                  <w:pPr>
                    <w:snapToGrid w:val="0"/>
                    <w:jc w:val="center"/>
                  </w:pPr>
                  <w:r>
                    <w:t>24h平均</w:t>
                  </w:r>
                </w:p>
              </w:tc>
              <w:tc>
                <w:tcPr>
                  <w:tcW w:w="902" w:type="pct"/>
                  <w:vAlign w:val="center"/>
                </w:tcPr>
                <w:p>
                  <w:pPr>
                    <w:snapToGrid w:val="0"/>
                    <w:jc w:val="center"/>
                  </w:pPr>
                  <w:r>
                    <w:t>4</w:t>
                  </w:r>
                </w:p>
              </w:tc>
              <w:tc>
                <w:tcPr>
                  <w:tcW w:w="1081" w:type="pct"/>
                  <w:vMerge w:val="restart"/>
                  <w:vAlign w:val="center"/>
                </w:tcPr>
                <w:p>
                  <w:pPr>
                    <w:snapToGrid w:val="0"/>
                    <w:jc w:val="center"/>
                    <w:rPr>
                      <w:vertAlign w:val="superscript"/>
                    </w:rPr>
                  </w:pPr>
                  <w:r>
                    <w:t>mg/m³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89" w:type="pct"/>
                  <w:vMerge w:val="continue"/>
                  <w:vAlign w:val="center"/>
                </w:tcPr>
                <w:p>
                  <w:pPr>
                    <w:widowControl/>
                    <w:jc w:val="left"/>
                    <w:rPr>
                      <w:szCs w:val="21"/>
                    </w:rPr>
                  </w:pPr>
                </w:p>
              </w:tc>
              <w:tc>
                <w:tcPr>
                  <w:tcW w:w="1128" w:type="pct"/>
                  <w:vAlign w:val="center"/>
                </w:tcPr>
                <w:p>
                  <w:pPr>
                    <w:snapToGrid w:val="0"/>
                    <w:jc w:val="center"/>
                  </w:pPr>
                  <w:r>
                    <w:t>1h平均</w:t>
                  </w:r>
                </w:p>
              </w:tc>
              <w:tc>
                <w:tcPr>
                  <w:tcW w:w="902" w:type="pct"/>
                  <w:vAlign w:val="center"/>
                </w:tcPr>
                <w:p>
                  <w:pPr>
                    <w:snapToGrid w:val="0"/>
                    <w:jc w:val="center"/>
                  </w:pPr>
                  <w:r>
                    <w:t>10</w:t>
                  </w:r>
                </w:p>
              </w:tc>
              <w:tc>
                <w:tcPr>
                  <w:tcW w:w="1081" w:type="pct"/>
                  <w:vMerge w:val="continue"/>
                  <w:vAlign w:val="center"/>
                </w:tcPr>
                <w:p>
                  <w:pPr>
                    <w:widowControl/>
                    <w:jc w:val="left"/>
                    <w:rPr>
                      <w:szCs w:val="21"/>
                    </w:rPr>
                  </w:pPr>
                </w:p>
              </w:tc>
            </w:tr>
          </w:tbl>
          <w:p>
            <w:pPr>
              <w:pStyle w:val="24"/>
              <w:ind w:firstLine="482"/>
              <w:rPr>
                <w:rFonts w:cs="Times New Roman"/>
              </w:rPr>
            </w:pPr>
            <w:r>
              <w:rPr>
                <w:rFonts w:cs="Times New Roman"/>
              </w:rPr>
              <w:t>（2）声环境质量标准</w:t>
            </w:r>
          </w:p>
          <w:p>
            <w:pPr>
              <w:spacing w:line="360" w:lineRule="auto"/>
              <w:ind w:firstLine="480" w:firstLineChars="200"/>
              <w:rPr>
                <w:sz w:val="24"/>
              </w:rPr>
            </w:pPr>
            <w:r>
              <w:rPr>
                <w:rFonts w:hint="eastAsia"/>
                <w:sz w:val="24"/>
              </w:rPr>
              <w:t>本项目</w:t>
            </w:r>
            <w:r>
              <w:rPr>
                <w:sz w:val="24"/>
              </w:rPr>
              <w:t>环境</w:t>
            </w:r>
            <w:r>
              <w:rPr>
                <w:rFonts w:hint="eastAsia"/>
                <w:sz w:val="24"/>
              </w:rPr>
              <w:t>质量光伏场与升压站</w:t>
            </w:r>
            <w:r>
              <w:rPr>
                <w:sz w:val="24"/>
              </w:rPr>
              <w:t>执行《声环境质量标准》（GB3096-2008）2类标准</w:t>
            </w:r>
            <w:r>
              <w:rPr>
                <w:rFonts w:hint="eastAsia"/>
                <w:sz w:val="24"/>
              </w:rPr>
              <w:t>限值</w:t>
            </w:r>
            <w:r>
              <w:rPr>
                <w:sz w:val="24"/>
              </w:rPr>
              <w:t>。</w:t>
            </w:r>
            <w:r>
              <w:rPr>
                <w:rFonts w:hint="eastAsia"/>
                <w:sz w:val="24"/>
              </w:rPr>
              <w:t>光伏场外环境保护目标</w:t>
            </w:r>
            <w:r>
              <w:rPr>
                <w:sz w:val="24"/>
              </w:rPr>
              <w:t>执行《声环境质量标准》（GB3096-2008）1类标准</w:t>
            </w:r>
            <w:r>
              <w:rPr>
                <w:rFonts w:hint="eastAsia"/>
                <w:sz w:val="24"/>
              </w:rPr>
              <w:t>限值</w:t>
            </w:r>
            <w:r>
              <w:rPr>
                <w:sz w:val="24"/>
              </w:rPr>
              <w:t>。</w:t>
            </w:r>
          </w:p>
          <w:p>
            <w:pPr>
              <w:pStyle w:val="22"/>
              <w:spacing w:before="240" w:after="120"/>
            </w:pPr>
            <w:r>
              <w:t>表3.12                       声环境评价标准</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7"/>
              <w:gridCol w:w="994"/>
              <w:gridCol w:w="996"/>
              <w:gridCol w:w="41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4" w:type="pct"/>
                  <w:vMerge w:val="restart"/>
                  <w:vAlign w:val="center"/>
                </w:tcPr>
                <w:p>
                  <w:pPr>
                    <w:adjustRightInd w:val="0"/>
                    <w:jc w:val="center"/>
                    <w:rPr>
                      <w:b/>
                      <w:bCs/>
                      <w:szCs w:val="21"/>
                    </w:rPr>
                  </w:pPr>
                  <w:r>
                    <w:rPr>
                      <w:b/>
                      <w:bCs/>
                      <w:szCs w:val="21"/>
                    </w:rPr>
                    <w:t>项目</w:t>
                  </w:r>
                </w:p>
              </w:tc>
              <w:tc>
                <w:tcPr>
                  <w:tcW w:w="1233" w:type="pct"/>
                  <w:gridSpan w:val="2"/>
                  <w:vAlign w:val="center"/>
                </w:tcPr>
                <w:p>
                  <w:pPr>
                    <w:adjustRightInd w:val="0"/>
                    <w:jc w:val="center"/>
                    <w:rPr>
                      <w:b/>
                      <w:bCs/>
                      <w:szCs w:val="21"/>
                    </w:rPr>
                  </w:pPr>
                  <w:r>
                    <w:rPr>
                      <w:b/>
                      <w:bCs/>
                      <w:szCs w:val="21"/>
                    </w:rPr>
                    <w:t>评价标准</w:t>
                  </w:r>
                </w:p>
              </w:tc>
              <w:tc>
                <w:tcPr>
                  <w:tcW w:w="2543" w:type="pct"/>
                  <w:vMerge w:val="restart"/>
                  <w:vAlign w:val="center"/>
                </w:tcPr>
                <w:p>
                  <w:pPr>
                    <w:adjustRightInd w:val="0"/>
                    <w:jc w:val="center"/>
                    <w:rPr>
                      <w:b/>
                      <w:bCs/>
                      <w:szCs w:val="21"/>
                    </w:rPr>
                  </w:pPr>
                  <w:r>
                    <w:rPr>
                      <w:b/>
                      <w:bCs/>
                      <w:szCs w:val="21"/>
                    </w:rPr>
                    <w:t>标准限值来源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4" w:type="pct"/>
                  <w:vMerge w:val="continue"/>
                  <w:vAlign w:val="center"/>
                </w:tcPr>
                <w:p>
                  <w:pPr>
                    <w:widowControl/>
                    <w:jc w:val="center"/>
                    <w:rPr>
                      <w:b/>
                      <w:bCs/>
                      <w:szCs w:val="21"/>
                    </w:rPr>
                  </w:pPr>
                </w:p>
              </w:tc>
              <w:tc>
                <w:tcPr>
                  <w:tcW w:w="616" w:type="pct"/>
                  <w:vAlign w:val="center"/>
                </w:tcPr>
                <w:p>
                  <w:pPr>
                    <w:jc w:val="center"/>
                    <w:rPr>
                      <w:kern w:val="0"/>
                      <w:szCs w:val="21"/>
                    </w:rPr>
                  </w:pPr>
                  <w:r>
                    <w:rPr>
                      <w:kern w:val="0"/>
                      <w:szCs w:val="21"/>
                    </w:rPr>
                    <w:t>昼间</w:t>
                  </w:r>
                </w:p>
              </w:tc>
              <w:tc>
                <w:tcPr>
                  <w:tcW w:w="617" w:type="pct"/>
                  <w:vAlign w:val="center"/>
                </w:tcPr>
                <w:p>
                  <w:pPr>
                    <w:jc w:val="center"/>
                    <w:rPr>
                      <w:kern w:val="0"/>
                      <w:szCs w:val="21"/>
                    </w:rPr>
                  </w:pPr>
                  <w:r>
                    <w:rPr>
                      <w:kern w:val="0"/>
                      <w:szCs w:val="21"/>
                    </w:rPr>
                    <w:t>夜间</w:t>
                  </w:r>
                </w:p>
              </w:tc>
              <w:tc>
                <w:tcPr>
                  <w:tcW w:w="2543" w:type="pct"/>
                  <w:vMerge w:val="continue"/>
                  <w:vAlign w:val="center"/>
                </w:tcPr>
                <w:p>
                  <w:pPr>
                    <w:widowControl/>
                    <w:jc w:val="center"/>
                    <w:rPr>
                      <w:b/>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4" w:type="pct"/>
                  <w:vAlign w:val="center"/>
                </w:tcPr>
                <w:p>
                  <w:pPr>
                    <w:jc w:val="center"/>
                    <w:rPr>
                      <w:kern w:val="0"/>
                      <w:szCs w:val="21"/>
                    </w:rPr>
                  </w:pPr>
                  <w:r>
                    <w:rPr>
                      <w:kern w:val="0"/>
                      <w:szCs w:val="21"/>
                    </w:rPr>
                    <w:t>光伏</w:t>
                  </w:r>
                  <w:r>
                    <w:rPr>
                      <w:rFonts w:hint="eastAsia"/>
                      <w:kern w:val="0"/>
                      <w:szCs w:val="21"/>
                    </w:rPr>
                    <w:t>场</w:t>
                  </w:r>
                </w:p>
              </w:tc>
              <w:tc>
                <w:tcPr>
                  <w:tcW w:w="616" w:type="pct"/>
                  <w:vMerge w:val="restart"/>
                  <w:vAlign w:val="center"/>
                </w:tcPr>
                <w:p>
                  <w:pPr>
                    <w:jc w:val="center"/>
                    <w:rPr>
                      <w:kern w:val="0"/>
                      <w:szCs w:val="21"/>
                    </w:rPr>
                  </w:pPr>
                  <w:r>
                    <w:rPr>
                      <w:kern w:val="0"/>
                      <w:szCs w:val="21"/>
                    </w:rPr>
                    <w:t>60dB(A)</w:t>
                  </w:r>
                </w:p>
              </w:tc>
              <w:tc>
                <w:tcPr>
                  <w:tcW w:w="617" w:type="pct"/>
                  <w:vMerge w:val="restart"/>
                  <w:vAlign w:val="center"/>
                </w:tcPr>
                <w:p>
                  <w:pPr>
                    <w:jc w:val="center"/>
                    <w:rPr>
                      <w:kern w:val="0"/>
                      <w:szCs w:val="21"/>
                    </w:rPr>
                  </w:pPr>
                  <w:r>
                    <w:rPr>
                      <w:kern w:val="0"/>
                      <w:szCs w:val="21"/>
                    </w:rPr>
                    <w:t>50dB(A)</w:t>
                  </w:r>
                </w:p>
              </w:tc>
              <w:tc>
                <w:tcPr>
                  <w:tcW w:w="2543" w:type="pct"/>
                  <w:vMerge w:val="restart"/>
                  <w:vAlign w:val="center"/>
                </w:tcPr>
                <w:p>
                  <w:pPr>
                    <w:jc w:val="center"/>
                    <w:rPr>
                      <w:kern w:val="0"/>
                      <w:szCs w:val="21"/>
                    </w:rPr>
                  </w:pPr>
                  <w:r>
                    <w:rPr>
                      <w:kern w:val="0"/>
                      <w:szCs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4" w:type="pct"/>
                  <w:vAlign w:val="center"/>
                </w:tcPr>
                <w:p>
                  <w:pPr>
                    <w:jc w:val="center"/>
                    <w:rPr>
                      <w:kern w:val="0"/>
                      <w:szCs w:val="21"/>
                    </w:rPr>
                  </w:pPr>
                  <w:r>
                    <w:rPr>
                      <w:rFonts w:hint="eastAsia"/>
                      <w:kern w:val="0"/>
                      <w:szCs w:val="21"/>
                    </w:rPr>
                    <w:t>升压站</w:t>
                  </w:r>
                </w:p>
              </w:tc>
              <w:tc>
                <w:tcPr>
                  <w:tcW w:w="616" w:type="pct"/>
                  <w:vMerge w:val="continue"/>
                  <w:vAlign w:val="center"/>
                </w:tcPr>
                <w:p>
                  <w:pPr>
                    <w:jc w:val="center"/>
                    <w:rPr>
                      <w:kern w:val="0"/>
                      <w:szCs w:val="21"/>
                    </w:rPr>
                  </w:pPr>
                </w:p>
              </w:tc>
              <w:tc>
                <w:tcPr>
                  <w:tcW w:w="617" w:type="pct"/>
                  <w:vMerge w:val="continue"/>
                  <w:vAlign w:val="center"/>
                </w:tcPr>
                <w:p>
                  <w:pPr>
                    <w:jc w:val="center"/>
                    <w:rPr>
                      <w:kern w:val="0"/>
                      <w:szCs w:val="21"/>
                    </w:rPr>
                  </w:pPr>
                </w:p>
              </w:tc>
              <w:tc>
                <w:tcPr>
                  <w:tcW w:w="2543" w:type="pct"/>
                  <w:vMerge w:val="continue"/>
                  <w:vAlign w:val="center"/>
                </w:tcPr>
                <w:p>
                  <w:pPr>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exact"/>
                <w:jc w:val="center"/>
              </w:trPr>
              <w:tc>
                <w:tcPr>
                  <w:tcW w:w="1224" w:type="pct"/>
                  <w:vAlign w:val="center"/>
                </w:tcPr>
                <w:p>
                  <w:pPr>
                    <w:jc w:val="center"/>
                    <w:rPr>
                      <w:kern w:val="0"/>
                      <w:szCs w:val="21"/>
                    </w:rPr>
                  </w:pPr>
                  <w:r>
                    <w:rPr>
                      <w:rFonts w:hint="eastAsia"/>
                      <w:kern w:val="0"/>
                      <w:szCs w:val="21"/>
                    </w:rPr>
                    <w:t>光伏场外保护目标</w:t>
                  </w:r>
                </w:p>
              </w:tc>
              <w:tc>
                <w:tcPr>
                  <w:tcW w:w="616" w:type="pct"/>
                  <w:vAlign w:val="center"/>
                </w:tcPr>
                <w:p>
                  <w:pPr>
                    <w:jc w:val="center"/>
                    <w:rPr>
                      <w:kern w:val="0"/>
                      <w:szCs w:val="21"/>
                    </w:rPr>
                  </w:pPr>
                  <w:r>
                    <w:rPr>
                      <w:kern w:val="0"/>
                      <w:szCs w:val="21"/>
                    </w:rPr>
                    <w:t>55dB(A)</w:t>
                  </w:r>
                </w:p>
              </w:tc>
              <w:tc>
                <w:tcPr>
                  <w:tcW w:w="617" w:type="pct"/>
                  <w:vAlign w:val="center"/>
                </w:tcPr>
                <w:p>
                  <w:pPr>
                    <w:jc w:val="center"/>
                    <w:rPr>
                      <w:kern w:val="0"/>
                      <w:szCs w:val="21"/>
                    </w:rPr>
                  </w:pPr>
                  <w:r>
                    <w:rPr>
                      <w:kern w:val="0"/>
                      <w:szCs w:val="21"/>
                    </w:rPr>
                    <w:t>45dB(A)</w:t>
                  </w:r>
                </w:p>
              </w:tc>
              <w:tc>
                <w:tcPr>
                  <w:tcW w:w="2543" w:type="pct"/>
                  <w:vAlign w:val="center"/>
                </w:tcPr>
                <w:p>
                  <w:pPr>
                    <w:jc w:val="center"/>
                    <w:rPr>
                      <w:kern w:val="0"/>
                      <w:szCs w:val="21"/>
                    </w:rPr>
                  </w:pPr>
                  <w:r>
                    <w:rPr>
                      <w:kern w:val="0"/>
                      <w:szCs w:val="21"/>
                    </w:rPr>
                    <w:t>《声环境质量标准》（GB3096-2008）1类</w:t>
                  </w:r>
                </w:p>
              </w:tc>
            </w:tr>
          </w:tbl>
          <w:p>
            <w:pPr>
              <w:pStyle w:val="44"/>
              <w:spacing w:before="120"/>
              <w:rPr>
                <w:rFonts w:cs="Times New Roman"/>
                <w:color w:val="auto"/>
              </w:rPr>
            </w:pPr>
            <w:r>
              <w:rPr>
                <w:rFonts w:cs="Times New Roman"/>
                <w:color w:val="auto"/>
              </w:rPr>
              <w:t xml:space="preserve"> 2、污染物排放标准</w:t>
            </w:r>
          </w:p>
          <w:p>
            <w:pPr>
              <w:pStyle w:val="24"/>
              <w:ind w:firstLine="482"/>
              <w:rPr>
                <w:rFonts w:cs="Times New Roman"/>
              </w:rPr>
            </w:pPr>
            <w:r>
              <w:rPr>
                <w:rFonts w:cs="Times New Roman"/>
              </w:rPr>
              <w:t xml:space="preserve">（1）噪声 </w:t>
            </w:r>
          </w:p>
          <w:p>
            <w:pPr>
              <w:spacing w:line="360" w:lineRule="auto"/>
              <w:ind w:firstLine="420" w:firstLineChars="200"/>
              <w:rPr>
                <w:sz w:val="24"/>
              </w:rPr>
            </w:pPr>
            <w:r>
              <w:rPr>
                <w:rFonts w:hint="eastAsia"/>
              </w:rPr>
              <w:t>本项目</w:t>
            </w:r>
            <w:r>
              <w:rPr>
                <w:sz w:val="24"/>
              </w:rPr>
              <w:t>建筑施工场界噪声执行《建筑施工场界环境噪声排放标准》（GB12523-2011）的相关标准，具体见下表。</w:t>
            </w:r>
          </w:p>
          <w:p>
            <w:pPr>
              <w:pStyle w:val="22"/>
              <w:spacing w:before="240" w:after="120"/>
            </w:pPr>
            <w:r>
              <w:t>表3.13                建筑施工场界环境噪声排放标准</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1138"/>
              <w:gridCol w:w="994"/>
              <w:gridCol w:w="4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772" w:type="pct"/>
                  <w:vMerge w:val="restart"/>
                  <w:vAlign w:val="center"/>
                </w:tcPr>
                <w:p>
                  <w:pPr>
                    <w:shd w:val="clear" w:color="auto" w:fill="FFFFFF"/>
                    <w:adjustRightInd w:val="0"/>
                    <w:snapToGrid w:val="0"/>
                    <w:jc w:val="center"/>
                    <w:rPr>
                      <w:kern w:val="0"/>
                      <w:szCs w:val="21"/>
                    </w:rPr>
                  </w:pPr>
                  <w:r>
                    <w:rPr>
                      <w:kern w:val="0"/>
                    </w:rPr>
                    <w:t>项目</w:t>
                  </w:r>
                </w:p>
              </w:tc>
              <w:tc>
                <w:tcPr>
                  <w:tcW w:w="1321" w:type="pct"/>
                  <w:gridSpan w:val="2"/>
                  <w:vAlign w:val="center"/>
                </w:tcPr>
                <w:p>
                  <w:pPr>
                    <w:shd w:val="clear" w:color="auto" w:fill="FFFFFF"/>
                    <w:adjustRightInd w:val="0"/>
                    <w:snapToGrid w:val="0"/>
                    <w:jc w:val="center"/>
                    <w:rPr>
                      <w:kern w:val="0"/>
                    </w:rPr>
                  </w:pPr>
                  <w:r>
                    <w:rPr>
                      <w:kern w:val="0"/>
                    </w:rPr>
                    <w:t>评价标准</w:t>
                  </w:r>
                </w:p>
              </w:tc>
              <w:tc>
                <w:tcPr>
                  <w:tcW w:w="2907" w:type="pct"/>
                  <w:vMerge w:val="restart"/>
                  <w:vAlign w:val="center"/>
                </w:tcPr>
                <w:p>
                  <w:pPr>
                    <w:shd w:val="clear" w:color="auto" w:fill="FFFFFF"/>
                    <w:adjustRightInd w:val="0"/>
                    <w:snapToGrid w:val="0"/>
                    <w:jc w:val="center"/>
                    <w:rPr>
                      <w:kern w:val="0"/>
                    </w:rPr>
                  </w:pPr>
                  <w:r>
                    <w:rPr>
                      <w:kern w:val="0"/>
                    </w:rPr>
                    <w:t>标准限值来源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772" w:type="pct"/>
                  <w:vMerge w:val="continue"/>
                  <w:vAlign w:val="center"/>
                </w:tcPr>
                <w:p>
                  <w:pPr>
                    <w:widowControl/>
                    <w:jc w:val="left"/>
                    <w:rPr>
                      <w:kern w:val="0"/>
                      <w:szCs w:val="21"/>
                    </w:rPr>
                  </w:pPr>
                </w:p>
              </w:tc>
              <w:tc>
                <w:tcPr>
                  <w:tcW w:w="705" w:type="pct"/>
                  <w:vAlign w:val="center"/>
                </w:tcPr>
                <w:p>
                  <w:pPr>
                    <w:shd w:val="clear" w:color="auto" w:fill="FFFFFF"/>
                    <w:adjustRightInd w:val="0"/>
                    <w:snapToGrid w:val="0"/>
                    <w:jc w:val="center"/>
                    <w:rPr>
                      <w:kern w:val="0"/>
                    </w:rPr>
                  </w:pPr>
                  <w:r>
                    <w:rPr>
                      <w:kern w:val="0"/>
                    </w:rPr>
                    <w:t>昼间</w:t>
                  </w:r>
                </w:p>
              </w:tc>
              <w:tc>
                <w:tcPr>
                  <w:tcW w:w="616" w:type="pct"/>
                  <w:vAlign w:val="center"/>
                </w:tcPr>
                <w:p>
                  <w:pPr>
                    <w:shd w:val="clear" w:color="auto" w:fill="FFFFFF"/>
                    <w:adjustRightInd w:val="0"/>
                    <w:snapToGrid w:val="0"/>
                    <w:jc w:val="center"/>
                    <w:rPr>
                      <w:kern w:val="0"/>
                    </w:rPr>
                  </w:pPr>
                  <w:r>
                    <w:rPr>
                      <w:kern w:val="0"/>
                    </w:rPr>
                    <w:t>夜间</w:t>
                  </w:r>
                </w:p>
              </w:tc>
              <w:tc>
                <w:tcPr>
                  <w:tcW w:w="2907" w:type="pct"/>
                  <w:vMerge w:val="continue"/>
                  <w:vAlign w:val="center"/>
                </w:tcPr>
                <w:p>
                  <w:pPr>
                    <w:widowControl/>
                    <w:jc w:val="left"/>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772" w:type="pct"/>
                  <w:vAlign w:val="center"/>
                </w:tcPr>
                <w:p>
                  <w:pPr>
                    <w:shd w:val="clear" w:color="auto" w:fill="FFFFFF"/>
                    <w:adjustRightInd w:val="0"/>
                    <w:snapToGrid w:val="0"/>
                    <w:jc w:val="center"/>
                    <w:rPr>
                      <w:kern w:val="0"/>
                    </w:rPr>
                  </w:pPr>
                  <w:r>
                    <w:rPr>
                      <w:kern w:val="0"/>
                    </w:rPr>
                    <w:t>施工场界</w:t>
                  </w:r>
                </w:p>
              </w:tc>
              <w:tc>
                <w:tcPr>
                  <w:tcW w:w="705" w:type="pct"/>
                  <w:vAlign w:val="center"/>
                </w:tcPr>
                <w:p>
                  <w:pPr>
                    <w:shd w:val="clear" w:color="auto" w:fill="FFFFFF"/>
                    <w:adjustRightInd w:val="0"/>
                    <w:snapToGrid w:val="0"/>
                    <w:jc w:val="center"/>
                    <w:rPr>
                      <w:kern w:val="0"/>
                    </w:rPr>
                  </w:pPr>
                  <w:r>
                    <w:rPr>
                      <w:kern w:val="0"/>
                    </w:rPr>
                    <w:t>70dB(A)</w:t>
                  </w:r>
                </w:p>
              </w:tc>
              <w:tc>
                <w:tcPr>
                  <w:tcW w:w="616" w:type="pct"/>
                  <w:vAlign w:val="center"/>
                </w:tcPr>
                <w:p>
                  <w:pPr>
                    <w:shd w:val="clear" w:color="auto" w:fill="FFFFFF"/>
                    <w:adjustRightInd w:val="0"/>
                    <w:snapToGrid w:val="0"/>
                    <w:jc w:val="center"/>
                    <w:rPr>
                      <w:kern w:val="0"/>
                    </w:rPr>
                  </w:pPr>
                  <w:r>
                    <w:rPr>
                      <w:kern w:val="0"/>
                    </w:rPr>
                    <w:t>55dB(A)</w:t>
                  </w:r>
                </w:p>
              </w:tc>
              <w:tc>
                <w:tcPr>
                  <w:tcW w:w="2907" w:type="pct"/>
                  <w:vAlign w:val="center"/>
                </w:tcPr>
                <w:p>
                  <w:pPr>
                    <w:shd w:val="clear" w:color="auto" w:fill="FFFFFF"/>
                    <w:adjustRightInd w:val="0"/>
                    <w:snapToGrid w:val="0"/>
                    <w:jc w:val="center"/>
                    <w:rPr>
                      <w:kern w:val="0"/>
                    </w:rPr>
                  </w:pPr>
                  <w:r>
                    <w:rPr>
                      <w:kern w:val="0"/>
                    </w:rPr>
                    <w:t>《建筑施工场界环境噪声排放标准》</w:t>
                  </w:r>
                </w:p>
                <w:p>
                  <w:pPr>
                    <w:shd w:val="clear" w:color="auto" w:fill="FFFFFF"/>
                    <w:adjustRightInd w:val="0"/>
                    <w:snapToGrid w:val="0"/>
                    <w:jc w:val="center"/>
                    <w:rPr>
                      <w:kern w:val="0"/>
                    </w:rPr>
                  </w:pPr>
                  <w:r>
                    <w:rPr>
                      <w:kern w:val="0"/>
                    </w:rPr>
                    <w:t>（GB12523-2011）</w:t>
                  </w:r>
                </w:p>
              </w:tc>
            </w:tr>
          </w:tbl>
          <w:p>
            <w:pPr>
              <w:spacing w:line="360" w:lineRule="auto"/>
              <w:ind w:firstLine="420" w:firstLineChars="200"/>
              <w:rPr>
                <w:kern w:val="0"/>
                <w:sz w:val="24"/>
              </w:rPr>
            </w:pPr>
            <w:r>
              <w:rPr>
                <w:rFonts w:hint="eastAsia"/>
              </w:rPr>
              <w:t>本项目</w:t>
            </w:r>
            <w:r>
              <w:rPr>
                <w:sz w:val="24"/>
              </w:rPr>
              <w:t>运营期光伏</w:t>
            </w:r>
            <w:r>
              <w:rPr>
                <w:rFonts w:hint="eastAsia"/>
                <w:sz w:val="24"/>
              </w:rPr>
              <w:t>场</w:t>
            </w:r>
            <w:r>
              <w:rPr>
                <w:sz w:val="24"/>
              </w:rPr>
              <w:t>执行《工业企业厂界环境噪声排放标准》（GB12348-2008）2类标准，具体见下表。</w:t>
            </w:r>
          </w:p>
          <w:p>
            <w:pPr>
              <w:pStyle w:val="22"/>
              <w:spacing w:before="240" w:after="120"/>
            </w:pPr>
            <w:r>
              <w:t>表3.13               工业企业厂界环境噪声排放限值</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1"/>
              <w:gridCol w:w="1422"/>
              <w:gridCol w:w="1280"/>
              <w:gridCol w:w="3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948" w:type="pct"/>
                  <w:vMerge w:val="restart"/>
                  <w:vAlign w:val="center"/>
                </w:tcPr>
                <w:p>
                  <w:pPr>
                    <w:shd w:val="clear" w:color="auto" w:fill="FFFFFF"/>
                    <w:adjustRightInd w:val="0"/>
                    <w:snapToGrid w:val="0"/>
                    <w:jc w:val="center"/>
                    <w:rPr>
                      <w:kern w:val="0"/>
                      <w:szCs w:val="21"/>
                    </w:rPr>
                  </w:pPr>
                  <w:r>
                    <w:rPr>
                      <w:kern w:val="0"/>
                    </w:rPr>
                    <w:t>项目</w:t>
                  </w:r>
                </w:p>
              </w:tc>
              <w:tc>
                <w:tcPr>
                  <w:tcW w:w="1674" w:type="pct"/>
                  <w:gridSpan w:val="2"/>
                  <w:vAlign w:val="center"/>
                </w:tcPr>
                <w:p>
                  <w:pPr>
                    <w:shd w:val="clear" w:color="auto" w:fill="FFFFFF"/>
                    <w:adjustRightInd w:val="0"/>
                    <w:snapToGrid w:val="0"/>
                    <w:jc w:val="center"/>
                    <w:rPr>
                      <w:kern w:val="0"/>
                    </w:rPr>
                  </w:pPr>
                  <w:r>
                    <w:rPr>
                      <w:kern w:val="0"/>
                    </w:rPr>
                    <w:t>评价标准</w:t>
                  </w:r>
                </w:p>
              </w:tc>
              <w:tc>
                <w:tcPr>
                  <w:tcW w:w="2378" w:type="pct"/>
                  <w:vMerge w:val="restart"/>
                  <w:vAlign w:val="center"/>
                </w:tcPr>
                <w:p>
                  <w:pPr>
                    <w:shd w:val="clear" w:color="auto" w:fill="FFFFFF"/>
                    <w:adjustRightInd w:val="0"/>
                    <w:snapToGrid w:val="0"/>
                    <w:jc w:val="center"/>
                    <w:rPr>
                      <w:kern w:val="0"/>
                    </w:rPr>
                  </w:pPr>
                  <w:r>
                    <w:rPr>
                      <w:kern w:val="0"/>
                    </w:rPr>
                    <w:t>标准限值来源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948" w:type="pct"/>
                  <w:vMerge w:val="continue"/>
                  <w:vAlign w:val="center"/>
                </w:tcPr>
                <w:p>
                  <w:pPr>
                    <w:widowControl/>
                    <w:jc w:val="left"/>
                    <w:rPr>
                      <w:kern w:val="0"/>
                      <w:szCs w:val="21"/>
                    </w:rPr>
                  </w:pPr>
                </w:p>
              </w:tc>
              <w:tc>
                <w:tcPr>
                  <w:tcW w:w="881" w:type="pct"/>
                  <w:vAlign w:val="center"/>
                </w:tcPr>
                <w:p>
                  <w:pPr>
                    <w:shd w:val="clear" w:color="auto" w:fill="FFFFFF"/>
                    <w:adjustRightInd w:val="0"/>
                    <w:snapToGrid w:val="0"/>
                    <w:jc w:val="center"/>
                    <w:rPr>
                      <w:kern w:val="0"/>
                    </w:rPr>
                  </w:pPr>
                  <w:r>
                    <w:rPr>
                      <w:kern w:val="0"/>
                    </w:rPr>
                    <w:t>昼间</w:t>
                  </w:r>
                </w:p>
              </w:tc>
              <w:tc>
                <w:tcPr>
                  <w:tcW w:w="793" w:type="pct"/>
                  <w:vAlign w:val="center"/>
                </w:tcPr>
                <w:p>
                  <w:pPr>
                    <w:shd w:val="clear" w:color="auto" w:fill="FFFFFF"/>
                    <w:adjustRightInd w:val="0"/>
                    <w:snapToGrid w:val="0"/>
                    <w:jc w:val="center"/>
                    <w:rPr>
                      <w:kern w:val="0"/>
                    </w:rPr>
                  </w:pPr>
                  <w:r>
                    <w:rPr>
                      <w:kern w:val="0"/>
                    </w:rPr>
                    <w:t>夜间</w:t>
                  </w:r>
                </w:p>
              </w:tc>
              <w:tc>
                <w:tcPr>
                  <w:tcW w:w="2378" w:type="pct"/>
                  <w:vMerge w:val="continue"/>
                  <w:vAlign w:val="center"/>
                </w:tcPr>
                <w:p>
                  <w:pPr>
                    <w:widowControl/>
                    <w:jc w:val="left"/>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948" w:type="pct"/>
                  <w:vAlign w:val="center"/>
                </w:tcPr>
                <w:p>
                  <w:pPr>
                    <w:shd w:val="clear" w:color="auto" w:fill="FFFFFF"/>
                    <w:adjustRightInd w:val="0"/>
                    <w:snapToGrid w:val="0"/>
                    <w:jc w:val="center"/>
                    <w:rPr>
                      <w:kern w:val="0"/>
                      <w:szCs w:val="21"/>
                    </w:rPr>
                  </w:pPr>
                  <w:r>
                    <w:rPr>
                      <w:rFonts w:hint="eastAsia"/>
                      <w:kern w:val="0"/>
                      <w:szCs w:val="21"/>
                    </w:rPr>
                    <w:t>光伏场</w:t>
                  </w:r>
                </w:p>
              </w:tc>
              <w:tc>
                <w:tcPr>
                  <w:tcW w:w="881" w:type="pct"/>
                  <w:vAlign w:val="center"/>
                </w:tcPr>
                <w:p>
                  <w:pPr>
                    <w:shd w:val="clear" w:color="auto" w:fill="FFFFFF"/>
                    <w:adjustRightInd w:val="0"/>
                    <w:snapToGrid w:val="0"/>
                    <w:jc w:val="center"/>
                    <w:rPr>
                      <w:kern w:val="0"/>
                    </w:rPr>
                  </w:pPr>
                  <w:r>
                    <w:rPr>
                      <w:kern w:val="0"/>
                    </w:rPr>
                    <w:t>60dB(A)</w:t>
                  </w:r>
                </w:p>
              </w:tc>
              <w:tc>
                <w:tcPr>
                  <w:tcW w:w="793" w:type="pct"/>
                  <w:vAlign w:val="center"/>
                </w:tcPr>
                <w:p>
                  <w:pPr>
                    <w:shd w:val="clear" w:color="auto" w:fill="FFFFFF"/>
                    <w:adjustRightInd w:val="0"/>
                    <w:snapToGrid w:val="0"/>
                    <w:jc w:val="center"/>
                    <w:rPr>
                      <w:kern w:val="0"/>
                    </w:rPr>
                  </w:pPr>
                  <w:r>
                    <w:rPr>
                      <w:kern w:val="0"/>
                    </w:rPr>
                    <w:t>50dB(A)）</w:t>
                  </w:r>
                </w:p>
              </w:tc>
              <w:tc>
                <w:tcPr>
                  <w:tcW w:w="2378" w:type="pct"/>
                  <w:vAlign w:val="center"/>
                </w:tcPr>
                <w:p>
                  <w:pPr>
                    <w:shd w:val="clear" w:color="auto" w:fill="FFFFFF"/>
                    <w:adjustRightInd w:val="0"/>
                    <w:snapToGrid w:val="0"/>
                    <w:jc w:val="center"/>
                    <w:rPr>
                      <w:kern w:val="0"/>
                    </w:rPr>
                  </w:pPr>
                  <w:r>
                    <w:rPr>
                      <w:kern w:val="0"/>
                    </w:rPr>
                    <w:t>《工业企业厂界环境噪声排放标准》（GB12348-2008）2类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948" w:type="pct"/>
                  <w:vAlign w:val="center"/>
                </w:tcPr>
                <w:p>
                  <w:pPr>
                    <w:shd w:val="clear" w:color="auto" w:fill="FFFFFF"/>
                    <w:adjustRightInd w:val="0"/>
                    <w:snapToGrid w:val="0"/>
                    <w:jc w:val="center"/>
                    <w:rPr>
                      <w:kern w:val="0"/>
                      <w:szCs w:val="21"/>
                    </w:rPr>
                  </w:pPr>
                  <w:r>
                    <w:rPr>
                      <w:rFonts w:hint="eastAsia"/>
                      <w:kern w:val="0"/>
                      <w:szCs w:val="21"/>
                    </w:rPr>
                    <w:t>升压站</w:t>
                  </w:r>
                </w:p>
              </w:tc>
              <w:tc>
                <w:tcPr>
                  <w:tcW w:w="881" w:type="pct"/>
                  <w:vAlign w:val="center"/>
                </w:tcPr>
                <w:p>
                  <w:pPr>
                    <w:shd w:val="clear" w:color="auto" w:fill="FFFFFF"/>
                    <w:adjustRightInd w:val="0"/>
                    <w:snapToGrid w:val="0"/>
                    <w:jc w:val="center"/>
                    <w:rPr>
                      <w:kern w:val="0"/>
                    </w:rPr>
                  </w:pPr>
                  <w:r>
                    <w:rPr>
                      <w:kern w:val="0"/>
                    </w:rPr>
                    <w:t>60dB(A)</w:t>
                  </w:r>
                </w:p>
              </w:tc>
              <w:tc>
                <w:tcPr>
                  <w:tcW w:w="793" w:type="pct"/>
                  <w:vAlign w:val="center"/>
                </w:tcPr>
                <w:p>
                  <w:pPr>
                    <w:shd w:val="clear" w:color="auto" w:fill="FFFFFF"/>
                    <w:adjustRightInd w:val="0"/>
                    <w:snapToGrid w:val="0"/>
                    <w:jc w:val="center"/>
                    <w:rPr>
                      <w:kern w:val="0"/>
                    </w:rPr>
                  </w:pPr>
                  <w:r>
                    <w:rPr>
                      <w:kern w:val="0"/>
                    </w:rPr>
                    <w:t>50dB(A)）</w:t>
                  </w:r>
                </w:p>
              </w:tc>
              <w:tc>
                <w:tcPr>
                  <w:tcW w:w="2378" w:type="pct"/>
                  <w:vAlign w:val="center"/>
                </w:tcPr>
                <w:p>
                  <w:pPr>
                    <w:shd w:val="clear" w:color="auto" w:fill="FFFFFF"/>
                    <w:adjustRightInd w:val="0"/>
                    <w:snapToGrid w:val="0"/>
                    <w:jc w:val="center"/>
                    <w:rPr>
                      <w:kern w:val="0"/>
                    </w:rPr>
                  </w:pPr>
                  <w:r>
                    <w:rPr>
                      <w:kern w:val="0"/>
                    </w:rPr>
                    <w:t>《工业企业厂界环境噪声排放标准》（GB12348-2008）2类</w:t>
                  </w:r>
                </w:p>
              </w:tc>
            </w:tr>
          </w:tbl>
          <w:p>
            <w:pPr>
              <w:pStyle w:val="24"/>
              <w:ind w:firstLine="0" w:firstLineChars="0"/>
              <w:rPr>
                <w:rFonts w:cs="Times New Roman"/>
              </w:rPr>
            </w:pPr>
          </w:p>
          <w:p>
            <w:pPr>
              <w:pStyle w:val="24"/>
              <w:ind w:firstLine="482"/>
              <w:rPr>
                <w:rFonts w:cs="Times New Roman"/>
              </w:rPr>
            </w:pPr>
            <w:r>
              <w:rPr>
                <w:rFonts w:cs="Times New Roman"/>
              </w:rPr>
              <w:t>（3）固废</w:t>
            </w:r>
          </w:p>
          <w:p>
            <w:pPr>
              <w:pStyle w:val="46"/>
              <w:ind w:firstLine="480"/>
              <w:rPr>
                <w:rFonts w:cs="Times New Roman"/>
                <w:sz w:val="21"/>
                <w:szCs w:val="21"/>
              </w:rPr>
            </w:pPr>
            <w:r>
              <w:rPr>
                <w:rFonts w:cs="Times New Roman"/>
              </w:rPr>
              <w:t>项目产生的危险废物执行《危险废物贮存污染控制标准》（GB 18597—2023）的要求。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13" w:type="dxa"/>
            <w:left w:w="108" w:type="dxa"/>
            <w:bottom w:w="113" w:type="dxa"/>
            <w:right w:w="108" w:type="dxa"/>
          </w:tblCellMar>
        </w:tblPrEx>
        <w:trPr>
          <w:trHeight w:val="1002" w:hRule="atLeast"/>
          <w:jc w:val="center"/>
        </w:trPr>
        <w:tc>
          <w:tcPr>
            <w:tcW w:w="456" w:type="dxa"/>
            <w:vAlign w:val="center"/>
          </w:tcPr>
          <w:p>
            <w:pPr>
              <w:adjustRightInd w:val="0"/>
              <w:snapToGrid w:val="0"/>
              <w:jc w:val="center"/>
              <w:rPr>
                <w:kern w:val="0"/>
                <w:szCs w:val="21"/>
              </w:rPr>
            </w:pPr>
            <w:r>
              <w:rPr>
                <w:kern w:val="0"/>
                <w:sz w:val="24"/>
                <w:szCs w:val="21"/>
              </w:rPr>
              <w:t>其他</w:t>
            </w:r>
          </w:p>
        </w:tc>
        <w:tc>
          <w:tcPr>
            <w:tcW w:w="8318" w:type="dxa"/>
            <w:vAlign w:val="center"/>
          </w:tcPr>
          <w:p>
            <w:pPr>
              <w:ind w:firstLine="480" w:firstLineChars="200"/>
              <w:rPr>
                <w:kern w:val="0"/>
                <w:szCs w:val="21"/>
              </w:rPr>
            </w:pPr>
            <w:r>
              <w:rPr>
                <w:kern w:val="0"/>
                <w:sz w:val="24"/>
              </w:rPr>
              <w:t>本项目不涉及总量控制指标。</w:t>
            </w:r>
            <w:r>
              <w:rPr>
                <w:kern w:val="0"/>
                <w:szCs w:val="21"/>
              </w:rPr>
              <w:t xml:space="preserve"> </w:t>
            </w:r>
          </w:p>
        </w:tc>
      </w:tr>
    </w:tbl>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Times New Roman" w:hAnsi="Times New Roman"/>
          <w:snapToGrid w:val="0"/>
          <w:kern w:val="2"/>
          <w:sz w:val="36"/>
          <w:szCs w:val="36"/>
        </w:rPr>
        <w:br w:type="page"/>
      </w:r>
      <w:r>
        <w:rPr>
          <w:rFonts w:ascii="黑体" w:hAnsi="黑体" w:eastAsia="黑体"/>
          <w:snapToGrid w:val="0"/>
          <w:sz w:val="30"/>
          <w:szCs w:val="30"/>
        </w:rPr>
        <w:t>四、生态环境影响分析</w:t>
      </w:r>
    </w:p>
    <w:tbl>
      <w:tblPr>
        <w:tblStyle w:val="16"/>
        <w:tblW w:w="8779" w:type="dxa"/>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113" w:type="dxa"/>
          <w:left w:w="108" w:type="dxa"/>
          <w:bottom w:w="113" w:type="dxa"/>
          <w:right w:w="108" w:type="dxa"/>
        </w:tblCellMar>
      </w:tblPr>
      <w:tblGrid>
        <w:gridCol w:w="688"/>
        <w:gridCol w:w="8091"/>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113" w:type="dxa"/>
            <w:left w:w="108" w:type="dxa"/>
            <w:bottom w:w="113" w:type="dxa"/>
            <w:right w:w="108" w:type="dxa"/>
          </w:tblCellMar>
        </w:tblPrEx>
        <w:trPr>
          <w:trHeight w:val="1540" w:hRule="atLeast"/>
          <w:jc w:val="center"/>
        </w:trPr>
        <w:tc>
          <w:tcPr>
            <w:tcW w:w="688"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kern w:val="2"/>
                <w:sz w:val="21"/>
                <w:szCs w:val="21"/>
              </w:rPr>
            </w:pPr>
            <w:bookmarkStart w:id="39" w:name="_Hlk49796138"/>
            <w:r>
              <w:rPr>
                <w:rFonts w:ascii="Times New Roman" w:hAnsi="Times New Roman"/>
                <w:bCs/>
                <w:spacing w:val="10"/>
                <w:kern w:val="2"/>
                <w:szCs w:val="21"/>
              </w:rPr>
              <w:t>施工期生态环境影响分析</w:t>
            </w:r>
            <w:bookmarkEnd w:id="39"/>
          </w:p>
        </w:tc>
        <w:tc>
          <w:tcPr>
            <w:tcW w:w="8091" w:type="dxa"/>
          </w:tcPr>
          <w:p>
            <w:pPr>
              <w:pStyle w:val="44"/>
              <w:spacing w:before="120"/>
              <w:ind w:firstLine="480" w:firstLineChars="200"/>
              <w:rPr>
                <w:b w:val="0"/>
                <w:snapToGrid w:val="0"/>
                <w:color w:val="auto"/>
                <w:sz w:val="24"/>
                <w:szCs w:val="20"/>
              </w:rPr>
            </w:pPr>
            <w:r>
              <w:rPr>
                <w:b w:val="0"/>
                <w:snapToGrid w:val="0"/>
                <w:color w:val="auto"/>
                <w:sz w:val="24"/>
                <w:szCs w:val="20"/>
              </w:rPr>
              <w:t>本工程设置一处主要施工生产生活区，位置在升压站东侧，租用当地闲置民房及院落，在光伏场地块6内设置一处材料堆场，施工区总占地面积1.44hm</w:t>
            </w:r>
            <w:r>
              <w:rPr>
                <w:rFonts w:cs="Times New Roman"/>
                <w:b w:val="0"/>
                <w:snapToGrid w:val="0"/>
                <w:color w:val="auto"/>
                <w:sz w:val="24"/>
                <w:szCs w:val="20"/>
              </w:rPr>
              <w:t>²</w:t>
            </w:r>
            <w:r>
              <w:rPr>
                <w:b w:val="0"/>
                <w:snapToGrid w:val="0"/>
                <w:color w:val="auto"/>
                <w:sz w:val="24"/>
                <w:szCs w:val="20"/>
              </w:rPr>
              <w:t>，为临时占地。</w:t>
            </w:r>
          </w:p>
          <w:p>
            <w:pPr>
              <w:pStyle w:val="44"/>
              <w:spacing w:before="120"/>
              <w:rPr>
                <w:rFonts w:cs="Times New Roman"/>
                <w:color w:val="auto"/>
              </w:rPr>
            </w:pPr>
            <w:r>
              <w:rPr>
                <w:rFonts w:cs="Times New Roman"/>
                <w:color w:val="auto"/>
              </w:rPr>
              <w:t>1、水环境影响分析</w:t>
            </w:r>
          </w:p>
          <w:p>
            <w:pPr>
              <w:pStyle w:val="46"/>
              <w:ind w:firstLine="480"/>
            </w:pPr>
            <w:r>
              <w:t>施工期将产生一定量的</w:t>
            </w:r>
            <w:r>
              <w:rPr>
                <w:rFonts w:hint="eastAsia"/>
              </w:rPr>
              <w:t>施工废水</w:t>
            </w:r>
            <w:r>
              <w:t>和生活污水，</w:t>
            </w:r>
            <w:r>
              <w:rPr>
                <w:rFonts w:hint="eastAsia"/>
              </w:rPr>
              <w:t>施工</w:t>
            </w:r>
            <w:r>
              <w:t>废水和生活废水如果不经过处理，对环境会造成一定的影响。</w:t>
            </w:r>
          </w:p>
          <w:p>
            <w:pPr>
              <w:pStyle w:val="46"/>
              <w:ind w:firstLine="480"/>
            </w:pPr>
            <w:r>
              <w:rPr>
                <w:rFonts w:hint="eastAsia"/>
              </w:rPr>
              <w:t>工程施工期以太阳能发电组件的安装为主，各类设备及建（构）筑物基础施工中混凝土构筑物洒水等会产生生产污水，和少量机械冲洗等施工生产废水</w:t>
            </w:r>
            <w:r>
              <w:t>。</w:t>
            </w:r>
            <w:r>
              <w:rPr>
                <w:rFonts w:hint="eastAsia"/>
              </w:rPr>
              <w:t>施工机械冲洗产生的经处理设施处理后用于施工场地抑尘、绿化，对环境影响较小。</w:t>
            </w:r>
          </w:p>
          <w:p>
            <w:pPr>
              <w:pStyle w:val="46"/>
              <w:ind w:firstLine="480"/>
              <w:rPr>
                <w:rFonts w:cs="Times New Roman"/>
              </w:rPr>
            </w:pPr>
            <w:r>
              <w:rPr>
                <w:rFonts w:cs="Times New Roman"/>
              </w:rPr>
              <w:t>施工期施工人员生活污水的排放对水环境的影响主要为BOD</w:t>
            </w:r>
            <w:r>
              <w:rPr>
                <w:rFonts w:cs="Times New Roman"/>
                <w:vertAlign w:val="subscript"/>
              </w:rPr>
              <w:t>5</w:t>
            </w:r>
            <w:r>
              <w:rPr>
                <w:rFonts w:cs="Times New Roman"/>
              </w:rPr>
              <w:t>、COD、NH</w:t>
            </w:r>
            <w:r>
              <w:rPr>
                <w:rFonts w:cs="Times New Roman"/>
                <w:vertAlign w:val="subscript"/>
              </w:rPr>
              <w:t>3</w:t>
            </w:r>
            <w:r>
              <w:rPr>
                <w:rFonts w:cs="Times New Roman"/>
              </w:rPr>
              <w:t>-N等。本工程施工人员生活主要集中在施工生活区</w:t>
            </w:r>
            <w:r>
              <w:rPr>
                <w:rFonts w:hint="eastAsia" w:cs="Times New Roman"/>
              </w:rPr>
              <w:t>，施工生活区布置于升压站东侧租用当地闲置民房</w:t>
            </w:r>
            <w:r>
              <w:rPr>
                <w:rFonts w:cs="Times New Roman"/>
              </w:rPr>
              <w:t>。根据施工组织设计，本工程施工高峰期平均施工人数为100人，最高人数150人，该地区用水定额为0.05m³/d·人，污水排放系数0.8。平均生活污水产生量4m³/d，最高生活污水产生量为6m³/d。施工期为9个月，</w:t>
            </w:r>
            <w:r>
              <w:rPr>
                <w:rFonts w:hint="eastAsia" w:cs="Times New Roman"/>
              </w:rPr>
              <w:t>最大</w:t>
            </w:r>
            <w:r>
              <w:rPr>
                <w:rFonts w:cs="Times New Roman"/>
              </w:rPr>
              <w:t>排放量为1620m³。生活污水主要污染物浓度为COD</w:t>
            </w:r>
            <w:r>
              <w:rPr>
                <w:rFonts w:cs="Times New Roman"/>
                <w:vertAlign w:val="subscript"/>
              </w:rPr>
              <w:t>Cr</w:t>
            </w:r>
            <w:r>
              <w:rPr>
                <w:rFonts w:cs="Times New Roman"/>
              </w:rPr>
              <w:t xml:space="preserve"> 350mg/L、BOD</w:t>
            </w:r>
            <w:r>
              <w:rPr>
                <w:rFonts w:cs="Times New Roman"/>
                <w:vertAlign w:val="subscript"/>
              </w:rPr>
              <w:t>5</w:t>
            </w:r>
            <w:r>
              <w:rPr>
                <w:rFonts w:cs="Times New Roman"/>
              </w:rPr>
              <w:t xml:space="preserve"> 200mg/L、NH</w:t>
            </w:r>
            <w:r>
              <w:rPr>
                <w:rFonts w:cs="Times New Roman"/>
                <w:vertAlign w:val="subscript"/>
              </w:rPr>
              <w:t>3</w:t>
            </w:r>
            <w:r>
              <w:rPr>
                <w:rFonts w:cs="Times New Roman"/>
              </w:rPr>
              <w:t>-N 30mg/L，本次施工在租用院落内设置彩钢房卫生间，下设</w:t>
            </w:r>
            <w:r>
              <w:rPr>
                <w:rFonts w:hint="eastAsia" w:cs="Times New Roman"/>
              </w:rPr>
              <w:t>防渗化粪池，</w:t>
            </w:r>
            <w:r>
              <w:rPr>
                <w:rFonts w:cs="Times New Roman"/>
              </w:rPr>
              <w:t>生活污水经</w:t>
            </w:r>
            <w:r>
              <w:rPr>
                <w:rFonts w:hint="eastAsia" w:cs="Times New Roman"/>
              </w:rPr>
              <w:t>临时防渗化粪池收集</w:t>
            </w:r>
            <w:r>
              <w:rPr>
                <w:rFonts w:cs="Times New Roman"/>
              </w:rPr>
              <w:t>后</w:t>
            </w:r>
            <w:r>
              <w:rPr>
                <w:rFonts w:hint="eastAsia" w:cs="Times New Roman"/>
              </w:rPr>
              <w:t>，由当地环卫部门定期清掏，不外排，对环境影响较小。</w:t>
            </w:r>
          </w:p>
          <w:p>
            <w:pPr>
              <w:pStyle w:val="44"/>
              <w:spacing w:before="120"/>
              <w:rPr>
                <w:rFonts w:cs="Times New Roman"/>
                <w:color w:val="auto"/>
              </w:rPr>
            </w:pPr>
            <w:r>
              <w:rPr>
                <w:rFonts w:cs="Times New Roman"/>
                <w:color w:val="auto"/>
              </w:rPr>
              <w:t>2、大气环境影响分析</w:t>
            </w:r>
          </w:p>
          <w:p>
            <w:pPr>
              <w:pStyle w:val="24"/>
              <w:ind w:firstLine="482"/>
              <w:rPr>
                <w:rFonts w:cs="Times New Roman"/>
              </w:rPr>
            </w:pPr>
            <w:r>
              <w:rPr>
                <w:rFonts w:cs="Times New Roman"/>
              </w:rPr>
              <w:t>（1）建筑材料露天堆放扬尘</w:t>
            </w:r>
          </w:p>
          <w:p>
            <w:pPr>
              <w:pStyle w:val="46"/>
              <w:ind w:firstLine="480"/>
            </w:pPr>
            <w:r>
              <w:t>由于施工</w:t>
            </w:r>
            <w:r>
              <w:rPr>
                <w:rFonts w:hint="eastAsia"/>
              </w:rPr>
              <w:t>期</w:t>
            </w:r>
            <w:r>
              <w:t>一些建筑材料需要露天堆放，本工程在</w:t>
            </w:r>
            <w:r>
              <w:rPr>
                <w:rFonts w:hint="eastAsia"/>
              </w:rPr>
              <w:t>地块6设置表土、覆土堆存区，施工前对有植被的表土进行剥离，在光伏场空地区堆存，设备基础开挖土在光伏场内定点堆存，</w:t>
            </w:r>
            <w:r>
              <w:t>在气候干燥且有风的情况下，会产生扬尘，会对周围环境造成污染，一般影响范围在下风向200m内。施工过程中</w:t>
            </w:r>
            <w:r>
              <w:rPr>
                <w:rFonts w:hint="eastAsia"/>
              </w:rPr>
              <w:t>堆土区顶部及坡面苫盖密目网，</w:t>
            </w:r>
            <w:r>
              <w:t>堆土坡底采用装土袋拦挡，及时洒水抑尘，施工减少对周围产生的影响。施工完毕后进行回填场平，附表土及土壤改良。</w:t>
            </w:r>
          </w:p>
          <w:p>
            <w:pPr>
              <w:pStyle w:val="24"/>
              <w:ind w:firstLine="482"/>
              <w:rPr>
                <w:rFonts w:cs="Times New Roman"/>
              </w:rPr>
            </w:pPr>
            <w:r>
              <w:rPr>
                <w:rFonts w:cs="Times New Roman"/>
              </w:rPr>
              <w:t>（2）运输车辆引起的道路扬尘</w:t>
            </w:r>
          </w:p>
          <w:p>
            <w:pPr>
              <w:adjustRightInd w:val="0"/>
              <w:snapToGrid w:val="0"/>
              <w:spacing w:line="360" w:lineRule="auto"/>
              <w:ind w:firstLine="480" w:firstLineChars="200"/>
              <w:rPr>
                <w:sz w:val="24"/>
              </w:rPr>
            </w:pPr>
            <w:r>
              <w:rPr>
                <w:sz w:val="24"/>
              </w:rPr>
              <w:t>运输车辆引起的道路扬尘污染在道路两边扩散，最大扬尘浓度出现在道路两边，随着离开路边距离的增加，浓度逐渐递减而趋于背景值，一般条件下影响范围在道路两侧30m以内。道路扬尘量的大小与车速、车型、车流量、风速、道路表面积尘量等诸多因素有关。</w:t>
            </w:r>
            <w:r>
              <w:rPr>
                <w:rFonts w:hint="eastAsia"/>
                <w:sz w:val="24"/>
              </w:rPr>
              <w:t>施工</w:t>
            </w:r>
            <w:r>
              <w:rPr>
                <w:sz w:val="24"/>
              </w:rPr>
              <w:t>单位每天对施工道路进行洒水抑尘，加强对运输车辆的管理，如限载、限速。运输车辆采取遮盖苫布，散装物料堆场覆盖篷布</w:t>
            </w:r>
            <w:r>
              <w:rPr>
                <w:rFonts w:hint="eastAsia"/>
                <w:sz w:val="24"/>
              </w:rPr>
              <w:t>等</w:t>
            </w:r>
            <w:r>
              <w:rPr>
                <w:sz w:val="24"/>
              </w:rPr>
              <w:t>保护措施，</w:t>
            </w:r>
            <w:r>
              <w:rPr>
                <w:rFonts w:hint="eastAsia"/>
                <w:sz w:val="24"/>
              </w:rPr>
              <w:t>随着施工结束，施工产生的</w:t>
            </w:r>
            <w:r>
              <w:rPr>
                <w:sz w:val="24"/>
              </w:rPr>
              <w:t>扬尘</w:t>
            </w:r>
            <w:r>
              <w:rPr>
                <w:rFonts w:hint="eastAsia"/>
                <w:sz w:val="24"/>
              </w:rPr>
              <w:t>也随之消失</w:t>
            </w:r>
            <w:r>
              <w:rPr>
                <w:sz w:val="24"/>
              </w:rPr>
              <w:t>。</w:t>
            </w:r>
          </w:p>
          <w:p>
            <w:pPr>
              <w:pStyle w:val="24"/>
              <w:ind w:firstLine="482"/>
              <w:rPr>
                <w:rFonts w:cs="Times New Roman"/>
              </w:rPr>
            </w:pPr>
            <w:r>
              <w:rPr>
                <w:rFonts w:cs="Times New Roman"/>
              </w:rPr>
              <w:t>（3）施工机械与汽车尾气</w:t>
            </w:r>
          </w:p>
          <w:p>
            <w:pPr>
              <w:adjustRightInd w:val="0"/>
              <w:snapToGrid w:val="0"/>
              <w:spacing w:line="360" w:lineRule="auto"/>
              <w:ind w:firstLine="480" w:firstLineChars="200"/>
              <w:rPr>
                <w:sz w:val="24"/>
              </w:rPr>
            </w:pPr>
            <w:r>
              <w:rPr>
                <w:sz w:val="24"/>
              </w:rPr>
              <w:t>除扬尘影响外，建设施工机械排放的废气和进出施工场地的各类运输车辆排放的汽车尾气也将在短期内影响当地的空气环境质量，施工机械排放废气主要集中在挖土阶段，废气排放量与同时运转的机械设备数量有关；运输车辆废气的排放，与进出施工场地的车辆数</w:t>
            </w:r>
            <w:r>
              <w:rPr>
                <w:rFonts w:hint="eastAsia"/>
                <w:sz w:val="24"/>
              </w:rPr>
              <w:t>及</w:t>
            </w:r>
            <w:r>
              <w:rPr>
                <w:sz w:val="24"/>
              </w:rPr>
              <w:t>汽车的行驶状态有关。</w:t>
            </w:r>
          </w:p>
          <w:p>
            <w:pPr>
              <w:pStyle w:val="44"/>
              <w:spacing w:before="120"/>
              <w:rPr>
                <w:rFonts w:cs="Times New Roman"/>
                <w:color w:val="auto"/>
              </w:rPr>
            </w:pPr>
            <w:r>
              <w:rPr>
                <w:rFonts w:cs="Times New Roman"/>
                <w:color w:val="auto"/>
              </w:rPr>
              <w:t>3、声环境影响分析</w:t>
            </w:r>
          </w:p>
          <w:p>
            <w:pPr>
              <w:pStyle w:val="46"/>
              <w:ind w:firstLine="480"/>
              <w:rPr>
                <w:rFonts w:cs="Times New Roman"/>
              </w:rPr>
            </w:pPr>
            <w:r>
              <w:rPr>
                <w:rFonts w:cs="Times New Roman"/>
              </w:rPr>
              <w:t>施工期噪声主要来自于施工挖掘机、空压机、推土机、起重机、振捣机等施工机械以及运输车辆对周围环境产生的影响。随着距离的增加，噪声强度逐渐减弱。从</w:t>
            </w:r>
            <w:r>
              <w:rPr>
                <w:rFonts w:hint="eastAsia" w:cs="Times New Roman"/>
              </w:rPr>
              <w:t>对</w:t>
            </w:r>
            <w:r>
              <w:rPr>
                <w:rFonts w:cs="Times New Roman"/>
              </w:rPr>
              <w:t>噪声源</w:t>
            </w:r>
            <w:r>
              <w:rPr>
                <w:rFonts w:hint="eastAsia" w:cs="Times New Roman"/>
              </w:rPr>
              <w:t>的</w:t>
            </w:r>
            <w:r>
              <w:rPr>
                <w:rFonts w:cs="Times New Roman"/>
              </w:rPr>
              <w:t>控制上最大限度减小施工噪声，避免或减少对声环境的影响；通过加强对施工单位的管理，做到文明施工；合理规划施工时段、运输车辆经过居民点时减速慢行并禁止夜间鸣笛，以达到有效减轻噪声影响的目的。光伏场区域较为空旷，在采取了施工噪声防治措施后，噪声对环境影响较小。</w:t>
            </w:r>
          </w:p>
          <w:p>
            <w:pPr>
              <w:pStyle w:val="46"/>
              <w:ind w:firstLine="480"/>
              <w:rPr>
                <w:rFonts w:cs="Times New Roman"/>
                <w:szCs w:val="24"/>
              </w:rPr>
            </w:pPr>
            <w:r>
              <w:rPr>
                <w:rFonts w:cs="Times New Roman"/>
                <w:szCs w:val="24"/>
              </w:rPr>
              <w:t>施工期噪声主要属中低频噪声，故施工期噪声对周边环境的影响只考虑扩散衰减，采用点源噪声衰减模式进行预测，预测模式为：</w:t>
            </w:r>
          </w:p>
          <w:p>
            <w:pPr>
              <w:pStyle w:val="46"/>
              <w:ind w:firstLine="0" w:firstLineChars="0"/>
              <w:jc w:val="center"/>
              <w:rPr>
                <w:rFonts w:cs="Times New Roman"/>
                <w:kern w:val="0"/>
                <w:szCs w:val="24"/>
              </w:rPr>
            </w:pPr>
            <w:r>
              <w:rPr>
                <w:rFonts w:cs="Times New Roman"/>
                <w:kern w:val="0"/>
                <w:szCs w:val="24"/>
              </w:rPr>
              <w:t>L</w:t>
            </w:r>
            <w:r>
              <w:rPr>
                <w:rFonts w:cs="Times New Roman"/>
                <w:kern w:val="0"/>
                <w:szCs w:val="24"/>
                <w:vertAlign w:val="subscript"/>
              </w:rPr>
              <w:t>2</w:t>
            </w:r>
            <w:r>
              <w:rPr>
                <w:rFonts w:cs="Times New Roman"/>
                <w:kern w:val="0"/>
                <w:szCs w:val="24"/>
              </w:rPr>
              <w:t xml:space="preserve"> = L</w:t>
            </w:r>
            <w:r>
              <w:rPr>
                <w:rFonts w:cs="Times New Roman"/>
                <w:kern w:val="0"/>
                <w:szCs w:val="24"/>
                <w:vertAlign w:val="subscript"/>
              </w:rPr>
              <w:t>1－</w:t>
            </w:r>
            <w:r>
              <w:rPr>
                <w:rFonts w:cs="Times New Roman"/>
                <w:kern w:val="0"/>
                <w:szCs w:val="24"/>
              </w:rPr>
              <w:t>20 lg(r</w:t>
            </w:r>
            <w:r>
              <w:rPr>
                <w:rFonts w:cs="Times New Roman"/>
                <w:kern w:val="0"/>
                <w:szCs w:val="24"/>
                <w:vertAlign w:val="subscript"/>
              </w:rPr>
              <w:t>2</w:t>
            </w:r>
            <w:r>
              <w:rPr>
                <w:rFonts w:cs="Times New Roman"/>
                <w:kern w:val="0"/>
                <w:szCs w:val="24"/>
              </w:rPr>
              <w:t xml:space="preserve"> /r</w:t>
            </w:r>
            <w:r>
              <w:rPr>
                <w:rFonts w:cs="Times New Roman"/>
                <w:kern w:val="0"/>
                <w:szCs w:val="24"/>
                <w:vertAlign w:val="subscript"/>
              </w:rPr>
              <w:t>1</w:t>
            </w:r>
            <w:r>
              <w:rPr>
                <w:rFonts w:cs="Times New Roman"/>
                <w:kern w:val="0"/>
                <w:szCs w:val="24"/>
              </w:rPr>
              <w:t>) (r</w:t>
            </w:r>
            <w:r>
              <w:rPr>
                <w:rFonts w:cs="Times New Roman"/>
                <w:kern w:val="0"/>
                <w:szCs w:val="24"/>
                <w:vertAlign w:val="subscript"/>
              </w:rPr>
              <w:t>2</w:t>
            </w:r>
            <w:r>
              <w:rPr>
                <w:rFonts w:cs="Times New Roman"/>
                <w:kern w:val="0"/>
                <w:szCs w:val="24"/>
              </w:rPr>
              <w:t>&gt; r</w:t>
            </w:r>
            <w:r>
              <w:rPr>
                <w:rFonts w:cs="Times New Roman"/>
                <w:kern w:val="0"/>
                <w:szCs w:val="24"/>
                <w:vertAlign w:val="subscript"/>
              </w:rPr>
              <w:t>1</w:t>
            </w:r>
            <w:r>
              <w:rPr>
                <w:rFonts w:cs="Times New Roman"/>
                <w:kern w:val="0"/>
                <w:szCs w:val="24"/>
              </w:rPr>
              <w:t>)</w:t>
            </w:r>
          </w:p>
          <w:p>
            <w:pPr>
              <w:pStyle w:val="46"/>
              <w:ind w:firstLine="480"/>
              <w:rPr>
                <w:rFonts w:cs="Times New Roman"/>
                <w:kern w:val="0"/>
                <w:szCs w:val="24"/>
              </w:rPr>
            </w:pPr>
            <w:r>
              <w:rPr>
                <w:rFonts w:cs="Times New Roman"/>
                <w:kern w:val="0"/>
                <w:szCs w:val="24"/>
              </w:rPr>
              <w:t>由上式可推出：</w:t>
            </w:r>
          </w:p>
          <w:p>
            <w:pPr>
              <w:pStyle w:val="46"/>
              <w:ind w:firstLine="0" w:firstLineChars="0"/>
              <w:jc w:val="center"/>
              <w:rPr>
                <w:rFonts w:cs="Times New Roman"/>
                <w:kern w:val="0"/>
                <w:szCs w:val="24"/>
              </w:rPr>
            </w:pPr>
            <w:r>
              <w:rPr>
                <w:rFonts w:cs="Times New Roman"/>
                <w:kern w:val="0"/>
                <w:szCs w:val="24"/>
              </w:rPr>
              <w:t>ΔL = L</w:t>
            </w:r>
            <w:r>
              <w:rPr>
                <w:rFonts w:cs="Times New Roman"/>
                <w:kern w:val="0"/>
                <w:szCs w:val="24"/>
                <w:vertAlign w:val="subscript"/>
              </w:rPr>
              <w:t>1－</w:t>
            </w:r>
            <w:r>
              <w:rPr>
                <w:rFonts w:cs="Times New Roman"/>
                <w:kern w:val="0"/>
                <w:szCs w:val="24"/>
              </w:rPr>
              <w:t>L</w:t>
            </w:r>
            <w:r>
              <w:rPr>
                <w:rFonts w:cs="Times New Roman"/>
                <w:kern w:val="0"/>
                <w:szCs w:val="24"/>
                <w:vertAlign w:val="subscript"/>
              </w:rPr>
              <w:t>2</w:t>
            </w:r>
            <w:r>
              <w:rPr>
                <w:rFonts w:cs="Times New Roman"/>
                <w:kern w:val="0"/>
                <w:szCs w:val="24"/>
              </w:rPr>
              <w:t xml:space="preserve"> = 20 lg(r</w:t>
            </w:r>
            <w:r>
              <w:rPr>
                <w:rFonts w:cs="Times New Roman"/>
                <w:kern w:val="0"/>
                <w:szCs w:val="24"/>
                <w:vertAlign w:val="subscript"/>
              </w:rPr>
              <w:t>2</w:t>
            </w:r>
            <w:r>
              <w:rPr>
                <w:rFonts w:cs="Times New Roman"/>
                <w:kern w:val="0"/>
                <w:szCs w:val="24"/>
              </w:rPr>
              <w:t xml:space="preserve"> /r</w:t>
            </w:r>
            <w:r>
              <w:rPr>
                <w:rFonts w:cs="Times New Roman"/>
                <w:kern w:val="0"/>
                <w:szCs w:val="24"/>
                <w:vertAlign w:val="subscript"/>
              </w:rPr>
              <w:t>1</w:t>
            </w:r>
            <w:r>
              <w:rPr>
                <w:rFonts w:cs="Times New Roman"/>
                <w:kern w:val="0"/>
                <w:szCs w:val="24"/>
              </w:rPr>
              <w:t>) (r</w:t>
            </w:r>
            <w:r>
              <w:rPr>
                <w:rFonts w:cs="Times New Roman"/>
                <w:kern w:val="0"/>
                <w:szCs w:val="24"/>
                <w:vertAlign w:val="subscript"/>
              </w:rPr>
              <w:t>2</w:t>
            </w:r>
            <w:r>
              <w:rPr>
                <w:rFonts w:cs="Times New Roman"/>
                <w:kern w:val="0"/>
                <w:szCs w:val="24"/>
              </w:rPr>
              <w:t>&gt; r</w:t>
            </w:r>
            <w:r>
              <w:rPr>
                <w:rFonts w:cs="Times New Roman"/>
                <w:kern w:val="0"/>
                <w:szCs w:val="24"/>
                <w:vertAlign w:val="subscript"/>
              </w:rPr>
              <w:t>1</w:t>
            </w:r>
            <w:r>
              <w:rPr>
                <w:rFonts w:cs="Times New Roman"/>
                <w:kern w:val="0"/>
                <w:szCs w:val="24"/>
              </w:rPr>
              <w:t>)</w:t>
            </w:r>
          </w:p>
          <w:p>
            <w:pPr>
              <w:pStyle w:val="46"/>
              <w:ind w:firstLine="480"/>
              <w:rPr>
                <w:rFonts w:cs="Times New Roman"/>
                <w:kern w:val="0"/>
                <w:szCs w:val="24"/>
              </w:rPr>
            </w:pPr>
            <w:r>
              <w:rPr>
                <w:rFonts w:cs="Times New Roman"/>
                <w:kern w:val="0"/>
                <w:szCs w:val="24"/>
              </w:rPr>
              <w:t>式中：</w:t>
            </w:r>
          </w:p>
          <w:p>
            <w:pPr>
              <w:pStyle w:val="46"/>
              <w:ind w:firstLine="480"/>
              <w:rPr>
                <w:rFonts w:cs="Times New Roman"/>
                <w:kern w:val="0"/>
                <w:szCs w:val="24"/>
              </w:rPr>
            </w:pPr>
            <w:r>
              <w:rPr>
                <w:rFonts w:cs="Times New Roman"/>
                <w:kern w:val="0"/>
                <w:szCs w:val="24"/>
              </w:rPr>
              <w:t>ΔL——噪声随距离增加的衰减量，dB(A)；</w:t>
            </w:r>
          </w:p>
          <w:p>
            <w:pPr>
              <w:pStyle w:val="46"/>
              <w:ind w:firstLine="480"/>
              <w:rPr>
                <w:rFonts w:cs="Times New Roman"/>
                <w:kern w:val="0"/>
                <w:szCs w:val="24"/>
              </w:rPr>
            </w:pPr>
            <w:r>
              <w:rPr>
                <w:rFonts w:cs="Times New Roman"/>
                <w:kern w:val="0"/>
                <w:szCs w:val="24"/>
              </w:rPr>
              <w:t>r</w:t>
            </w:r>
            <w:r>
              <w:rPr>
                <w:rFonts w:cs="Times New Roman"/>
                <w:kern w:val="0"/>
                <w:szCs w:val="24"/>
                <w:vertAlign w:val="subscript"/>
              </w:rPr>
              <w:t>1</w:t>
            </w:r>
            <w:r>
              <w:rPr>
                <w:rFonts w:cs="Times New Roman"/>
                <w:kern w:val="0"/>
                <w:szCs w:val="24"/>
              </w:rPr>
              <w:t>、r</w:t>
            </w:r>
            <w:r>
              <w:rPr>
                <w:rFonts w:cs="Times New Roman"/>
                <w:kern w:val="0"/>
                <w:szCs w:val="24"/>
                <w:vertAlign w:val="subscript"/>
              </w:rPr>
              <w:t xml:space="preserve">2 </w:t>
            </w:r>
            <w:r>
              <w:rPr>
                <w:rFonts w:cs="Times New Roman"/>
                <w:kern w:val="0"/>
                <w:szCs w:val="24"/>
              </w:rPr>
              <w:t>——距声源的距离；</w:t>
            </w:r>
          </w:p>
          <w:p>
            <w:pPr>
              <w:pStyle w:val="46"/>
              <w:ind w:firstLine="480"/>
              <w:rPr>
                <w:rFonts w:cs="Times New Roman"/>
                <w:kern w:val="0"/>
                <w:szCs w:val="24"/>
              </w:rPr>
            </w:pPr>
            <w:r>
              <w:rPr>
                <w:rFonts w:cs="Times New Roman"/>
                <w:kern w:val="0"/>
                <w:szCs w:val="24"/>
              </w:rPr>
              <w:t>L</w:t>
            </w:r>
            <w:r>
              <w:rPr>
                <w:rFonts w:cs="Times New Roman"/>
                <w:kern w:val="0"/>
                <w:szCs w:val="24"/>
                <w:vertAlign w:val="subscript"/>
              </w:rPr>
              <w:t>1</w:t>
            </w:r>
            <w:r>
              <w:rPr>
                <w:rFonts w:cs="Times New Roman"/>
                <w:kern w:val="0"/>
                <w:szCs w:val="24"/>
              </w:rPr>
              <w:t>——距声源r</w:t>
            </w:r>
            <w:r>
              <w:rPr>
                <w:rFonts w:cs="Times New Roman"/>
                <w:kern w:val="0"/>
                <w:szCs w:val="24"/>
                <w:vertAlign w:val="subscript"/>
              </w:rPr>
              <w:t>1</w:t>
            </w:r>
            <w:r>
              <w:rPr>
                <w:rFonts w:cs="Times New Roman"/>
                <w:kern w:val="0"/>
                <w:szCs w:val="24"/>
              </w:rPr>
              <w:t>处声压级，dB(A)；</w:t>
            </w:r>
          </w:p>
          <w:p>
            <w:pPr>
              <w:pStyle w:val="46"/>
              <w:ind w:firstLine="480"/>
              <w:rPr>
                <w:rFonts w:cs="Times New Roman"/>
                <w:kern w:val="0"/>
                <w:szCs w:val="24"/>
              </w:rPr>
            </w:pPr>
            <w:r>
              <w:rPr>
                <w:rFonts w:cs="Times New Roman"/>
                <w:kern w:val="0"/>
                <w:szCs w:val="24"/>
              </w:rPr>
              <w:t>L</w:t>
            </w:r>
            <w:r>
              <w:rPr>
                <w:rFonts w:cs="Times New Roman"/>
                <w:kern w:val="0"/>
                <w:szCs w:val="24"/>
                <w:vertAlign w:val="subscript"/>
              </w:rPr>
              <w:t>2</w:t>
            </w:r>
            <w:r>
              <w:rPr>
                <w:rFonts w:cs="Times New Roman"/>
                <w:kern w:val="0"/>
                <w:szCs w:val="24"/>
              </w:rPr>
              <w:t xml:space="preserve"> ——距声源r</w:t>
            </w:r>
            <w:r>
              <w:rPr>
                <w:rFonts w:cs="Times New Roman"/>
                <w:kern w:val="0"/>
                <w:szCs w:val="24"/>
                <w:vertAlign w:val="subscript"/>
              </w:rPr>
              <w:t>2</w:t>
            </w:r>
            <w:r>
              <w:rPr>
                <w:rFonts w:cs="Times New Roman"/>
                <w:kern w:val="0"/>
                <w:szCs w:val="24"/>
              </w:rPr>
              <w:t>处声压级，dB(A)。</w:t>
            </w:r>
          </w:p>
          <w:p>
            <w:pPr>
              <w:pStyle w:val="46"/>
              <w:ind w:firstLine="480"/>
              <w:rPr>
                <w:rFonts w:cs="Times New Roman"/>
                <w:szCs w:val="24"/>
              </w:rPr>
            </w:pPr>
            <w:r>
              <w:rPr>
                <w:rFonts w:cs="Times New Roman"/>
                <w:szCs w:val="24"/>
              </w:rPr>
              <w:t>各主要施工设备在不同距离处的噪声值预测结果见表4.1。</w:t>
            </w:r>
          </w:p>
          <w:p>
            <w:pPr>
              <w:pStyle w:val="22"/>
              <w:spacing w:before="240" w:after="120"/>
            </w:pPr>
            <w:r>
              <w:t>表4.1             各类施工机械在不同距离处的噪声值</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1"/>
              <w:gridCol w:w="568"/>
              <w:gridCol w:w="709"/>
              <w:gridCol w:w="709"/>
              <w:gridCol w:w="708"/>
              <w:gridCol w:w="709"/>
              <w:gridCol w:w="709"/>
              <w:gridCol w:w="708"/>
              <w:gridCol w:w="709"/>
              <w:gridCol w:w="656"/>
              <w:gridCol w:w="6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651" w:type="pct"/>
                  <w:vMerge w:val="restart"/>
                  <w:vAlign w:val="center"/>
                </w:tcPr>
                <w:p>
                  <w:pPr>
                    <w:jc w:val="center"/>
                    <w:rPr>
                      <w:b/>
                      <w:bCs/>
                      <w:kern w:val="0"/>
                      <w:szCs w:val="21"/>
                    </w:rPr>
                  </w:pPr>
                  <w:r>
                    <w:rPr>
                      <w:b/>
                      <w:bCs/>
                      <w:kern w:val="0"/>
                      <w:szCs w:val="21"/>
                    </w:rPr>
                    <w:t>机械类型</w:t>
                  </w:r>
                </w:p>
              </w:tc>
              <w:tc>
                <w:tcPr>
                  <w:tcW w:w="4349" w:type="pct"/>
                  <w:gridSpan w:val="10"/>
                  <w:vAlign w:val="center"/>
                </w:tcPr>
                <w:p>
                  <w:pPr>
                    <w:jc w:val="center"/>
                    <w:rPr>
                      <w:b/>
                      <w:bCs/>
                      <w:kern w:val="0"/>
                      <w:szCs w:val="21"/>
                    </w:rPr>
                  </w:pPr>
                  <w:r>
                    <w:rPr>
                      <w:b/>
                      <w:bCs/>
                      <w:kern w:val="0"/>
                      <w:szCs w:val="21"/>
                    </w:rPr>
                    <w:t>噪声贡献值/dB（A）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651" w:type="pct"/>
                  <w:vMerge w:val="continue"/>
                  <w:vAlign w:val="center"/>
                </w:tcPr>
                <w:p>
                  <w:pPr>
                    <w:widowControl/>
                    <w:jc w:val="left"/>
                    <w:rPr>
                      <w:kern w:val="0"/>
                      <w:szCs w:val="21"/>
                    </w:rPr>
                  </w:pPr>
                </w:p>
              </w:tc>
              <w:tc>
                <w:tcPr>
                  <w:tcW w:w="362" w:type="pct"/>
                  <w:vAlign w:val="center"/>
                </w:tcPr>
                <w:p>
                  <w:pPr>
                    <w:jc w:val="center"/>
                    <w:rPr>
                      <w:kern w:val="0"/>
                      <w:szCs w:val="21"/>
                    </w:rPr>
                  </w:pPr>
                  <w:r>
                    <w:rPr>
                      <w:kern w:val="0"/>
                      <w:szCs w:val="21"/>
                    </w:rPr>
                    <w:t>5m</w:t>
                  </w:r>
                </w:p>
              </w:tc>
              <w:tc>
                <w:tcPr>
                  <w:tcW w:w="452" w:type="pct"/>
                  <w:vAlign w:val="center"/>
                </w:tcPr>
                <w:p>
                  <w:pPr>
                    <w:jc w:val="center"/>
                    <w:rPr>
                      <w:kern w:val="0"/>
                      <w:szCs w:val="21"/>
                    </w:rPr>
                  </w:pPr>
                  <w:r>
                    <w:rPr>
                      <w:kern w:val="0"/>
                      <w:szCs w:val="21"/>
                    </w:rPr>
                    <w:t>10m</w:t>
                  </w:r>
                </w:p>
              </w:tc>
              <w:tc>
                <w:tcPr>
                  <w:tcW w:w="452" w:type="pct"/>
                  <w:vAlign w:val="center"/>
                </w:tcPr>
                <w:p>
                  <w:pPr>
                    <w:jc w:val="center"/>
                    <w:rPr>
                      <w:kern w:val="0"/>
                      <w:szCs w:val="21"/>
                    </w:rPr>
                  </w:pPr>
                  <w:r>
                    <w:rPr>
                      <w:kern w:val="0"/>
                      <w:szCs w:val="21"/>
                    </w:rPr>
                    <w:t>20m</w:t>
                  </w:r>
                </w:p>
              </w:tc>
              <w:tc>
                <w:tcPr>
                  <w:tcW w:w="451" w:type="pct"/>
                  <w:vAlign w:val="center"/>
                </w:tcPr>
                <w:p>
                  <w:pPr>
                    <w:jc w:val="center"/>
                    <w:rPr>
                      <w:kern w:val="0"/>
                      <w:szCs w:val="21"/>
                    </w:rPr>
                  </w:pPr>
                  <w:r>
                    <w:rPr>
                      <w:kern w:val="0"/>
                      <w:szCs w:val="21"/>
                    </w:rPr>
                    <w:t>40m</w:t>
                  </w:r>
                </w:p>
              </w:tc>
              <w:tc>
                <w:tcPr>
                  <w:tcW w:w="452" w:type="pct"/>
                  <w:vAlign w:val="center"/>
                </w:tcPr>
                <w:p>
                  <w:pPr>
                    <w:jc w:val="center"/>
                    <w:rPr>
                      <w:kern w:val="0"/>
                      <w:szCs w:val="21"/>
                    </w:rPr>
                  </w:pPr>
                  <w:r>
                    <w:rPr>
                      <w:kern w:val="0"/>
                      <w:szCs w:val="21"/>
                    </w:rPr>
                    <w:t>50m</w:t>
                  </w:r>
                </w:p>
              </w:tc>
              <w:tc>
                <w:tcPr>
                  <w:tcW w:w="452" w:type="pct"/>
                  <w:vAlign w:val="center"/>
                </w:tcPr>
                <w:p>
                  <w:pPr>
                    <w:jc w:val="center"/>
                    <w:rPr>
                      <w:kern w:val="0"/>
                      <w:szCs w:val="21"/>
                    </w:rPr>
                  </w:pPr>
                  <w:r>
                    <w:rPr>
                      <w:kern w:val="0"/>
                      <w:szCs w:val="21"/>
                    </w:rPr>
                    <w:t>90m</w:t>
                  </w:r>
                </w:p>
              </w:tc>
              <w:tc>
                <w:tcPr>
                  <w:tcW w:w="451" w:type="pct"/>
                  <w:vAlign w:val="center"/>
                </w:tcPr>
                <w:p>
                  <w:pPr>
                    <w:jc w:val="center"/>
                    <w:rPr>
                      <w:kern w:val="0"/>
                      <w:szCs w:val="21"/>
                    </w:rPr>
                  </w:pPr>
                  <w:r>
                    <w:rPr>
                      <w:kern w:val="0"/>
                      <w:szCs w:val="21"/>
                    </w:rPr>
                    <w:t>120m</w:t>
                  </w:r>
                </w:p>
              </w:tc>
              <w:tc>
                <w:tcPr>
                  <w:tcW w:w="452" w:type="pct"/>
                  <w:vAlign w:val="center"/>
                </w:tcPr>
                <w:p>
                  <w:pPr>
                    <w:jc w:val="center"/>
                    <w:rPr>
                      <w:kern w:val="0"/>
                      <w:szCs w:val="21"/>
                    </w:rPr>
                  </w:pPr>
                  <w:r>
                    <w:rPr>
                      <w:kern w:val="0"/>
                      <w:szCs w:val="21"/>
                    </w:rPr>
                    <w:t>150m</w:t>
                  </w:r>
                </w:p>
              </w:tc>
              <w:tc>
                <w:tcPr>
                  <w:tcW w:w="418" w:type="pct"/>
                  <w:vAlign w:val="center"/>
                </w:tcPr>
                <w:p>
                  <w:pPr>
                    <w:jc w:val="center"/>
                    <w:rPr>
                      <w:kern w:val="0"/>
                      <w:szCs w:val="21"/>
                    </w:rPr>
                  </w:pPr>
                  <w:r>
                    <w:rPr>
                      <w:kern w:val="0"/>
                      <w:szCs w:val="21"/>
                    </w:rPr>
                    <w:t>300m</w:t>
                  </w:r>
                </w:p>
              </w:tc>
              <w:tc>
                <w:tcPr>
                  <w:tcW w:w="407" w:type="pct"/>
                  <w:vAlign w:val="center"/>
                </w:tcPr>
                <w:p>
                  <w:pPr>
                    <w:jc w:val="center"/>
                    <w:rPr>
                      <w:kern w:val="0"/>
                      <w:szCs w:val="21"/>
                    </w:rPr>
                  </w:pPr>
                  <w:r>
                    <w:rPr>
                      <w:kern w:val="0"/>
                      <w:szCs w:val="21"/>
                    </w:rPr>
                    <w:t>500m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推土机</w:t>
                  </w:r>
                </w:p>
              </w:tc>
              <w:tc>
                <w:tcPr>
                  <w:tcW w:w="362" w:type="pct"/>
                  <w:vAlign w:val="center"/>
                </w:tcPr>
                <w:p>
                  <w:pPr>
                    <w:jc w:val="center"/>
                    <w:rPr>
                      <w:kern w:val="0"/>
                      <w:szCs w:val="21"/>
                    </w:rPr>
                  </w:pPr>
                  <w:r>
                    <w:rPr>
                      <w:kern w:val="0"/>
                      <w:szCs w:val="21"/>
                    </w:rPr>
                    <w:t>86</w:t>
                  </w:r>
                </w:p>
              </w:tc>
              <w:tc>
                <w:tcPr>
                  <w:tcW w:w="452" w:type="pct"/>
                  <w:vAlign w:val="center"/>
                </w:tcPr>
                <w:p>
                  <w:pPr>
                    <w:jc w:val="center"/>
                    <w:rPr>
                      <w:kern w:val="0"/>
                      <w:szCs w:val="21"/>
                    </w:rPr>
                  </w:pPr>
                  <w:r>
                    <w:rPr>
                      <w:kern w:val="0"/>
                      <w:szCs w:val="21"/>
                    </w:rPr>
                    <w:t>72.0</w:t>
                  </w:r>
                </w:p>
              </w:tc>
              <w:tc>
                <w:tcPr>
                  <w:tcW w:w="452" w:type="pct"/>
                  <w:vAlign w:val="center"/>
                </w:tcPr>
                <w:p>
                  <w:pPr>
                    <w:jc w:val="center"/>
                    <w:rPr>
                      <w:kern w:val="0"/>
                      <w:szCs w:val="21"/>
                    </w:rPr>
                  </w:pPr>
                  <w:r>
                    <w:rPr>
                      <w:kern w:val="0"/>
                      <w:szCs w:val="21"/>
                    </w:rPr>
                    <w:t>62.5</w:t>
                  </w:r>
                </w:p>
              </w:tc>
              <w:tc>
                <w:tcPr>
                  <w:tcW w:w="451" w:type="pct"/>
                  <w:vAlign w:val="center"/>
                </w:tcPr>
                <w:p>
                  <w:pPr>
                    <w:jc w:val="center"/>
                    <w:rPr>
                      <w:kern w:val="0"/>
                      <w:szCs w:val="21"/>
                    </w:rPr>
                  </w:pPr>
                  <w:r>
                    <w:rPr>
                      <w:kern w:val="0"/>
                      <w:szCs w:val="21"/>
                    </w:rPr>
                    <w:t>55.1</w:t>
                  </w:r>
                </w:p>
              </w:tc>
              <w:tc>
                <w:tcPr>
                  <w:tcW w:w="452" w:type="pct"/>
                  <w:vAlign w:val="center"/>
                </w:tcPr>
                <w:p>
                  <w:pPr>
                    <w:jc w:val="center"/>
                    <w:rPr>
                      <w:kern w:val="0"/>
                      <w:szCs w:val="21"/>
                    </w:rPr>
                  </w:pPr>
                  <w:r>
                    <w:rPr>
                      <w:kern w:val="0"/>
                      <w:szCs w:val="21"/>
                    </w:rPr>
                    <w:t>52.9</w:t>
                  </w:r>
                </w:p>
              </w:tc>
              <w:tc>
                <w:tcPr>
                  <w:tcW w:w="452" w:type="pct"/>
                  <w:vAlign w:val="center"/>
                </w:tcPr>
                <w:p>
                  <w:pPr>
                    <w:jc w:val="center"/>
                    <w:rPr>
                      <w:kern w:val="0"/>
                      <w:szCs w:val="21"/>
                    </w:rPr>
                  </w:pPr>
                  <w:r>
                    <w:rPr>
                      <w:kern w:val="0"/>
                      <w:szCs w:val="21"/>
                    </w:rPr>
                    <w:t>47.4</w:t>
                  </w:r>
                </w:p>
              </w:tc>
              <w:tc>
                <w:tcPr>
                  <w:tcW w:w="451" w:type="pct"/>
                  <w:vAlign w:val="center"/>
                </w:tcPr>
                <w:p>
                  <w:pPr>
                    <w:jc w:val="center"/>
                    <w:rPr>
                      <w:kern w:val="0"/>
                      <w:szCs w:val="21"/>
                    </w:rPr>
                  </w:pPr>
                  <w:r>
                    <w:rPr>
                      <w:kern w:val="0"/>
                      <w:szCs w:val="21"/>
                    </w:rPr>
                    <w:t>44.8</w:t>
                  </w:r>
                </w:p>
              </w:tc>
              <w:tc>
                <w:tcPr>
                  <w:tcW w:w="452" w:type="pct"/>
                  <w:vAlign w:val="center"/>
                </w:tcPr>
                <w:p>
                  <w:pPr>
                    <w:jc w:val="center"/>
                    <w:rPr>
                      <w:kern w:val="0"/>
                      <w:szCs w:val="21"/>
                    </w:rPr>
                  </w:pPr>
                  <w:r>
                    <w:rPr>
                      <w:kern w:val="0"/>
                      <w:szCs w:val="21"/>
                    </w:rPr>
                    <w:t>42.8</w:t>
                  </w:r>
                </w:p>
              </w:tc>
              <w:tc>
                <w:tcPr>
                  <w:tcW w:w="418" w:type="pct"/>
                  <w:vAlign w:val="center"/>
                </w:tcPr>
                <w:p>
                  <w:pPr>
                    <w:jc w:val="center"/>
                    <w:rPr>
                      <w:kern w:val="0"/>
                      <w:szCs w:val="21"/>
                    </w:rPr>
                  </w:pPr>
                  <w:r>
                    <w:rPr>
                      <w:kern w:val="0"/>
                      <w:szCs w:val="21"/>
                    </w:rPr>
                    <w:t>36.6</w:t>
                  </w:r>
                </w:p>
              </w:tc>
              <w:tc>
                <w:tcPr>
                  <w:tcW w:w="407" w:type="pct"/>
                  <w:vAlign w:val="center"/>
                </w:tcPr>
                <w:p>
                  <w:pPr>
                    <w:jc w:val="center"/>
                    <w:rPr>
                      <w:kern w:val="0"/>
                      <w:szCs w:val="21"/>
                    </w:rPr>
                  </w:pPr>
                  <w:r>
                    <w:rPr>
                      <w:kern w:val="0"/>
                      <w:szCs w:val="21"/>
                    </w:rPr>
                    <w:t>32.1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挖掘机</w:t>
                  </w:r>
                </w:p>
              </w:tc>
              <w:tc>
                <w:tcPr>
                  <w:tcW w:w="362" w:type="pct"/>
                  <w:vAlign w:val="center"/>
                </w:tcPr>
                <w:p>
                  <w:pPr>
                    <w:jc w:val="center"/>
                    <w:rPr>
                      <w:kern w:val="0"/>
                      <w:szCs w:val="21"/>
                    </w:rPr>
                  </w:pPr>
                  <w:r>
                    <w:rPr>
                      <w:kern w:val="0"/>
                      <w:szCs w:val="21"/>
                    </w:rPr>
                    <w:t>84</w:t>
                  </w:r>
                </w:p>
              </w:tc>
              <w:tc>
                <w:tcPr>
                  <w:tcW w:w="452" w:type="pct"/>
                  <w:vAlign w:val="center"/>
                </w:tcPr>
                <w:p>
                  <w:pPr>
                    <w:jc w:val="center"/>
                    <w:rPr>
                      <w:kern w:val="0"/>
                      <w:szCs w:val="21"/>
                    </w:rPr>
                  </w:pPr>
                  <w:r>
                    <w:rPr>
                      <w:szCs w:val="21"/>
                    </w:rPr>
                    <w:t xml:space="preserve">70.0 </w:t>
                  </w:r>
                </w:p>
              </w:tc>
              <w:tc>
                <w:tcPr>
                  <w:tcW w:w="452" w:type="pct"/>
                  <w:vAlign w:val="center"/>
                </w:tcPr>
                <w:p>
                  <w:pPr>
                    <w:jc w:val="center"/>
                    <w:rPr>
                      <w:szCs w:val="21"/>
                    </w:rPr>
                  </w:pPr>
                  <w:r>
                    <w:rPr>
                      <w:szCs w:val="21"/>
                    </w:rPr>
                    <w:t xml:space="preserve">60.5 </w:t>
                  </w:r>
                </w:p>
              </w:tc>
              <w:tc>
                <w:tcPr>
                  <w:tcW w:w="451" w:type="pct"/>
                  <w:vAlign w:val="center"/>
                </w:tcPr>
                <w:p>
                  <w:pPr>
                    <w:jc w:val="center"/>
                    <w:rPr>
                      <w:szCs w:val="21"/>
                    </w:rPr>
                  </w:pPr>
                  <w:r>
                    <w:rPr>
                      <w:szCs w:val="21"/>
                    </w:rPr>
                    <w:t xml:space="preserve">53.1 </w:t>
                  </w:r>
                </w:p>
              </w:tc>
              <w:tc>
                <w:tcPr>
                  <w:tcW w:w="452" w:type="pct"/>
                  <w:vAlign w:val="center"/>
                </w:tcPr>
                <w:p>
                  <w:pPr>
                    <w:jc w:val="center"/>
                    <w:rPr>
                      <w:szCs w:val="21"/>
                    </w:rPr>
                  </w:pPr>
                  <w:r>
                    <w:rPr>
                      <w:szCs w:val="21"/>
                    </w:rPr>
                    <w:t xml:space="preserve">50.9 </w:t>
                  </w:r>
                </w:p>
              </w:tc>
              <w:tc>
                <w:tcPr>
                  <w:tcW w:w="452" w:type="pct"/>
                  <w:vAlign w:val="center"/>
                </w:tcPr>
                <w:p>
                  <w:pPr>
                    <w:jc w:val="center"/>
                    <w:rPr>
                      <w:szCs w:val="21"/>
                    </w:rPr>
                  </w:pPr>
                  <w:r>
                    <w:rPr>
                      <w:szCs w:val="21"/>
                    </w:rPr>
                    <w:t xml:space="preserve">45.4 </w:t>
                  </w:r>
                </w:p>
              </w:tc>
              <w:tc>
                <w:tcPr>
                  <w:tcW w:w="451" w:type="pct"/>
                  <w:vAlign w:val="center"/>
                </w:tcPr>
                <w:p>
                  <w:pPr>
                    <w:jc w:val="center"/>
                    <w:rPr>
                      <w:szCs w:val="21"/>
                    </w:rPr>
                  </w:pPr>
                  <w:r>
                    <w:rPr>
                      <w:szCs w:val="21"/>
                    </w:rPr>
                    <w:t xml:space="preserve">42.8 </w:t>
                  </w:r>
                </w:p>
              </w:tc>
              <w:tc>
                <w:tcPr>
                  <w:tcW w:w="452" w:type="pct"/>
                  <w:vAlign w:val="center"/>
                </w:tcPr>
                <w:p>
                  <w:pPr>
                    <w:jc w:val="center"/>
                    <w:rPr>
                      <w:szCs w:val="21"/>
                    </w:rPr>
                  </w:pPr>
                  <w:r>
                    <w:rPr>
                      <w:szCs w:val="21"/>
                    </w:rPr>
                    <w:t xml:space="preserve">40.8 </w:t>
                  </w:r>
                </w:p>
              </w:tc>
              <w:tc>
                <w:tcPr>
                  <w:tcW w:w="418" w:type="pct"/>
                  <w:vAlign w:val="center"/>
                </w:tcPr>
                <w:p>
                  <w:pPr>
                    <w:jc w:val="center"/>
                    <w:rPr>
                      <w:szCs w:val="21"/>
                    </w:rPr>
                  </w:pPr>
                  <w:r>
                    <w:rPr>
                      <w:szCs w:val="21"/>
                    </w:rPr>
                    <w:t xml:space="preserve">34.6 </w:t>
                  </w:r>
                </w:p>
              </w:tc>
              <w:tc>
                <w:tcPr>
                  <w:tcW w:w="407" w:type="pct"/>
                  <w:vAlign w:val="center"/>
                </w:tcPr>
                <w:p>
                  <w:pPr>
                    <w:jc w:val="center"/>
                    <w:rPr>
                      <w:szCs w:val="21"/>
                    </w:rPr>
                  </w:pPr>
                  <w:r>
                    <w:rPr>
                      <w:szCs w:val="21"/>
                    </w:rPr>
                    <w:t xml:space="preserve">30.1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插入式振捣器</w:t>
                  </w:r>
                </w:p>
              </w:tc>
              <w:tc>
                <w:tcPr>
                  <w:tcW w:w="362" w:type="pct"/>
                  <w:vAlign w:val="center"/>
                </w:tcPr>
                <w:p>
                  <w:pPr>
                    <w:jc w:val="center"/>
                    <w:rPr>
                      <w:kern w:val="0"/>
                      <w:szCs w:val="21"/>
                    </w:rPr>
                  </w:pPr>
                  <w:r>
                    <w:rPr>
                      <w:kern w:val="0"/>
                      <w:szCs w:val="21"/>
                    </w:rPr>
                    <w:t>78</w:t>
                  </w:r>
                </w:p>
              </w:tc>
              <w:tc>
                <w:tcPr>
                  <w:tcW w:w="452" w:type="pct"/>
                  <w:vAlign w:val="center"/>
                </w:tcPr>
                <w:p>
                  <w:pPr>
                    <w:jc w:val="center"/>
                    <w:rPr>
                      <w:szCs w:val="21"/>
                    </w:rPr>
                  </w:pPr>
                  <w:r>
                    <w:rPr>
                      <w:szCs w:val="21"/>
                    </w:rPr>
                    <w:t xml:space="preserve">64.0 </w:t>
                  </w:r>
                </w:p>
              </w:tc>
              <w:tc>
                <w:tcPr>
                  <w:tcW w:w="452" w:type="pct"/>
                  <w:vAlign w:val="center"/>
                </w:tcPr>
                <w:p>
                  <w:pPr>
                    <w:jc w:val="center"/>
                    <w:rPr>
                      <w:szCs w:val="21"/>
                    </w:rPr>
                  </w:pPr>
                  <w:r>
                    <w:rPr>
                      <w:szCs w:val="21"/>
                    </w:rPr>
                    <w:t xml:space="preserve">54.5 </w:t>
                  </w:r>
                </w:p>
              </w:tc>
              <w:tc>
                <w:tcPr>
                  <w:tcW w:w="451" w:type="pct"/>
                  <w:vAlign w:val="center"/>
                </w:tcPr>
                <w:p>
                  <w:pPr>
                    <w:jc w:val="center"/>
                    <w:rPr>
                      <w:szCs w:val="21"/>
                    </w:rPr>
                  </w:pPr>
                  <w:r>
                    <w:rPr>
                      <w:szCs w:val="21"/>
                    </w:rPr>
                    <w:t xml:space="preserve">47.1 </w:t>
                  </w:r>
                </w:p>
              </w:tc>
              <w:tc>
                <w:tcPr>
                  <w:tcW w:w="452" w:type="pct"/>
                  <w:vAlign w:val="center"/>
                </w:tcPr>
                <w:p>
                  <w:pPr>
                    <w:jc w:val="center"/>
                    <w:rPr>
                      <w:szCs w:val="21"/>
                    </w:rPr>
                  </w:pPr>
                  <w:r>
                    <w:rPr>
                      <w:szCs w:val="21"/>
                    </w:rPr>
                    <w:t xml:space="preserve">44.9 </w:t>
                  </w:r>
                </w:p>
              </w:tc>
              <w:tc>
                <w:tcPr>
                  <w:tcW w:w="452" w:type="pct"/>
                  <w:vAlign w:val="center"/>
                </w:tcPr>
                <w:p>
                  <w:pPr>
                    <w:jc w:val="center"/>
                    <w:rPr>
                      <w:szCs w:val="21"/>
                    </w:rPr>
                  </w:pPr>
                  <w:r>
                    <w:rPr>
                      <w:szCs w:val="21"/>
                    </w:rPr>
                    <w:t xml:space="preserve">39.4 </w:t>
                  </w:r>
                </w:p>
              </w:tc>
              <w:tc>
                <w:tcPr>
                  <w:tcW w:w="451" w:type="pct"/>
                  <w:vAlign w:val="center"/>
                </w:tcPr>
                <w:p>
                  <w:pPr>
                    <w:jc w:val="center"/>
                    <w:rPr>
                      <w:szCs w:val="21"/>
                    </w:rPr>
                  </w:pPr>
                  <w:r>
                    <w:rPr>
                      <w:szCs w:val="21"/>
                    </w:rPr>
                    <w:t xml:space="preserve">36.8 </w:t>
                  </w:r>
                </w:p>
              </w:tc>
              <w:tc>
                <w:tcPr>
                  <w:tcW w:w="452" w:type="pct"/>
                  <w:vAlign w:val="center"/>
                </w:tcPr>
                <w:p>
                  <w:pPr>
                    <w:jc w:val="center"/>
                    <w:rPr>
                      <w:szCs w:val="21"/>
                    </w:rPr>
                  </w:pPr>
                  <w:r>
                    <w:rPr>
                      <w:szCs w:val="21"/>
                    </w:rPr>
                    <w:t xml:space="preserve">34.8 </w:t>
                  </w:r>
                </w:p>
              </w:tc>
              <w:tc>
                <w:tcPr>
                  <w:tcW w:w="418" w:type="pct"/>
                  <w:vAlign w:val="center"/>
                </w:tcPr>
                <w:p>
                  <w:pPr>
                    <w:jc w:val="center"/>
                    <w:rPr>
                      <w:szCs w:val="21"/>
                    </w:rPr>
                  </w:pPr>
                  <w:r>
                    <w:rPr>
                      <w:szCs w:val="21"/>
                    </w:rPr>
                    <w:t xml:space="preserve">28.6 </w:t>
                  </w:r>
                </w:p>
              </w:tc>
              <w:tc>
                <w:tcPr>
                  <w:tcW w:w="407" w:type="pct"/>
                  <w:vAlign w:val="center"/>
                </w:tcPr>
                <w:p>
                  <w:pPr>
                    <w:jc w:val="center"/>
                    <w:rPr>
                      <w:szCs w:val="21"/>
                    </w:rPr>
                  </w:pPr>
                  <w:r>
                    <w:rPr>
                      <w:szCs w:val="21"/>
                    </w:rPr>
                    <w:t xml:space="preserve">24.1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装载机</w:t>
                  </w:r>
                </w:p>
              </w:tc>
              <w:tc>
                <w:tcPr>
                  <w:tcW w:w="362" w:type="pct"/>
                  <w:vAlign w:val="center"/>
                </w:tcPr>
                <w:p>
                  <w:pPr>
                    <w:jc w:val="center"/>
                    <w:rPr>
                      <w:kern w:val="0"/>
                      <w:szCs w:val="21"/>
                    </w:rPr>
                  </w:pPr>
                  <w:r>
                    <w:rPr>
                      <w:kern w:val="0"/>
                      <w:szCs w:val="21"/>
                    </w:rPr>
                    <w:t>86</w:t>
                  </w:r>
                </w:p>
              </w:tc>
              <w:tc>
                <w:tcPr>
                  <w:tcW w:w="452" w:type="pct"/>
                  <w:vAlign w:val="center"/>
                </w:tcPr>
                <w:p>
                  <w:pPr>
                    <w:jc w:val="center"/>
                    <w:rPr>
                      <w:szCs w:val="21"/>
                    </w:rPr>
                  </w:pPr>
                  <w:r>
                    <w:rPr>
                      <w:szCs w:val="21"/>
                    </w:rPr>
                    <w:t xml:space="preserve">72.0 </w:t>
                  </w:r>
                </w:p>
              </w:tc>
              <w:tc>
                <w:tcPr>
                  <w:tcW w:w="452" w:type="pct"/>
                  <w:vAlign w:val="center"/>
                </w:tcPr>
                <w:p>
                  <w:pPr>
                    <w:jc w:val="center"/>
                    <w:rPr>
                      <w:szCs w:val="21"/>
                    </w:rPr>
                  </w:pPr>
                  <w:r>
                    <w:rPr>
                      <w:szCs w:val="21"/>
                    </w:rPr>
                    <w:t xml:space="preserve">62.5 </w:t>
                  </w:r>
                </w:p>
              </w:tc>
              <w:tc>
                <w:tcPr>
                  <w:tcW w:w="451" w:type="pct"/>
                  <w:vAlign w:val="center"/>
                </w:tcPr>
                <w:p>
                  <w:pPr>
                    <w:jc w:val="center"/>
                    <w:rPr>
                      <w:szCs w:val="21"/>
                    </w:rPr>
                  </w:pPr>
                  <w:r>
                    <w:rPr>
                      <w:szCs w:val="21"/>
                    </w:rPr>
                    <w:t xml:space="preserve">55.1 </w:t>
                  </w:r>
                </w:p>
              </w:tc>
              <w:tc>
                <w:tcPr>
                  <w:tcW w:w="452" w:type="pct"/>
                  <w:vAlign w:val="center"/>
                </w:tcPr>
                <w:p>
                  <w:pPr>
                    <w:jc w:val="center"/>
                    <w:rPr>
                      <w:szCs w:val="21"/>
                    </w:rPr>
                  </w:pPr>
                  <w:r>
                    <w:rPr>
                      <w:szCs w:val="21"/>
                    </w:rPr>
                    <w:t xml:space="preserve">52.9 </w:t>
                  </w:r>
                </w:p>
              </w:tc>
              <w:tc>
                <w:tcPr>
                  <w:tcW w:w="452" w:type="pct"/>
                  <w:vAlign w:val="center"/>
                </w:tcPr>
                <w:p>
                  <w:pPr>
                    <w:jc w:val="center"/>
                    <w:rPr>
                      <w:szCs w:val="21"/>
                    </w:rPr>
                  </w:pPr>
                  <w:r>
                    <w:rPr>
                      <w:szCs w:val="21"/>
                    </w:rPr>
                    <w:t xml:space="preserve">47.4 </w:t>
                  </w:r>
                </w:p>
              </w:tc>
              <w:tc>
                <w:tcPr>
                  <w:tcW w:w="451" w:type="pct"/>
                  <w:vAlign w:val="center"/>
                </w:tcPr>
                <w:p>
                  <w:pPr>
                    <w:jc w:val="center"/>
                    <w:rPr>
                      <w:szCs w:val="21"/>
                    </w:rPr>
                  </w:pPr>
                  <w:r>
                    <w:rPr>
                      <w:szCs w:val="21"/>
                    </w:rPr>
                    <w:t xml:space="preserve">44.8 </w:t>
                  </w:r>
                </w:p>
              </w:tc>
              <w:tc>
                <w:tcPr>
                  <w:tcW w:w="452" w:type="pct"/>
                  <w:vAlign w:val="center"/>
                </w:tcPr>
                <w:p>
                  <w:pPr>
                    <w:jc w:val="center"/>
                    <w:rPr>
                      <w:szCs w:val="21"/>
                    </w:rPr>
                  </w:pPr>
                  <w:r>
                    <w:rPr>
                      <w:szCs w:val="21"/>
                    </w:rPr>
                    <w:t xml:space="preserve">42.8 </w:t>
                  </w:r>
                </w:p>
              </w:tc>
              <w:tc>
                <w:tcPr>
                  <w:tcW w:w="418" w:type="pct"/>
                  <w:vAlign w:val="center"/>
                </w:tcPr>
                <w:p>
                  <w:pPr>
                    <w:jc w:val="center"/>
                    <w:rPr>
                      <w:szCs w:val="21"/>
                    </w:rPr>
                  </w:pPr>
                  <w:r>
                    <w:rPr>
                      <w:szCs w:val="21"/>
                    </w:rPr>
                    <w:t xml:space="preserve">36.6 </w:t>
                  </w:r>
                </w:p>
              </w:tc>
              <w:tc>
                <w:tcPr>
                  <w:tcW w:w="407" w:type="pct"/>
                  <w:vAlign w:val="center"/>
                </w:tcPr>
                <w:p>
                  <w:pPr>
                    <w:jc w:val="center"/>
                    <w:rPr>
                      <w:szCs w:val="21"/>
                    </w:rPr>
                  </w:pPr>
                  <w:r>
                    <w:rPr>
                      <w:szCs w:val="21"/>
                    </w:rPr>
                    <w:t xml:space="preserve">32.1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汽车吊</w:t>
                  </w:r>
                </w:p>
              </w:tc>
              <w:tc>
                <w:tcPr>
                  <w:tcW w:w="362" w:type="pct"/>
                  <w:vAlign w:val="center"/>
                </w:tcPr>
                <w:p>
                  <w:pPr>
                    <w:jc w:val="center"/>
                    <w:rPr>
                      <w:kern w:val="0"/>
                      <w:szCs w:val="21"/>
                    </w:rPr>
                  </w:pPr>
                  <w:r>
                    <w:rPr>
                      <w:kern w:val="0"/>
                      <w:szCs w:val="21"/>
                    </w:rPr>
                    <w:t>65</w:t>
                  </w:r>
                </w:p>
              </w:tc>
              <w:tc>
                <w:tcPr>
                  <w:tcW w:w="452" w:type="pct"/>
                  <w:vAlign w:val="center"/>
                </w:tcPr>
                <w:p>
                  <w:pPr>
                    <w:jc w:val="center"/>
                    <w:rPr>
                      <w:szCs w:val="21"/>
                    </w:rPr>
                  </w:pPr>
                  <w:r>
                    <w:rPr>
                      <w:szCs w:val="21"/>
                    </w:rPr>
                    <w:t xml:space="preserve">51.0 </w:t>
                  </w:r>
                </w:p>
              </w:tc>
              <w:tc>
                <w:tcPr>
                  <w:tcW w:w="452" w:type="pct"/>
                  <w:vAlign w:val="center"/>
                </w:tcPr>
                <w:p>
                  <w:pPr>
                    <w:jc w:val="center"/>
                    <w:rPr>
                      <w:szCs w:val="21"/>
                    </w:rPr>
                  </w:pPr>
                  <w:r>
                    <w:rPr>
                      <w:szCs w:val="21"/>
                    </w:rPr>
                    <w:t xml:space="preserve">41.5 </w:t>
                  </w:r>
                </w:p>
              </w:tc>
              <w:tc>
                <w:tcPr>
                  <w:tcW w:w="451" w:type="pct"/>
                  <w:vAlign w:val="center"/>
                </w:tcPr>
                <w:p>
                  <w:pPr>
                    <w:jc w:val="center"/>
                    <w:rPr>
                      <w:szCs w:val="21"/>
                    </w:rPr>
                  </w:pPr>
                  <w:r>
                    <w:rPr>
                      <w:szCs w:val="21"/>
                    </w:rPr>
                    <w:t xml:space="preserve">34.1 </w:t>
                  </w:r>
                </w:p>
              </w:tc>
              <w:tc>
                <w:tcPr>
                  <w:tcW w:w="452" w:type="pct"/>
                  <w:vAlign w:val="center"/>
                </w:tcPr>
                <w:p>
                  <w:pPr>
                    <w:jc w:val="center"/>
                    <w:rPr>
                      <w:szCs w:val="21"/>
                    </w:rPr>
                  </w:pPr>
                  <w:r>
                    <w:rPr>
                      <w:szCs w:val="21"/>
                    </w:rPr>
                    <w:t xml:space="preserve">31.9 </w:t>
                  </w:r>
                </w:p>
              </w:tc>
              <w:tc>
                <w:tcPr>
                  <w:tcW w:w="452" w:type="pct"/>
                  <w:vAlign w:val="center"/>
                </w:tcPr>
                <w:p>
                  <w:pPr>
                    <w:jc w:val="center"/>
                    <w:rPr>
                      <w:szCs w:val="21"/>
                    </w:rPr>
                  </w:pPr>
                  <w:r>
                    <w:rPr>
                      <w:szCs w:val="21"/>
                    </w:rPr>
                    <w:t xml:space="preserve">26.4 </w:t>
                  </w:r>
                </w:p>
              </w:tc>
              <w:tc>
                <w:tcPr>
                  <w:tcW w:w="451" w:type="pct"/>
                  <w:vAlign w:val="center"/>
                </w:tcPr>
                <w:p>
                  <w:pPr>
                    <w:jc w:val="center"/>
                    <w:rPr>
                      <w:szCs w:val="21"/>
                    </w:rPr>
                  </w:pPr>
                  <w:r>
                    <w:rPr>
                      <w:szCs w:val="21"/>
                    </w:rPr>
                    <w:t xml:space="preserve">23.8 </w:t>
                  </w:r>
                </w:p>
              </w:tc>
              <w:tc>
                <w:tcPr>
                  <w:tcW w:w="452" w:type="pct"/>
                  <w:vAlign w:val="center"/>
                </w:tcPr>
                <w:p>
                  <w:pPr>
                    <w:jc w:val="center"/>
                    <w:rPr>
                      <w:szCs w:val="21"/>
                    </w:rPr>
                  </w:pPr>
                  <w:r>
                    <w:rPr>
                      <w:szCs w:val="21"/>
                    </w:rPr>
                    <w:t xml:space="preserve">21.8 </w:t>
                  </w:r>
                </w:p>
              </w:tc>
              <w:tc>
                <w:tcPr>
                  <w:tcW w:w="418" w:type="pct"/>
                  <w:vAlign w:val="center"/>
                </w:tcPr>
                <w:p>
                  <w:pPr>
                    <w:jc w:val="center"/>
                    <w:rPr>
                      <w:szCs w:val="21"/>
                    </w:rPr>
                  </w:pPr>
                  <w:r>
                    <w:rPr>
                      <w:szCs w:val="21"/>
                    </w:rPr>
                    <w:t xml:space="preserve">15.6 </w:t>
                  </w:r>
                </w:p>
              </w:tc>
              <w:tc>
                <w:tcPr>
                  <w:tcW w:w="407" w:type="pct"/>
                  <w:vAlign w:val="center"/>
                </w:tcPr>
                <w:p>
                  <w:pPr>
                    <w:jc w:val="center"/>
                    <w:rPr>
                      <w:szCs w:val="21"/>
                    </w:rPr>
                  </w:pPr>
                  <w:r>
                    <w:rPr>
                      <w:szCs w:val="21"/>
                    </w:rPr>
                    <w:t xml:space="preserve">11.1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运输汽车</w:t>
                  </w:r>
                </w:p>
              </w:tc>
              <w:tc>
                <w:tcPr>
                  <w:tcW w:w="362" w:type="pct"/>
                  <w:vAlign w:val="center"/>
                </w:tcPr>
                <w:p>
                  <w:pPr>
                    <w:jc w:val="center"/>
                    <w:rPr>
                      <w:kern w:val="0"/>
                      <w:szCs w:val="21"/>
                    </w:rPr>
                  </w:pPr>
                  <w:r>
                    <w:rPr>
                      <w:kern w:val="0"/>
                      <w:szCs w:val="21"/>
                    </w:rPr>
                    <w:t>88</w:t>
                  </w:r>
                </w:p>
              </w:tc>
              <w:tc>
                <w:tcPr>
                  <w:tcW w:w="452" w:type="pct"/>
                  <w:vAlign w:val="center"/>
                </w:tcPr>
                <w:p>
                  <w:pPr>
                    <w:jc w:val="center"/>
                    <w:rPr>
                      <w:szCs w:val="21"/>
                    </w:rPr>
                  </w:pPr>
                  <w:r>
                    <w:rPr>
                      <w:szCs w:val="21"/>
                    </w:rPr>
                    <w:t xml:space="preserve">74.0 </w:t>
                  </w:r>
                </w:p>
              </w:tc>
              <w:tc>
                <w:tcPr>
                  <w:tcW w:w="452" w:type="pct"/>
                  <w:vAlign w:val="center"/>
                </w:tcPr>
                <w:p>
                  <w:pPr>
                    <w:jc w:val="center"/>
                    <w:rPr>
                      <w:szCs w:val="21"/>
                    </w:rPr>
                  </w:pPr>
                  <w:r>
                    <w:rPr>
                      <w:szCs w:val="21"/>
                    </w:rPr>
                    <w:t xml:space="preserve">64.5 </w:t>
                  </w:r>
                </w:p>
              </w:tc>
              <w:tc>
                <w:tcPr>
                  <w:tcW w:w="451" w:type="pct"/>
                  <w:vAlign w:val="center"/>
                </w:tcPr>
                <w:p>
                  <w:pPr>
                    <w:jc w:val="center"/>
                    <w:rPr>
                      <w:szCs w:val="21"/>
                    </w:rPr>
                  </w:pPr>
                  <w:r>
                    <w:rPr>
                      <w:szCs w:val="21"/>
                    </w:rPr>
                    <w:t xml:space="preserve">57.1 </w:t>
                  </w:r>
                </w:p>
              </w:tc>
              <w:tc>
                <w:tcPr>
                  <w:tcW w:w="452" w:type="pct"/>
                  <w:vAlign w:val="center"/>
                </w:tcPr>
                <w:p>
                  <w:pPr>
                    <w:jc w:val="center"/>
                    <w:rPr>
                      <w:szCs w:val="21"/>
                    </w:rPr>
                  </w:pPr>
                  <w:r>
                    <w:rPr>
                      <w:szCs w:val="21"/>
                    </w:rPr>
                    <w:t xml:space="preserve">54.9 </w:t>
                  </w:r>
                </w:p>
              </w:tc>
              <w:tc>
                <w:tcPr>
                  <w:tcW w:w="452" w:type="pct"/>
                  <w:vAlign w:val="center"/>
                </w:tcPr>
                <w:p>
                  <w:pPr>
                    <w:jc w:val="center"/>
                    <w:rPr>
                      <w:szCs w:val="21"/>
                    </w:rPr>
                  </w:pPr>
                  <w:r>
                    <w:rPr>
                      <w:szCs w:val="21"/>
                    </w:rPr>
                    <w:t xml:space="preserve">49.4 </w:t>
                  </w:r>
                </w:p>
              </w:tc>
              <w:tc>
                <w:tcPr>
                  <w:tcW w:w="451" w:type="pct"/>
                  <w:vAlign w:val="center"/>
                </w:tcPr>
                <w:p>
                  <w:pPr>
                    <w:jc w:val="center"/>
                    <w:rPr>
                      <w:szCs w:val="21"/>
                    </w:rPr>
                  </w:pPr>
                  <w:r>
                    <w:rPr>
                      <w:szCs w:val="21"/>
                    </w:rPr>
                    <w:t xml:space="preserve">46.8 </w:t>
                  </w:r>
                </w:p>
              </w:tc>
              <w:tc>
                <w:tcPr>
                  <w:tcW w:w="452" w:type="pct"/>
                  <w:vAlign w:val="center"/>
                </w:tcPr>
                <w:p>
                  <w:pPr>
                    <w:jc w:val="center"/>
                    <w:rPr>
                      <w:szCs w:val="21"/>
                    </w:rPr>
                  </w:pPr>
                  <w:r>
                    <w:rPr>
                      <w:szCs w:val="21"/>
                    </w:rPr>
                    <w:t xml:space="preserve">44.8 </w:t>
                  </w:r>
                </w:p>
              </w:tc>
              <w:tc>
                <w:tcPr>
                  <w:tcW w:w="418" w:type="pct"/>
                  <w:vAlign w:val="center"/>
                </w:tcPr>
                <w:p>
                  <w:pPr>
                    <w:jc w:val="center"/>
                    <w:rPr>
                      <w:szCs w:val="21"/>
                    </w:rPr>
                  </w:pPr>
                  <w:r>
                    <w:rPr>
                      <w:szCs w:val="21"/>
                    </w:rPr>
                    <w:t xml:space="preserve">38.6 </w:t>
                  </w:r>
                </w:p>
              </w:tc>
              <w:tc>
                <w:tcPr>
                  <w:tcW w:w="407" w:type="pct"/>
                  <w:vAlign w:val="center"/>
                </w:tcPr>
                <w:p>
                  <w:pPr>
                    <w:jc w:val="center"/>
                    <w:rPr>
                      <w:szCs w:val="21"/>
                    </w:rPr>
                  </w:pPr>
                  <w:r>
                    <w:rPr>
                      <w:szCs w:val="21"/>
                    </w:rPr>
                    <w:t xml:space="preserve">34.1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空气压缩机</w:t>
                  </w:r>
                </w:p>
              </w:tc>
              <w:tc>
                <w:tcPr>
                  <w:tcW w:w="362" w:type="pct"/>
                  <w:vAlign w:val="center"/>
                </w:tcPr>
                <w:p>
                  <w:pPr>
                    <w:jc w:val="center"/>
                    <w:rPr>
                      <w:kern w:val="0"/>
                      <w:szCs w:val="21"/>
                    </w:rPr>
                  </w:pPr>
                  <w:r>
                    <w:rPr>
                      <w:kern w:val="0"/>
                      <w:szCs w:val="21"/>
                    </w:rPr>
                    <w:t>90</w:t>
                  </w:r>
                </w:p>
              </w:tc>
              <w:tc>
                <w:tcPr>
                  <w:tcW w:w="452" w:type="pct"/>
                  <w:vAlign w:val="center"/>
                </w:tcPr>
                <w:p>
                  <w:pPr>
                    <w:jc w:val="center"/>
                    <w:rPr>
                      <w:szCs w:val="21"/>
                    </w:rPr>
                  </w:pPr>
                  <w:r>
                    <w:rPr>
                      <w:szCs w:val="21"/>
                    </w:rPr>
                    <w:t xml:space="preserve">76.0 </w:t>
                  </w:r>
                </w:p>
              </w:tc>
              <w:tc>
                <w:tcPr>
                  <w:tcW w:w="452" w:type="pct"/>
                  <w:vAlign w:val="center"/>
                </w:tcPr>
                <w:p>
                  <w:pPr>
                    <w:jc w:val="center"/>
                    <w:rPr>
                      <w:szCs w:val="21"/>
                    </w:rPr>
                  </w:pPr>
                  <w:r>
                    <w:rPr>
                      <w:szCs w:val="21"/>
                    </w:rPr>
                    <w:t xml:space="preserve">66.5 </w:t>
                  </w:r>
                </w:p>
              </w:tc>
              <w:tc>
                <w:tcPr>
                  <w:tcW w:w="451" w:type="pct"/>
                  <w:vAlign w:val="center"/>
                </w:tcPr>
                <w:p>
                  <w:pPr>
                    <w:jc w:val="center"/>
                    <w:rPr>
                      <w:szCs w:val="21"/>
                    </w:rPr>
                  </w:pPr>
                  <w:r>
                    <w:rPr>
                      <w:szCs w:val="21"/>
                    </w:rPr>
                    <w:t xml:space="preserve">59.1 </w:t>
                  </w:r>
                </w:p>
              </w:tc>
              <w:tc>
                <w:tcPr>
                  <w:tcW w:w="452" w:type="pct"/>
                  <w:vAlign w:val="center"/>
                </w:tcPr>
                <w:p>
                  <w:pPr>
                    <w:jc w:val="center"/>
                    <w:rPr>
                      <w:szCs w:val="21"/>
                    </w:rPr>
                  </w:pPr>
                  <w:r>
                    <w:rPr>
                      <w:szCs w:val="21"/>
                    </w:rPr>
                    <w:t xml:space="preserve">56.9 </w:t>
                  </w:r>
                </w:p>
              </w:tc>
              <w:tc>
                <w:tcPr>
                  <w:tcW w:w="452" w:type="pct"/>
                  <w:vAlign w:val="center"/>
                </w:tcPr>
                <w:p>
                  <w:pPr>
                    <w:jc w:val="center"/>
                    <w:rPr>
                      <w:szCs w:val="21"/>
                    </w:rPr>
                  </w:pPr>
                  <w:r>
                    <w:rPr>
                      <w:szCs w:val="21"/>
                    </w:rPr>
                    <w:t xml:space="preserve">51.4 </w:t>
                  </w:r>
                </w:p>
              </w:tc>
              <w:tc>
                <w:tcPr>
                  <w:tcW w:w="451" w:type="pct"/>
                  <w:vAlign w:val="center"/>
                </w:tcPr>
                <w:p>
                  <w:pPr>
                    <w:jc w:val="center"/>
                    <w:rPr>
                      <w:szCs w:val="21"/>
                    </w:rPr>
                  </w:pPr>
                  <w:r>
                    <w:rPr>
                      <w:szCs w:val="21"/>
                    </w:rPr>
                    <w:t xml:space="preserve">48.8 </w:t>
                  </w:r>
                </w:p>
              </w:tc>
              <w:tc>
                <w:tcPr>
                  <w:tcW w:w="452" w:type="pct"/>
                  <w:vAlign w:val="center"/>
                </w:tcPr>
                <w:p>
                  <w:pPr>
                    <w:jc w:val="center"/>
                    <w:rPr>
                      <w:szCs w:val="21"/>
                    </w:rPr>
                  </w:pPr>
                  <w:r>
                    <w:rPr>
                      <w:szCs w:val="21"/>
                    </w:rPr>
                    <w:t xml:space="preserve">46.8 </w:t>
                  </w:r>
                </w:p>
              </w:tc>
              <w:tc>
                <w:tcPr>
                  <w:tcW w:w="418" w:type="pct"/>
                  <w:vAlign w:val="center"/>
                </w:tcPr>
                <w:p>
                  <w:pPr>
                    <w:jc w:val="center"/>
                    <w:rPr>
                      <w:szCs w:val="21"/>
                    </w:rPr>
                  </w:pPr>
                  <w:r>
                    <w:rPr>
                      <w:szCs w:val="21"/>
                    </w:rPr>
                    <w:t xml:space="preserve">40.6 </w:t>
                  </w:r>
                </w:p>
              </w:tc>
              <w:tc>
                <w:tcPr>
                  <w:tcW w:w="407" w:type="pct"/>
                  <w:vAlign w:val="center"/>
                </w:tcPr>
                <w:p>
                  <w:pPr>
                    <w:jc w:val="center"/>
                    <w:rPr>
                      <w:szCs w:val="21"/>
                    </w:rPr>
                  </w:pPr>
                  <w:r>
                    <w:rPr>
                      <w:szCs w:val="21"/>
                    </w:rPr>
                    <w:t xml:space="preserve">36.1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51" w:type="pct"/>
                  <w:vAlign w:val="center"/>
                </w:tcPr>
                <w:p>
                  <w:pPr>
                    <w:jc w:val="center"/>
                    <w:rPr>
                      <w:kern w:val="0"/>
                      <w:szCs w:val="21"/>
                    </w:rPr>
                  </w:pPr>
                  <w:r>
                    <w:rPr>
                      <w:kern w:val="0"/>
                      <w:szCs w:val="21"/>
                    </w:rPr>
                    <w:t>移动式柴油发电机</w:t>
                  </w:r>
                </w:p>
              </w:tc>
              <w:tc>
                <w:tcPr>
                  <w:tcW w:w="362" w:type="pct"/>
                  <w:vAlign w:val="center"/>
                </w:tcPr>
                <w:p>
                  <w:pPr>
                    <w:jc w:val="center"/>
                    <w:rPr>
                      <w:kern w:val="0"/>
                      <w:szCs w:val="21"/>
                    </w:rPr>
                  </w:pPr>
                  <w:r>
                    <w:rPr>
                      <w:kern w:val="0"/>
                      <w:szCs w:val="21"/>
                    </w:rPr>
                    <w:t>95</w:t>
                  </w:r>
                </w:p>
              </w:tc>
              <w:tc>
                <w:tcPr>
                  <w:tcW w:w="452" w:type="pct"/>
                  <w:vAlign w:val="center"/>
                </w:tcPr>
                <w:p>
                  <w:pPr>
                    <w:jc w:val="center"/>
                    <w:rPr>
                      <w:szCs w:val="21"/>
                    </w:rPr>
                  </w:pPr>
                  <w:r>
                    <w:rPr>
                      <w:szCs w:val="21"/>
                    </w:rPr>
                    <w:t xml:space="preserve">81.0 </w:t>
                  </w:r>
                </w:p>
              </w:tc>
              <w:tc>
                <w:tcPr>
                  <w:tcW w:w="452" w:type="pct"/>
                  <w:vAlign w:val="center"/>
                </w:tcPr>
                <w:p>
                  <w:pPr>
                    <w:jc w:val="center"/>
                    <w:rPr>
                      <w:szCs w:val="21"/>
                    </w:rPr>
                  </w:pPr>
                  <w:r>
                    <w:rPr>
                      <w:szCs w:val="21"/>
                    </w:rPr>
                    <w:t xml:space="preserve">71.5 </w:t>
                  </w:r>
                </w:p>
              </w:tc>
              <w:tc>
                <w:tcPr>
                  <w:tcW w:w="451" w:type="pct"/>
                  <w:vAlign w:val="center"/>
                </w:tcPr>
                <w:p>
                  <w:pPr>
                    <w:jc w:val="center"/>
                    <w:rPr>
                      <w:szCs w:val="21"/>
                    </w:rPr>
                  </w:pPr>
                  <w:r>
                    <w:rPr>
                      <w:szCs w:val="21"/>
                    </w:rPr>
                    <w:t xml:space="preserve">64.1 </w:t>
                  </w:r>
                </w:p>
              </w:tc>
              <w:tc>
                <w:tcPr>
                  <w:tcW w:w="452" w:type="pct"/>
                  <w:vAlign w:val="center"/>
                </w:tcPr>
                <w:p>
                  <w:pPr>
                    <w:jc w:val="center"/>
                    <w:rPr>
                      <w:szCs w:val="21"/>
                    </w:rPr>
                  </w:pPr>
                  <w:r>
                    <w:rPr>
                      <w:szCs w:val="21"/>
                    </w:rPr>
                    <w:t xml:space="preserve">61.9 </w:t>
                  </w:r>
                </w:p>
              </w:tc>
              <w:tc>
                <w:tcPr>
                  <w:tcW w:w="452" w:type="pct"/>
                  <w:vAlign w:val="center"/>
                </w:tcPr>
                <w:p>
                  <w:pPr>
                    <w:jc w:val="center"/>
                    <w:rPr>
                      <w:szCs w:val="21"/>
                    </w:rPr>
                  </w:pPr>
                  <w:r>
                    <w:rPr>
                      <w:szCs w:val="21"/>
                    </w:rPr>
                    <w:t xml:space="preserve">56.4 </w:t>
                  </w:r>
                </w:p>
              </w:tc>
              <w:tc>
                <w:tcPr>
                  <w:tcW w:w="451" w:type="pct"/>
                  <w:vAlign w:val="center"/>
                </w:tcPr>
                <w:p>
                  <w:pPr>
                    <w:jc w:val="center"/>
                    <w:rPr>
                      <w:szCs w:val="21"/>
                    </w:rPr>
                  </w:pPr>
                  <w:r>
                    <w:rPr>
                      <w:szCs w:val="21"/>
                    </w:rPr>
                    <w:t xml:space="preserve">53.8 </w:t>
                  </w:r>
                </w:p>
              </w:tc>
              <w:tc>
                <w:tcPr>
                  <w:tcW w:w="452" w:type="pct"/>
                  <w:vAlign w:val="center"/>
                </w:tcPr>
                <w:p>
                  <w:pPr>
                    <w:jc w:val="center"/>
                    <w:rPr>
                      <w:szCs w:val="21"/>
                    </w:rPr>
                  </w:pPr>
                  <w:r>
                    <w:rPr>
                      <w:szCs w:val="21"/>
                    </w:rPr>
                    <w:t xml:space="preserve">51.8 </w:t>
                  </w:r>
                </w:p>
              </w:tc>
              <w:tc>
                <w:tcPr>
                  <w:tcW w:w="418" w:type="pct"/>
                  <w:vAlign w:val="center"/>
                </w:tcPr>
                <w:p>
                  <w:pPr>
                    <w:jc w:val="center"/>
                    <w:rPr>
                      <w:szCs w:val="21"/>
                    </w:rPr>
                  </w:pPr>
                  <w:r>
                    <w:rPr>
                      <w:szCs w:val="21"/>
                    </w:rPr>
                    <w:t xml:space="preserve">45.6 </w:t>
                  </w:r>
                </w:p>
              </w:tc>
              <w:tc>
                <w:tcPr>
                  <w:tcW w:w="407" w:type="pct"/>
                  <w:vAlign w:val="center"/>
                </w:tcPr>
                <w:p>
                  <w:pPr>
                    <w:jc w:val="center"/>
                    <w:rPr>
                      <w:szCs w:val="21"/>
                    </w:rPr>
                  </w:pPr>
                  <w:r>
                    <w:rPr>
                      <w:szCs w:val="21"/>
                    </w:rPr>
                    <w:t xml:space="preserve">41.1 </w:t>
                  </w:r>
                </w:p>
              </w:tc>
            </w:tr>
          </w:tbl>
          <w:p>
            <w:pPr>
              <w:pStyle w:val="46"/>
              <w:ind w:firstLine="480"/>
              <w:rPr>
                <w:rFonts w:cs="Times New Roman"/>
              </w:rPr>
            </w:pPr>
            <w:r>
              <w:rPr>
                <w:rFonts w:cs="Times New Roman"/>
              </w:rPr>
              <w:t>从上表可知，施工机械作业产生的噪声在40m范围外噪声值可以达到《建筑施工场界环境噪声排放标准》（GB12523-2011）规定的昼间70</w:t>
            </w:r>
            <w:r>
              <w:rPr>
                <w:rFonts w:cs="Times New Roman"/>
                <w:bCs/>
              </w:rPr>
              <w:t>dB(A)</w:t>
            </w:r>
            <w:r>
              <w:rPr>
                <w:rFonts w:cs="Times New Roman"/>
              </w:rPr>
              <w:t>噪声限值，120m范围外可以达到夜间55</w:t>
            </w:r>
            <w:r>
              <w:rPr>
                <w:rFonts w:cs="Times New Roman"/>
                <w:bCs/>
              </w:rPr>
              <w:t>dB(A)</w:t>
            </w:r>
            <w:r>
              <w:rPr>
                <w:rFonts w:cs="Times New Roman"/>
              </w:rPr>
              <w:t>噪声限值。且施工噪声影响特点为短期性、暂时性，施工活动结束，施工噪声也就随之结束。</w:t>
            </w:r>
          </w:p>
          <w:p>
            <w:pPr>
              <w:pStyle w:val="46"/>
              <w:ind w:firstLine="480"/>
              <w:rPr>
                <w:rFonts w:cs="Times New Roman"/>
                <w:b/>
                <w:snapToGrid/>
                <w:szCs w:val="24"/>
                <w:highlight w:val="yellow"/>
              </w:rPr>
            </w:pPr>
            <w:r>
              <w:rPr>
                <w:rFonts w:hint="eastAsia" w:cs="Times New Roman"/>
              </w:rPr>
              <w:t>施工生产生活区位于光伏场地块3东侧7</w:t>
            </w:r>
            <w:r>
              <w:rPr>
                <w:rFonts w:cs="Times New Roman"/>
              </w:rPr>
              <w:t>00m左右，租用当地闲置民房，</w:t>
            </w:r>
            <w:r>
              <w:rPr>
                <w:rFonts w:hint="eastAsia" w:cs="Times New Roman"/>
              </w:rPr>
              <w:t>施工结束后，随着施工活动停止，施工噪声也随之消失。施工期间需与当地居民协商施工时段，避免噪声扰民。</w:t>
            </w:r>
          </w:p>
          <w:p>
            <w:pPr>
              <w:pStyle w:val="44"/>
              <w:spacing w:before="120"/>
              <w:rPr>
                <w:rFonts w:cs="Times New Roman"/>
                <w:color w:val="auto"/>
              </w:rPr>
            </w:pPr>
            <w:r>
              <w:rPr>
                <w:rFonts w:cs="Times New Roman"/>
                <w:color w:val="auto"/>
              </w:rPr>
              <w:t>4、固体废物影响分析</w:t>
            </w:r>
            <w:r>
              <w:rPr>
                <w:rFonts w:hint="eastAsia" w:cs="Times New Roman"/>
                <w:color w:val="auto"/>
              </w:rPr>
              <w:t xml:space="preserve"> </w:t>
            </w:r>
            <w:r>
              <w:rPr>
                <w:rFonts w:cs="Times New Roman"/>
                <w:color w:val="auto"/>
              </w:rPr>
              <w:t xml:space="preserve">   </w:t>
            </w:r>
          </w:p>
          <w:p>
            <w:pPr>
              <w:pStyle w:val="46"/>
              <w:ind w:firstLine="480"/>
            </w:pPr>
            <w:r>
              <w:t>施工期产生的固体废物主要是</w:t>
            </w:r>
            <w:r>
              <w:rPr>
                <w:rFonts w:hint="eastAsia"/>
              </w:rPr>
              <w:t>施工弃渣和</w:t>
            </w:r>
            <w:r>
              <w:t>生活垃圾。</w:t>
            </w:r>
          </w:p>
          <w:p>
            <w:pPr>
              <w:pStyle w:val="46"/>
              <w:ind w:firstLine="480"/>
            </w:pPr>
            <w:r>
              <w:rPr>
                <w:rFonts w:hint="eastAsia"/>
              </w:rPr>
              <w:t>项目施工垃圾主要为土石方工程及混凝土浇注中产生的废弃土石、建筑垃圾等，以及太阳能电子设备拆封时产生的废包装物；废钢筋、铁块等能回收的全部回收，不能回收的定期运至当地指定的场所处置。</w:t>
            </w:r>
          </w:p>
          <w:p>
            <w:pPr>
              <w:pStyle w:val="46"/>
              <w:ind w:firstLine="480"/>
            </w:pPr>
            <w:r>
              <w:rPr>
                <w:kern w:val="0"/>
              </w:rPr>
              <w:t>本工程平均施工人数100人，</w:t>
            </w:r>
            <w:r>
              <w:rPr>
                <w:rFonts w:hint="eastAsia"/>
                <w:kern w:val="0"/>
              </w:rPr>
              <w:t>按照人均生活垃圾产生量</w:t>
            </w:r>
            <w:r>
              <w:rPr>
                <w:kern w:val="0"/>
              </w:rPr>
              <w:t>0.5kg</w:t>
            </w:r>
            <w:r>
              <w:rPr>
                <w:rFonts w:hint="eastAsia"/>
                <w:kern w:val="0"/>
              </w:rPr>
              <w:t>/</w:t>
            </w:r>
            <w:r>
              <w:rPr>
                <w:kern w:val="0"/>
              </w:rPr>
              <w:t>d计，则施工期产生</w:t>
            </w:r>
            <w:r>
              <w:rPr>
                <w:rFonts w:hint="eastAsia"/>
                <w:kern w:val="0"/>
              </w:rPr>
              <w:t>的</w:t>
            </w:r>
            <w:r>
              <w:rPr>
                <w:kern w:val="0"/>
              </w:rPr>
              <w:t>生活垃圾总量为13.5t。</w:t>
            </w:r>
            <w:r>
              <w:t>生活垃圾容易产生污染，滋生蚊蝇，污染周围环境。建筑垃圾及施工期余土虽属一般固体废弃物，但长期堆放会因扬尘影响环境空气质量</w:t>
            </w:r>
            <w:r>
              <w:rPr>
                <w:rFonts w:hint="eastAsia"/>
              </w:rPr>
              <w:t>，应</w:t>
            </w:r>
            <w:r>
              <w:t>及时将建筑</w:t>
            </w:r>
            <w:r>
              <w:rPr>
                <w:rFonts w:hint="eastAsia"/>
              </w:rPr>
              <w:t>垃圾</w:t>
            </w:r>
            <w:r>
              <w:t>运至指定地点集中收集处理。施工余土</w:t>
            </w:r>
            <w:r>
              <w:rPr>
                <w:rFonts w:hint="eastAsia"/>
              </w:rPr>
              <w:t>全部</w:t>
            </w:r>
            <w:r>
              <w:t>用于</w:t>
            </w:r>
            <w:r>
              <w:rPr>
                <w:rFonts w:hint="eastAsia"/>
              </w:rPr>
              <w:t>场地平整，无弃方</w:t>
            </w:r>
            <w:r>
              <w:t>。</w:t>
            </w:r>
          </w:p>
          <w:p>
            <w:pPr>
              <w:pStyle w:val="46"/>
              <w:ind w:firstLine="480"/>
            </w:pPr>
            <w:r>
              <w:t>生态治理工程施工期间会产生废化肥、种子包装袋，草种、树枝等固体废物，均属一般固体废物，集中收集后运送至环卫部门指定地点。</w:t>
            </w:r>
          </w:p>
          <w:p>
            <w:pPr>
              <w:pStyle w:val="44"/>
              <w:spacing w:before="120"/>
              <w:rPr>
                <w:rFonts w:cs="Times New Roman"/>
                <w:color w:val="auto"/>
              </w:rPr>
            </w:pPr>
            <w:r>
              <w:rPr>
                <w:rFonts w:cs="Times New Roman"/>
                <w:color w:val="auto"/>
              </w:rPr>
              <w:t>5、生态环境影响分析</w:t>
            </w:r>
          </w:p>
          <w:p>
            <w:pPr>
              <w:pStyle w:val="24"/>
              <w:ind w:firstLine="480"/>
              <w:rPr>
                <w:b w:val="0"/>
              </w:rPr>
            </w:pPr>
            <w:r>
              <w:rPr>
                <w:rFonts w:hint="eastAsia"/>
                <w:b w:val="0"/>
              </w:rPr>
              <w:t>工程施工期车辆运输、行驶，光伏板现场组装场地，放置、堆放各施工机械和设备、施工材料，检修道路及施工用道路，均会对土地性质及周边植被造成一定程度的破坏。施工期生态影响主要体现在以下几个方面：</w:t>
            </w:r>
          </w:p>
          <w:p>
            <w:pPr>
              <w:pStyle w:val="24"/>
              <w:ind w:firstLine="482"/>
              <w:rPr>
                <w:rFonts w:cs="Times New Roman"/>
              </w:rPr>
            </w:pPr>
            <w:r>
              <w:rPr>
                <w:rFonts w:cs="Times New Roman"/>
              </w:rPr>
              <w:t>（1）水土流失</w:t>
            </w:r>
          </w:p>
          <w:p>
            <w:pPr>
              <w:pStyle w:val="46"/>
              <w:ind w:firstLine="480"/>
            </w:pPr>
            <w:r>
              <w:rPr>
                <w:rFonts w:hint="eastAsia"/>
              </w:rPr>
              <w:t>施工期间，项目基础开挖、场地平整、施工道路、临时堆土等施工活动，将扰动地表，破坏植被，导致地表裸露，土壤结构破坏，扰动后将形成新的地貌，如基坑、临时堆土等，地表植被完全消失，受风蚀及水蚀作用均较强烈，使场区内新增一定量的水土流失。</w:t>
            </w:r>
          </w:p>
          <w:p>
            <w:pPr>
              <w:pStyle w:val="24"/>
              <w:ind w:firstLine="482"/>
              <w:rPr>
                <w:rFonts w:cs="Times New Roman"/>
                <w:szCs w:val="24"/>
              </w:rPr>
            </w:pPr>
            <w:r>
              <w:rPr>
                <w:rFonts w:cs="Times New Roman"/>
              </w:rPr>
              <w:t>（2）</w:t>
            </w:r>
            <w:r>
              <w:rPr>
                <w:rFonts w:hint="eastAsia" w:cs="Times New Roman"/>
              </w:rPr>
              <w:t>工程占地影响</w:t>
            </w:r>
          </w:p>
          <w:p>
            <w:pPr>
              <w:pStyle w:val="46"/>
              <w:ind w:firstLine="480"/>
              <w:rPr>
                <w:szCs w:val="24"/>
              </w:rPr>
            </w:pPr>
            <w:r>
              <w:t>工程在建设中对土地使用分为永久占地和施工临时占地两部分。工</w:t>
            </w:r>
            <w:r>
              <w:rPr>
                <w:rFonts w:hint="eastAsia"/>
              </w:rPr>
              <w:t>程</w:t>
            </w:r>
            <w:r>
              <w:t>永久占地</w:t>
            </w:r>
            <w:r>
              <w:rPr>
                <w:rFonts w:hint="eastAsia"/>
              </w:rPr>
              <w:t>为升压站与</w:t>
            </w:r>
            <w:r>
              <w:t>箱变基础占地；施工临时占地包括</w:t>
            </w:r>
            <w:r>
              <w:rPr>
                <w:rFonts w:hint="eastAsia"/>
              </w:rPr>
              <w:t>光伏组件</w:t>
            </w:r>
            <w:r>
              <w:t>占地、</w:t>
            </w:r>
            <w:r>
              <w:rPr>
                <w:rFonts w:hint="eastAsia"/>
              </w:rPr>
              <w:t>材料加工及储存区占地、施工生活区占地</w:t>
            </w:r>
            <w:r>
              <w:t>等。永久或临时占地改变土地原有利用格局、土地功能，使原有生态系统功能降低。</w:t>
            </w:r>
            <w:r>
              <w:rPr>
                <w:szCs w:val="24"/>
              </w:rPr>
              <w:t>工程临时占地使原有地表植被发生破坏，施工结束后，采取植被恢复措施后，临时占地可恢复原有土地利用功能。因此，本项目施工期对土地利用功能影响不大。</w:t>
            </w:r>
          </w:p>
          <w:p>
            <w:pPr>
              <w:pStyle w:val="24"/>
              <w:ind w:firstLine="482"/>
              <w:rPr>
                <w:rFonts w:cs="Times New Roman"/>
                <w:szCs w:val="24"/>
              </w:rPr>
            </w:pPr>
            <w:r>
              <w:rPr>
                <w:rFonts w:cs="Times New Roman"/>
              </w:rPr>
              <w:t>（3）植被破坏</w:t>
            </w:r>
          </w:p>
          <w:p>
            <w:pPr>
              <w:pStyle w:val="46"/>
              <w:ind w:firstLine="480"/>
              <w:rPr>
                <w:rFonts w:cs="Times New Roman"/>
              </w:rPr>
            </w:pPr>
            <w:r>
              <w:rPr>
                <w:rFonts w:cs="Times New Roman"/>
                <w:bCs/>
              </w:rPr>
              <w:t>本工程临时占地和永久占地区域范围内植物均为当地常见种类。永久占地会使土地失去原有的生物生产功能和生态功能，土壤结构及植被遭到破坏，工程建设过程中会对</w:t>
            </w:r>
            <w:r>
              <w:rPr>
                <w:rFonts w:hint="eastAsia" w:cs="Times New Roman"/>
                <w:bCs/>
              </w:rPr>
              <w:t>植被</w:t>
            </w:r>
            <w:r>
              <w:rPr>
                <w:rFonts w:cs="Times New Roman"/>
                <w:bCs/>
              </w:rPr>
              <w:t>产生一定的破坏，但永久占地面积相对整个区域面积较小，不会造成评价区域植物类型减少。</w:t>
            </w:r>
          </w:p>
          <w:p>
            <w:pPr>
              <w:pStyle w:val="24"/>
              <w:ind w:firstLine="482"/>
              <w:rPr>
                <w:rFonts w:cs="Times New Roman"/>
              </w:rPr>
            </w:pPr>
            <w:r>
              <w:rPr>
                <w:rFonts w:cs="Times New Roman"/>
              </w:rPr>
              <w:t>（4）对野生动物的影响</w:t>
            </w:r>
          </w:p>
          <w:p>
            <w:pPr>
              <w:pStyle w:val="46"/>
              <w:ind w:firstLine="480"/>
            </w:pPr>
            <w:r>
              <w:rPr>
                <w:rFonts w:hint="eastAsia"/>
              </w:rPr>
              <w:t>项目区内无大型野生动物, 也无国家重点保护或珍稀濒危的野生动物，主要为鼠类、鸟类等常见的小型动物。施工期将会破坏该区域动物的生境，迫使动物迁徒至它处，这对动物的繁殖、栖息和觅食等产生干扰影响；工程占地使工程区内的动物的活动范围有所缩小，动物的种类和数量也有所减少。施工期会对鸟类产生一定的影响，人为活动的增加及基础的开挖、机械振动及噪声等均会惊吓、干扰鸟类，破坏其原有生活环境，使场址范围内的鸟类无法在此觅食、筑巢和繁殖，从而影响施工区内的鸟群数量。</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113" w:type="dxa"/>
            <w:left w:w="108" w:type="dxa"/>
            <w:bottom w:w="113" w:type="dxa"/>
            <w:right w:w="108" w:type="dxa"/>
          </w:tblCellMar>
        </w:tblPrEx>
        <w:trPr>
          <w:jc w:val="center"/>
        </w:trPr>
        <w:tc>
          <w:tcPr>
            <w:tcW w:w="688"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Cs w:val="21"/>
              </w:rPr>
              <w:t>运营期生态环境影响分析</w:t>
            </w:r>
          </w:p>
        </w:tc>
        <w:tc>
          <w:tcPr>
            <w:tcW w:w="8091" w:type="dxa"/>
          </w:tcPr>
          <w:p>
            <w:pPr>
              <w:pStyle w:val="44"/>
              <w:spacing w:before="120"/>
              <w:rPr>
                <w:rFonts w:cs="Times New Roman"/>
                <w:color w:val="auto"/>
              </w:rPr>
            </w:pPr>
            <w:r>
              <w:rPr>
                <w:rFonts w:cs="Times New Roman"/>
                <w:color w:val="auto"/>
              </w:rPr>
              <w:t>1水环境影响分析</w:t>
            </w:r>
          </w:p>
          <w:p>
            <w:pPr>
              <w:pStyle w:val="46"/>
              <w:ind w:firstLine="480"/>
              <w:rPr>
                <w:rFonts w:ascii="Calibri" w:hAnsi="Calibri" w:cs="Calibri"/>
              </w:rPr>
            </w:pPr>
            <w:r>
              <w:rPr>
                <w:rFonts w:cs="Times New Roman"/>
              </w:rPr>
              <w:t>光伏场运行期</w:t>
            </w:r>
            <w:r>
              <w:rPr>
                <w:rFonts w:hint="eastAsia" w:cs="Times New Roman"/>
              </w:rPr>
              <w:t>废水主要为光伏板冲洗废水和生活污水。</w:t>
            </w:r>
            <w:r>
              <w:rPr>
                <w:rFonts w:ascii="Calibri" w:hAnsi="Calibri" w:cs="Calibri"/>
              </w:rPr>
              <w:t>太阳能光伏板冲洗周期为</w:t>
            </w:r>
            <w:r>
              <w:rPr>
                <w:rFonts w:cs="Times New Roman"/>
              </w:rPr>
              <w:t>20</w:t>
            </w:r>
            <w:r>
              <w:rPr>
                <w:rFonts w:ascii="Calibri" w:hAnsi="Calibri" w:cs="Calibri"/>
              </w:rPr>
              <w:t>天，主要集中在夏季及春秋季，采用冲洗水车进行冲洗，同时光伏板冲洗为局部间断性冲洗</w:t>
            </w:r>
            <w:r>
              <w:rPr>
                <w:rFonts w:cs="Times New Roman"/>
              </w:rPr>
              <w:t>。</w:t>
            </w:r>
            <w:r>
              <w:rPr>
                <w:rFonts w:hint="eastAsia" w:cs="Times New Roman"/>
              </w:rPr>
              <w:t>其排水中污染物为悬浮物，</w:t>
            </w:r>
            <w:r>
              <w:rPr>
                <w:rFonts w:ascii="Calibri" w:hAnsi="Calibri" w:cs="Calibri"/>
              </w:rPr>
              <w:t>无有害物质，</w:t>
            </w:r>
            <w:r>
              <w:rPr>
                <w:rFonts w:hint="eastAsia" w:ascii="Calibri" w:hAnsi="Calibri" w:cs="Calibri"/>
              </w:rPr>
              <w:t>因此</w:t>
            </w:r>
            <w:r>
              <w:rPr>
                <w:rFonts w:hint="eastAsia" w:cs="Times New Roman"/>
              </w:rPr>
              <w:t>直接排至光伏板下地面浇灌植被</w:t>
            </w:r>
            <w:r>
              <w:rPr>
                <w:rFonts w:ascii="Calibri" w:hAnsi="Calibri" w:cs="Calibri"/>
              </w:rPr>
              <w:t>，不进行收集。</w:t>
            </w:r>
          </w:p>
          <w:p>
            <w:pPr>
              <w:pStyle w:val="46"/>
              <w:ind w:firstLine="480"/>
              <w:rPr>
                <w:rFonts w:cs="Times New Roman"/>
              </w:rPr>
            </w:pPr>
            <w:r>
              <w:rPr>
                <w:rFonts w:cs="Times New Roman"/>
              </w:rPr>
              <w:t>升压站</w:t>
            </w:r>
            <w:r>
              <w:rPr>
                <w:rFonts w:hint="eastAsia" w:cs="Times New Roman"/>
              </w:rPr>
              <w:t>建成后人员配备按9人计，用水定额按《建筑给水排水设计标准》（</w:t>
            </w:r>
            <w:r>
              <w:rPr>
                <w:rFonts w:cs="Times New Roman"/>
              </w:rPr>
              <w:t>GB50015-2019</w:t>
            </w:r>
            <w:r>
              <w:rPr>
                <w:rFonts w:hint="eastAsia" w:cs="Times New Roman"/>
              </w:rPr>
              <w:t xml:space="preserve"> ）中的定额80L/d 计（含食堂用水），生活用水量为 0.72m</w:t>
            </w:r>
            <w:r>
              <w:rPr>
                <w:rFonts w:cs="Times New Roman"/>
              </w:rPr>
              <w:t>³</w:t>
            </w:r>
            <w:r>
              <w:rPr>
                <w:rFonts w:hint="eastAsia" w:cs="Times New Roman"/>
              </w:rPr>
              <w:t>/d（262.8m³/a），本工程生活污水排放量约 210.4m³/a。生活污水主要污染物为COD、BOD</w:t>
            </w:r>
            <w:r>
              <w:rPr>
                <w:rFonts w:hint="eastAsia" w:cs="Times New Roman"/>
                <w:vertAlign w:val="subscript"/>
              </w:rPr>
              <w:t>5</w:t>
            </w:r>
            <w:r>
              <w:rPr>
                <w:rFonts w:hint="eastAsia" w:cs="Times New Roman"/>
              </w:rPr>
              <w:t>和SS。</w:t>
            </w:r>
            <w:r>
              <w:rPr>
                <w:rFonts w:cs="Times New Roman"/>
              </w:rPr>
              <w:t>生活污水经一体化处理设施处理后，</w:t>
            </w:r>
            <w:r>
              <w:rPr>
                <w:rFonts w:hint="eastAsia" w:cs="Times New Roman"/>
              </w:rPr>
              <w:t>用于站区绿化、抑尘，不外排</w:t>
            </w:r>
            <w:r>
              <w:rPr>
                <w:rFonts w:cs="Times New Roman"/>
              </w:rPr>
              <w:t>。</w:t>
            </w:r>
            <w:r>
              <w:rPr>
                <w:rFonts w:hint="eastAsia" w:cs="Times New Roman"/>
              </w:rPr>
              <w:t>冬季由环卫部门清掏运送至当地污水处理厂，不外排，本工程生活污水产生量为0.72m³/d，集水井容积为100m³，集水井能够贮存冬季4个月的水量。</w:t>
            </w:r>
          </w:p>
          <w:p>
            <w:pPr>
              <w:pStyle w:val="44"/>
              <w:spacing w:before="120"/>
              <w:rPr>
                <w:rFonts w:cs="Times New Roman"/>
                <w:color w:val="auto"/>
              </w:rPr>
            </w:pPr>
            <w:r>
              <w:rPr>
                <w:rFonts w:cs="Times New Roman"/>
                <w:color w:val="auto"/>
              </w:rPr>
              <w:t>2大气环境影响分析</w:t>
            </w:r>
          </w:p>
          <w:p>
            <w:pPr>
              <w:pStyle w:val="46"/>
              <w:ind w:firstLine="480"/>
              <w:rPr>
                <w:rFonts w:cs="Times New Roman"/>
                <w:bCs/>
                <w:szCs w:val="21"/>
              </w:rPr>
            </w:pPr>
            <w:r>
              <w:rPr>
                <w:rFonts w:cs="Times New Roman"/>
              </w:rPr>
              <w:t>光伏场运行期不产生大气污染物，不会对大气环境造成不利影响。</w:t>
            </w:r>
          </w:p>
          <w:p>
            <w:pPr>
              <w:pStyle w:val="46"/>
              <w:ind w:firstLine="480"/>
              <w:rPr>
                <w:rFonts w:cs="Times New Roman"/>
              </w:rPr>
            </w:pPr>
            <w:r>
              <w:rPr>
                <w:rFonts w:cs="Times New Roman"/>
              </w:rPr>
              <w:t>升压站采用电热设施取暖，运行期不产生大气污染物，不会对大气环境造成不利影响。</w:t>
            </w:r>
          </w:p>
          <w:p>
            <w:pPr>
              <w:pStyle w:val="46"/>
              <w:ind w:firstLine="480"/>
              <w:rPr>
                <w:rFonts w:cs="Times New Roman"/>
              </w:rPr>
            </w:pPr>
            <w:r>
              <w:rPr>
                <w:rFonts w:hint="eastAsia" w:cs="Times New Roman"/>
              </w:rPr>
              <w:t>本期工程</w:t>
            </w:r>
            <w:r>
              <w:rPr>
                <w:rFonts w:cs="Times New Roman"/>
              </w:rPr>
              <w:t>1</w:t>
            </w:r>
            <w:r>
              <w:rPr>
                <w:rFonts w:hint="eastAsia" w:cs="Times New Roman"/>
              </w:rPr>
              <w:t>50MW光伏组件年发电量为1750245.21MWh；按火电厂每kW.h电量消耗30</w:t>
            </w:r>
            <w:r>
              <w:rPr>
                <w:rFonts w:cs="Times New Roman"/>
              </w:rPr>
              <w:t>1.5</w:t>
            </w:r>
            <w:r>
              <w:rPr>
                <w:rFonts w:hint="eastAsia" w:cs="Times New Roman"/>
              </w:rPr>
              <w:t>g标准煤计算，光伏组件年节约标准煤约</w:t>
            </w:r>
            <w:r>
              <w:rPr>
                <w:rFonts w:cs="Times New Roman"/>
              </w:rPr>
              <w:t>90061.07</w:t>
            </w:r>
            <w:r>
              <w:rPr>
                <w:rFonts w:hint="eastAsia" w:cs="Times New Roman"/>
              </w:rPr>
              <w:t>t。太阳能的开发利用，可减少因开发一次能源所造成的诸多环境问题。相对于同一地区同等年发电量的火电机组实现达标排放情况下（满足《火电厂大气污染物排放标准》（GB13223-2011）中烟尘30mg/m³、二氧化硫：100mg/m³、氮氧化物 ：100mg/m³），按当地燃煤煤质成分Sar：1.34 %、Car：52.67 %、Aar：28.09 %计算，可减排烟尘约</w:t>
            </w:r>
            <w:r>
              <w:rPr>
                <w:rFonts w:cs="Times New Roman"/>
              </w:rPr>
              <w:t>28.0</w:t>
            </w:r>
            <w:r>
              <w:rPr>
                <w:rFonts w:hint="eastAsia" w:cs="Times New Roman"/>
              </w:rPr>
              <w:t xml:space="preserve"> t/a、SO</w:t>
            </w:r>
            <w:r>
              <w:rPr>
                <w:rFonts w:hint="eastAsia" w:cs="Times New Roman"/>
                <w:vertAlign w:val="subscript"/>
              </w:rPr>
              <w:t>2</w:t>
            </w:r>
            <w:r>
              <w:rPr>
                <w:rFonts w:hint="eastAsia" w:cs="Times New Roman"/>
              </w:rPr>
              <w:t>约</w:t>
            </w:r>
            <w:r>
              <w:rPr>
                <w:rFonts w:cs="Times New Roman"/>
              </w:rPr>
              <w:t>93.3</w:t>
            </w:r>
            <w:r>
              <w:rPr>
                <w:rFonts w:hint="eastAsia" w:cs="Times New Roman"/>
              </w:rPr>
              <w:t>t/a、NOx约</w:t>
            </w:r>
            <w:r>
              <w:rPr>
                <w:rFonts w:cs="Times New Roman"/>
              </w:rPr>
              <w:t>93.3</w:t>
            </w:r>
            <w:r>
              <w:rPr>
                <w:rFonts w:hint="eastAsia" w:cs="Times New Roman"/>
              </w:rPr>
              <w:t>t/a、CO</w:t>
            </w:r>
            <w:r>
              <w:rPr>
                <w:rFonts w:hint="eastAsia" w:cs="Times New Roman"/>
                <w:vertAlign w:val="subscript"/>
              </w:rPr>
              <w:t>2</w:t>
            </w:r>
            <w:r>
              <w:rPr>
                <w:rFonts w:hint="eastAsia" w:cs="Times New Roman"/>
              </w:rPr>
              <w:t>约</w:t>
            </w:r>
            <w:r>
              <w:rPr>
                <w:rFonts w:cs="Times New Roman"/>
              </w:rPr>
              <w:t>25.2</w:t>
            </w:r>
            <w:r>
              <w:rPr>
                <w:rFonts w:hint="eastAsia" w:cs="Times New Roman"/>
              </w:rPr>
              <w:t>万t/a，环境效益显著。</w:t>
            </w:r>
          </w:p>
          <w:p>
            <w:pPr>
              <w:pStyle w:val="44"/>
              <w:spacing w:before="120"/>
              <w:rPr>
                <w:rFonts w:cs="Times New Roman"/>
                <w:color w:val="auto"/>
              </w:rPr>
            </w:pPr>
            <w:r>
              <w:rPr>
                <w:rFonts w:cs="Times New Roman"/>
                <w:color w:val="auto"/>
              </w:rPr>
              <w:t>3、声环境影响分析</w:t>
            </w:r>
          </w:p>
          <w:p>
            <w:pPr>
              <w:pStyle w:val="46"/>
              <w:ind w:firstLine="480"/>
              <w:rPr>
                <w:rFonts w:cs="Times New Roman"/>
              </w:rPr>
            </w:pPr>
            <w:r>
              <w:rPr>
                <w:rFonts w:cs="Times New Roman"/>
              </w:rPr>
              <w:t>（1）</w:t>
            </w:r>
            <w:r>
              <w:rPr>
                <w:rFonts w:hint="eastAsia" w:cs="Times New Roman"/>
              </w:rPr>
              <w:t>箱逆变一体化设备</w:t>
            </w:r>
          </w:p>
          <w:p>
            <w:pPr>
              <w:pStyle w:val="46"/>
              <w:ind w:firstLine="480"/>
              <w:rPr>
                <w:rFonts w:cs="Times New Roman"/>
              </w:rPr>
            </w:pPr>
            <w:r>
              <w:rPr>
                <w:rFonts w:hint="eastAsia" w:cs="Times New Roman"/>
              </w:rPr>
              <w:t>本项目在生产运营过程中，噪声主要来源于电气设备运行时产生的噪声，如箱逆变一体化设备噪声，一般在</w:t>
            </w:r>
            <w:r>
              <w:rPr>
                <w:rFonts w:cs="Times New Roman"/>
              </w:rPr>
              <w:t>65~</w:t>
            </w:r>
            <w:r>
              <w:rPr>
                <w:rFonts w:hint="eastAsia" w:cs="Times New Roman"/>
              </w:rPr>
              <w:t>70dB（A）左右，项目电气设备布置在箱体内。噪声预测计算公式如下：</w:t>
            </w:r>
            <w:r>
              <w:rPr>
                <w:rFonts w:cs="Times New Roman"/>
              </w:rPr>
              <w:t xml:space="preserve"> </w:t>
            </w:r>
          </w:p>
          <w:p>
            <w:pPr>
              <w:autoSpaceDE w:val="0"/>
              <w:autoSpaceDN w:val="0"/>
              <w:ind w:firstLine="422" w:firstLineChars="200"/>
              <w:jc w:val="center"/>
              <w:rPr>
                <w:b/>
                <w:kern w:val="0"/>
                <w:szCs w:val="21"/>
              </w:rPr>
            </w:pPr>
            <w:r>
              <w:rPr>
                <w:b/>
              </w:rPr>
              <w:drawing>
                <wp:inline distT="0" distB="0" distL="0" distR="0">
                  <wp:extent cx="990600" cy="419100"/>
                  <wp:effectExtent l="0" t="0" r="0" b="0"/>
                  <wp:docPr id="57" name="图片 57" descr="C:\Users\SYUTIN~1.NMD\AppData\Local\Temp\ksohtml337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SYUTIN~1.NMD\AppData\Local\Temp\ksohtml33768\wps1.png"/>
                          <pic:cNvPicPr>
                            <a:picLocks noChangeAspect="1" noChangeArrowheads="1"/>
                          </pic:cNvPicPr>
                        </pic:nvPicPr>
                        <pic:blipFill>
                          <a:blip r:embed="rId25"/>
                          <a:srcRect/>
                          <a:stretch>
                            <a:fillRect/>
                          </a:stretch>
                        </pic:blipFill>
                        <pic:spPr>
                          <a:xfrm>
                            <a:off x="0" y="0"/>
                            <a:ext cx="990600" cy="419100"/>
                          </a:xfrm>
                          <a:prstGeom prst="rect">
                            <a:avLst/>
                          </a:prstGeom>
                          <a:noFill/>
                          <a:ln>
                            <a:noFill/>
                          </a:ln>
                        </pic:spPr>
                      </pic:pic>
                    </a:graphicData>
                  </a:graphic>
                </wp:inline>
              </w:drawing>
            </w:r>
          </w:p>
          <w:p>
            <w:pPr>
              <w:spacing w:line="360" w:lineRule="auto"/>
              <w:ind w:firstLine="480" w:firstLineChars="200"/>
              <w:rPr>
                <w:sz w:val="24"/>
              </w:rPr>
            </w:pPr>
            <w:r>
              <w:rPr>
                <w:rFonts w:hint="eastAsia" w:ascii="宋体" w:hAnsi="宋体"/>
                <w:sz w:val="24"/>
              </w:rPr>
              <w:t>式中：</w:t>
            </w:r>
            <w:r>
              <w:rPr>
                <w:rFonts w:hint="eastAsia"/>
                <w:sz w:val="24"/>
              </w:rPr>
              <w:t>L1</w:t>
            </w:r>
            <w:r>
              <w:rPr>
                <w:rFonts w:hint="eastAsia" w:ascii="宋体" w:hAnsi="宋体"/>
                <w:sz w:val="24"/>
              </w:rPr>
              <w:t>、</w:t>
            </w:r>
            <w:r>
              <w:rPr>
                <w:rFonts w:hint="eastAsia"/>
                <w:sz w:val="24"/>
              </w:rPr>
              <w:t>L2-</w:t>
            </w:r>
            <w:r>
              <w:rPr>
                <w:rFonts w:hint="eastAsia" w:ascii="宋体" w:hAnsi="宋体"/>
                <w:sz w:val="24"/>
              </w:rPr>
              <w:t>为与声源相距</w:t>
            </w:r>
            <w:r>
              <w:rPr>
                <w:rFonts w:hint="eastAsia"/>
                <w:sz w:val="24"/>
              </w:rPr>
              <w:t>r</w:t>
            </w:r>
            <w:r>
              <w:rPr>
                <w:rFonts w:hint="eastAsia"/>
                <w:sz w:val="24"/>
                <w:vertAlign w:val="subscript"/>
              </w:rPr>
              <w:t>1</w:t>
            </w:r>
            <w:r>
              <w:rPr>
                <w:rFonts w:hint="eastAsia" w:ascii="宋体" w:hAnsi="宋体"/>
                <w:sz w:val="24"/>
              </w:rPr>
              <w:t>、</w:t>
            </w:r>
            <w:r>
              <w:rPr>
                <w:rFonts w:hint="eastAsia"/>
                <w:sz w:val="24"/>
              </w:rPr>
              <w:t>r</w:t>
            </w:r>
            <w:r>
              <w:rPr>
                <w:rFonts w:hint="eastAsia"/>
                <w:sz w:val="24"/>
                <w:vertAlign w:val="subscript"/>
              </w:rPr>
              <w:t>2</w:t>
            </w:r>
            <w:r>
              <w:rPr>
                <w:rFonts w:hint="eastAsia" w:ascii="宋体" w:hAnsi="宋体"/>
                <w:sz w:val="24"/>
              </w:rPr>
              <w:t>处的噪声级，</w:t>
            </w:r>
            <w:r>
              <w:rPr>
                <w:rFonts w:hint="eastAsia"/>
                <w:sz w:val="24"/>
              </w:rPr>
              <w:t>dB(A)</w:t>
            </w:r>
            <w:r>
              <w:rPr>
                <w:rFonts w:hint="eastAsia" w:ascii="宋体" w:hAnsi="宋体"/>
                <w:sz w:val="24"/>
              </w:rPr>
              <w:t>。</w:t>
            </w:r>
          </w:p>
          <w:p>
            <w:pPr>
              <w:spacing w:line="360" w:lineRule="auto"/>
              <w:ind w:firstLine="480" w:firstLineChars="200"/>
              <w:rPr>
                <w:sz w:val="24"/>
              </w:rPr>
            </w:pPr>
            <w:r>
              <w:rPr>
                <w:rFonts w:hint="eastAsia" w:ascii="宋体" w:hAnsi="宋体"/>
                <w:sz w:val="24"/>
              </w:rPr>
              <w:t>根据点声源预测模式，噪声源强按最大值</w:t>
            </w:r>
            <w:r>
              <w:rPr>
                <w:rFonts w:hint="eastAsia"/>
                <w:sz w:val="24"/>
              </w:rPr>
              <w:t>70dB(A)</w:t>
            </w:r>
            <w:r>
              <w:rPr>
                <w:rFonts w:hint="eastAsia" w:ascii="宋体" w:hAnsi="宋体"/>
                <w:sz w:val="24"/>
              </w:rPr>
              <w:t>计算，预测厂界噪声随距离衰减的情况见表</w:t>
            </w:r>
            <w:r>
              <w:rPr>
                <w:sz w:val="24"/>
              </w:rPr>
              <w:t>4.2</w:t>
            </w:r>
            <w:r>
              <w:rPr>
                <w:rFonts w:hint="eastAsia" w:ascii="宋体" w:hAnsi="宋体"/>
                <w:sz w:val="24"/>
              </w:rPr>
              <w:t>。</w:t>
            </w:r>
          </w:p>
          <w:p>
            <w:pPr>
              <w:pStyle w:val="22"/>
              <w:spacing w:before="240" w:after="120"/>
            </w:pPr>
            <w:r>
              <w:rPr>
                <w:rFonts w:hint="eastAsia"/>
              </w:rPr>
              <w:t>表</w:t>
            </w:r>
            <w:r>
              <w:t>4.2</w:t>
            </w:r>
            <w:r>
              <w:rPr>
                <w:rFonts w:hint="eastAsia"/>
              </w:rPr>
              <w:t xml:space="preserve">                       本项目设备噪声预测表</w:t>
            </w:r>
          </w:p>
          <w:tbl>
            <w:tblPr>
              <w:tblStyle w:val="16"/>
              <w:tblW w:w="78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2013"/>
              <w:gridCol w:w="1842"/>
              <w:gridCol w:w="1703"/>
              <w:gridCol w:w="1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273"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ascii="宋体" w:hAnsi="宋体" w:eastAsia="宋体"/>
                      <w:b w:val="0"/>
                      <w:sz w:val="21"/>
                      <w:szCs w:val="21"/>
                    </w:rPr>
                    <w:t>序号</w:t>
                  </w:r>
                </w:p>
              </w:tc>
              <w:tc>
                <w:tcPr>
                  <w:tcW w:w="1286"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ascii="宋体" w:hAnsi="宋体" w:eastAsia="宋体"/>
                      <w:b w:val="0"/>
                      <w:sz w:val="21"/>
                      <w:szCs w:val="21"/>
                    </w:rPr>
                    <w:t>噪声源</w:t>
                  </w:r>
                </w:p>
              </w:tc>
              <w:tc>
                <w:tcPr>
                  <w:tcW w:w="1177"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ascii="宋体" w:hAnsi="宋体" w:eastAsia="宋体"/>
                      <w:b w:val="0"/>
                      <w:sz w:val="21"/>
                      <w:szCs w:val="21"/>
                    </w:rPr>
                    <w:t>源强值</w:t>
                  </w:r>
                  <w:r>
                    <w:rPr>
                      <w:rFonts w:eastAsia="宋体"/>
                      <w:b w:val="0"/>
                      <w:sz w:val="21"/>
                      <w:szCs w:val="21"/>
                    </w:rPr>
                    <w:t>dB</w:t>
                  </w:r>
                  <w:r>
                    <w:rPr>
                      <w:rFonts w:ascii="宋体" w:hAnsi="宋体" w:eastAsia="宋体"/>
                      <w:b w:val="0"/>
                      <w:sz w:val="21"/>
                      <w:szCs w:val="21"/>
                    </w:rPr>
                    <w:t>（</w:t>
                  </w:r>
                  <w:r>
                    <w:rPr>
                      <w:rFonts w:eastAsia="宋体"/>
                      <w:b w:val="0"/>
                      <w:sz w:val="21"/>
                      <w:szCs w:val="21"/>
                    </w:rPr>
                    <w:t>A</w:t>
                  </w:r>
                  <w:r>
                    <w:rPr>
                      <w:rFonts w:ascii="宋体" w:hAnsi="宋体" w:eastAsia="宋体"/>
                      <w:b w:val="0"/>
                      <w:sz w:val="21"/>
                      <w:szCs w:val="21"/>
                    </w:rPr>
                    <w:t>）</w:t>
                  </w:r>
                </w:p>
              </w:tc>
              <w:tc>
                <w:tcPr>
                  <w:tcW w:w="1088"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ascii="宋体" w:hAnsi="宋体" w:eastAsia="宋体"/>
                      <w:b w:val="0"/>
                      <w:sz w:val="21"/>
                      <w:szCs w:val="21"/>
                    </w:rPr>
                    <w:t>距厂界最近距离</w:t>
                  </w:r>
                </w:p>
              </w:tc>
              <w:tc>
                <w:tcPr>
                  <w:tcW w:w="1176"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ascii="宋体" w:hAnsi="宋体" w:eastAsia="宋体"/>
                      <w:b w:val="0"/>
                      <w:sz w:val="21"/>
                      <w:szCs w:val="21"/>
                    </w:rPr>
                    <w:t>厂界预测值</w:t>
                  </w:r>
                  <w:r>
                    <w:rPr>
                      <w:rFonts w:eastAsia="宋体"/>
                      <w:b w:val="0"/>
                      <w:sz w:val="21"/>
                      <w:szCs w:val="21"/>
                    </w:rPr>
                    <w:t>dB</w:t>
                  </w:r>
                  <w:r>
                    <w:rPr>
                      <w:rFonts w:ascii="宋体" w:hAnsi="宋体" w:eastAsia="宋体"/>
                      <w:b w:val="0"/>
                      <w:sz w:val="21"/>
                      <w:szCs w:val="21"/>
                    </w:rPr>
                    <w:t>（</w:t>
                  </w:r>
                  <w:r>
                    <w:rPr>
                      <w:rFonts w:eastAsia="宋体"/>
                      <w:b w:val="0"/>
                      <w:sz w:val="21"/>
                      <w:szCs w:val="21"/>
                    </w:rPr>
                    <w:t>A</w:t>
                  </w:r>
                  <w:r>
                    <w:rPr>
                      <w:rFonts w:ascii="宋体" w:hAnsi="宋体" w:eastAsia="宋体"/>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73" w:type="pct"/>
                  <w:tcBorders>
                    <w:top w:val="single" w:color="auto" w:sz="6" w:space="0"/>
                    <w:bottom w:val="single" w:color="auto" w:sz="12"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1</w:t>
                  </w:r>
                </w:p>
              </w:tc>
              <w:tc>
                <w:tcPr>
                  <w:tcW w:w="1286" w:type="pct"/>
                  <w:tcBorders>
                    <w:top w:val="single" w:color="auto" w:sz="6" w:space="0"/>
                    <w:bottom w:val="single" w:color="auto" w:sz="12" w:space="0"/>
                  </w:tcBorders>
                  <w:vAlign w:val="center"/>
                </w:tcPr>
                <w:p>
                  <w:pPr>
                    <w:pStyle w:val="59"/>
                    <w:widowControl w:val="0"/>
                    <w:adjustRightInd w:val="0"/>
                    <w:snapToGrid w:val="0"/>
                    <w:spacing w:line="240" w:lineRule="atLeast"/>
                    <w:rPr>
                      <w:rFonts w:eastAsia="宋体"/>
                      <w:b w:val="0"/>
                      <w:sz w:val="21"/>
                      <w:szCs w:val="21"/>
                    </w:rPr>
                  </w:pPr>
                  <w:r>
                    <w:rPr>
                      <w:rFonts w:hint="eastAsia" w:ascii="宋体" w:hAnsi="宋体" w:eastAsia="宋体"/>
                      <w:b w:val="0"/>
                      <w:sz w:val="21"/>
                      <w:szCs w:val="21"/>
                    </w:rPr>
                    <w:t>箱逆变一体化设备</w:t>
                  </w:r>
                </w:p>
              </w:tc>
              <w:tc>
                <w:tcPr>
                  <w:tcW w:w="1177" w:type="pct"/>
                  <w:tcBorders>
                    <w:top w:val="single" w:color="auto" w:sz="6" w:space="0"/>
                    <w:bottom w:val="single" w:color="auto" w:sz="12"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70</w:t>
                  </w:r>
                </w:p>
              </w:tc>
              <w:tc>
                <w:tcPr>
                  <w:tcW w:w="1088" w:type="pct"/>
                  <w:tcBorders>
                    <w:top w:val="single" w:color="auto" w:sz="6" w:space="0"/>
                    <w:bottom w:val="single" w:color="auto" w:sz="12" w:space="0"/>
                  </w:tcBorders>
                  <w:vAlign w:val="center"/>
                </w:tcPr>
                <w:p>
                  <w:pPr>
                    <w:pStyle w:val="59"/>
                    <w:widowControl w:val="0"/>
                    <w:adjustRightInd w:val="0"/>
                    <w:snapToGrid w:val="0"/>
                    <w:spacing w:line="240" w:lineRule="atLeast"/>
                    <w:rPr>
                      <w:rFonts w:eastAsia="宋体"/>
                      <w:b w:val="0"/>
                      <w:sz w:val="21"/>
                      <w:szCs w:val="21"/>
                    </w:rPr>
                  </w:pPr>
                  <w:r>
                    <w:rPr>
                      <w:rFonts w:hint="eastAsia" w:eastAsia="宋体"/>
                      <w:b w:val="0"/>
                      <w:sz w:val="21"/>
                      <w:szCs w:val="21"/>
                    </w:rPr>
                    <w:t>12</w:t>
                  </w:r>
                  <w:r>
                    <w:rPr>
                      <w:rFonts w:eastAsia="宋体"/>
                      <w:b w:val="0"/>
                      <w:sz w:val="21"/>
                      <w:szCs w:val="21"/>
                    </w:rPr>
                    <w:t>m</w:t>
                  </w:r>
                </w:p>
              </w:tc>
              <w:tc>
                <w:tcPr>
                  <w:tcW w:w="1176" w:type="pct"/>
                  <w:tcBorders>
                    <w:top w:val="single" w:color="auto" w:sz="6" w:space="0"/>
                    <w:bottom w:val="single" w:color="auto" w:sz="12"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48.42</w:t>
                  </w:r>
                </w:p>
              </w:tc>
            </w:tr>
          </w:tbl>
          <w:p>
            <w:pPr>
              <w:rPr>
                <w:rFonts w:ascii="仿宋" w:hAnsi="仿宋" w:eastAsia="仿宋"/>
                <w:kern w:val="0"/>
                <w:szCs w:val="21"/>
              </w:rPr>
            </w:pPr>
          </w:p>
          <w:p>
            <w:pPr>
              <w:spacing w:line="360" w:lineRule="auto"/>
              <w:ind w:firstLine="480" w:firstLineChars="200"/>
              <w:rPr>
                <w:rFonts w:ascii="宋体" w:hAnsi="宋体"/>
                <w:sz w:val="24"/>
              </w:rPr>
            </w:pPr>
            <w:r>
              <w:rPr>
                <w:rFonts w:hint="eastAsia" w:ascii="宋体" w:hAnsi="宋体"/>
                <w:sz w:val="24"/>
              </w:rPr>
              <w:t>由表</w:t>
            </w:r>
            <w:r>
              <w:rPr>
                <w:sz w:val="24"/>
              </w:rPr>
              <w:t>4.3</w:t>
            </w:r>
            <w:r>
              <w:rPr>
                <w:rFonts w:hint="eastAsia"/>
                <w:sz w:val="24"/>
              </w:rPr>
              <w:t>可知，</w:t>
            </w:r>
            <w:r>
              <w:rPr>
                <w:rFonts w:hint="eastAsia" w:ascii="宋体" w:hAnsi="宋体"/>
                <w:sz w:val="24"/>
              </w:rPr>
              <w:t>箱逆变一体化设备噪声通过采取措施后均可达到《工业企业厂界环境噪声排放标准》（</w:t>
            </w:r>
            <w:r>
              <w:rPr>
                <w:rFonts w:hint="eastAsia"/>
                <w:sz w:val="24"/>
              </w:rPr>
              <w:t>GB12348-2008</w:t>
            </w:r>
            <w:r>
              <w:rPr>
                <w:rFonts w:hint="eastAsia" w:ascii="宋体" w:hAnsi="宋体"/>
                <w:sz w:val="24"/>
              </w:rPr>
              <w:t>）</w:t>
            </w:r>
            <w:r>
              <w:rPr>
                <w:sz w:val="24"/>
              </w:rPr>
              <w:t>2</w:t>
            </w:r>
            <w:r>
              <w:rPr>
                <w:rFonts w:hint="eastAsia" w:ascii="宋体" w:hAnsi="宋体"/>
                <w:sz w:val="24"/>
              </w:rPr>
              <w:t>类区标准要求。</w:t>
            </w:r>
          </w:p>
          <w:p>
            <w:pPr>
              <w:pStyle w:val="22"/>
              <w:spacing w:before="240" w:after="120"/>
            </w:pPr>
            <w:r>
              <w:rPr>
                <w:rFonts w:hint="eastAsia"/>
              </w:rPr>
              <w:t>表</w:t>
            </w:r>
            <w:r>
              <w:t>4.3</w:t>
            </w:r>
            <w:r>
              <w:rPr>
                <w:rFonts w:hint="eastAsia"/>
              </w:rPr>
              <w:t xml:space="preserve">                  本项目敏感点噪声预测表</w:t>
            </w:r>
          </w:p>
          <w:tbl>
            <w:tblPr>
              <w:tblStyle w:val="16"/>
              <w:tblW w:w="78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4"/>
              <w:gridCol w:w="1280"/>
              <w:gridCol w:w="1135"/>
              <w:gridCol w:w="1274"/>
              <w:gridCol w:w="983"/>
              <w:gridCol w:w="851"/>
              <w:gridCol w:w="995"/>
              <w:gridCol w:w="8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296" w:type="pct"/>
                  <w:vMerge w:val="restar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序号</w:t>
                  </w:r>
                </w:p>
              </w:tc>
              <w:tc>
                <w:tcPr>
                  <w:tcW w:w="818" w:type="pct"/>
                  <w:vMerge w:val="restar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敏感点</w:t>
                  </w:r>
                </w:p>
              </w:tc>
              <w:tc>
                <w:tcPr>
                  <w:tcW w:w="725" w:type="pct"/>
                  <w:vMerge w:val="restar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距厂界最近距离</w:t>
                  </w:r>
                </w:p>
              </w:tc>
              <w:tc>
                <w:tcPr>
                  <w:tcW w:w="814" w:type="pct"/>
                  <w:vMerge w:val="restar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预测贡献值dB（A）</w:t>
                  </w:r>
                </w:p>
              </w:tc>
              <w:tc>
                <w:tcPr>
                  <w:tcW w:w="1172" w:type="pct"/>
                  <w:gridSpan w:val="2"/>
                  <w:vAlign w:val="center"/>
                </w:tcPr>
                <w:p>
                  <w:pPr>
                    <w:pStyle w:val="59"/>
                    <w:widowControl w:val="0"/>
                    <w:adjustRightInd w:val="0"/>
                    <w:snapToGrid w:val="0"/>
                    <w:spacing w:line="240" w:lineRule="atLeast"/>
                    <w:jc w:val="both"/>
                    <w:rPr>
                      <w:rFonts w:eastAsia="宋体"/>
                      <w:b w:val="0"/>
                      <w:sz w:val="21"/>
                      <w:szCs w:val="21"/>
                    </w:rPr>
                  </w:pPr>
                  <w:r>
                    <w:rPr>
                      <w:rFonts w:eastAsia="宋体"/>
                      <w:b w:val="0"/>
                      <w:sz w:val="21"/>
                      <w:szCs w:val="21"/>
                    </w:rPr>
                    <w:t>背景值dB（A）</w:t>
                  </w:r>
                </w:p>
              </w:tc>
              <w:tc>
                <w:tcPr>
                  <w:tcW w:w="1175" w:type="pct"/>
                  <w:gridSpan w:val="2"/>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叠加值dB（A）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96" w:type="pct"/>
                  <w:vMerge w:val="continue"/>
                  <w:vAlign w:val="center"/>
                </w:tcPr>
                <w:p>
                  <w:pPr>
                    <w:pStyle w:val="59"/>
                    <w:widowControl w:val="0"/>
                    <w:adjustRightInd w:val="0"/>
                    <w:snapToGrid w:val="0"/>
                    <w:spacing w:line="240" w:lineRule="atLeast"/>
                    <w:rPr>
                      <w:rFonts w:eastAsia="宋体"/>
                      <w:b w:val="0"/>
                      <w:sz w:val="21"/>
                      <w:szCs w:val="21"/>
                    </w:rPr>
                  </w:pPr>
                </w:p>
              </w:tc>
              <w:tc>
                <w:tcPr>
                  <w:tcW w:w="818" w:type="pct"/>
                  <w:vMerge w:val="continue"/>
                  <w:vAlign w:val="center"/>
                </w:tcPr>
                <w:p>
                  <w:pPr>
                    <w:pStyle w:val="59"/>
                    <w:widowControl w:val="0"/>
                    <w:adjustRightInd w:val="0"/>
                    <w:snapToGrid w:val="0"/>
                    <w:spacing w:line="240" w:lineRule="atLeast"/>
                    <w:rPr>
                      <w:rFonts w:eastAsia="宋体"/>
                      <w:b w:val="0"/>
                      <w:sz w:val="21"/>
                      <w:szCs w:val="21"/>
                    </w:rPr>
                  </w:pPr>
                </w:p>
              </w:tc>
              <w:tc>
                <w:tcPr>
                  <w:tcW w:w="725" w:type="pct"/>
                  <w:vMerge w:val="continue"/>
                  <w:vAlign w:val="center"/>
                </w:tcPr>
                <w:p>
                  <w:pPr>
                    <w:pStyle w:val="59"/>
                    <w:widowControl w:val="0"/>
                    <w:adjustRightInd w:val="0"/>
                    <w:snapToGrid w:val="0"/>
                    <w:spacing w:line="240" w:lineRule="atLeast"/>
                    <w:rPr>
                      <w:rFonts w:eastAsia="宋体"/>
                      <w:b w:val="0"/>
                      <w:sz w:val="21"/>
                      <w:szCs w:val="21"/>
                    </w:rPr>
                  </w:pPr>
                </w:p>
              </w:tc>
              <w:tc>
                <w:tcPr>
                  <w:tcW w:w="814" w:type="pct"/>
                  <w:vMerge w:val="continue"/>
                  <w:vAlign w:val="center"/>
                </w:tcPr>
                <w:p>
                  <w:pPr>
                    <w:pStyle w:val="59"/>
                    <w:widowControl w:val="0"/>
                    <w:adjustRightInd w:val="0"/>
                    <w:snapToGrid w:val="0"/>
                    <w:spacing w:line="240" w:lineRule="atLeast"/>
                    <w:rPr>
                      <w:rFonts w:eastAsia="宋体"/>
                      <w:b w:val="0"/>
                      <w:sz w:val="21"/>
                      <w:szCs w:val="21"/>
                    </w:rPr>
                  </w:pPr>
                </w:p>
              </w:tc>
              <w:tc>
                <w:tcPr>
                  <w:tcW w:w="628"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昼间</w:t>
                  </w:r>
                </w:p>
              </w:tc>
              <w:tc>
                <w:tcPr>
                  <w:tcW w:w="544"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夜间</w:t>
                  </w:r>
                </w:p>
              </w:tc>
              <w:tc>
                <w:tcPr>
                  <w:tcW w:w="636"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昼间</w:t>
                  </w:r>
                </w:p>
              </w:tc>
              <w:tc>
                <w:tcPr>
                  <w:tcW w:w="539"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96"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1</w:t>
                  </w:r>
                </w:p>
              </w:tc>
              <w:tc>
                <w:tcPr>
                  <w:tcW w:w="818"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地块1北侧彩钢房</w:t>
                  </w:r>
                </w:p>
              </w:tc>
              <w:tc>
                <w:tcPr>
                  <w:tcW w:w="725"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156m</w:t>
                  </w:r>
                </w:p>
              </w:tc>
              <w:tc>
                <w:tcPr>
                  <w:tcW w:w="814"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25.49</w:t>
                  </w:r>
                </w:p>
              </w:tc>
              <w:tc>
                <w:tcPr>
                  <w:tcW w:w="628"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37.6</w:t>
                  </w:r>
                </w:p>
              </w:tc>
              <w:tc>
                <w:tcPr>
                  <w:tcW w:w="544" w:type="pct"/>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36.4</w:t>
                  </w:r>
                </w:p>
              </w:tc>
              <w:tc>
                <w:tcPr>
                  <w:tcW w:w="636" w:type="pct"/>
                  <w:vAlign w:val="center"/>
                </w:tcPr>
                <w:p>
                  <w:pPr>
                    <w:pStyle w:val="59"/>
                    <w:widowControl w:val="0"/>
                    <w:adjustRightInd w:val="0"/>
                    <w:snapToGrid w:val="0"/>
                    <w:spacing w:line="240" w:lineRule="atLeast"/>
                    <w:rPr>
                      <w:rFonts w:eastAsia="宋体"/>
                      <w:b w:val="0"/>
                      <w:sz w:val="21"/>
                      <w:szCs w:val="21"/>
                    </w:rPr>
                  </w:pPr>
                  <w:r>
                    <w:rPr>
                      <w:rFonts w:hint="eastAsia" w:eastAsia="宋体"/>
                      <w:b w:val="0"/>
                      <w:sz w:val="21"/>
                      <w:szCs w:val="21"/>
                    </w:rPr>
                    <w:t>3</w:t>
                  </w:r>
                  <w:r>
                    <w:rPr>
                      <w:rFonts w:eastAsia="宋体"/>
                      <w:b w:val="0"/>
                      <w:sz w:val="21"/>
                      <w:szCs w:val="21"/>
                    </w:rPr>
                    <w:t>7.86</w:t>
                  </w:r>
                </w:p>
              </w:tc>
              <w:tc>
                <w:tcPr>
                  <w:tcW w:w="539" w:type="pct"/>
                  <w:vAlign w:val="center"/>
                </w:tcPr>
                <w:p>
                  <w:pPr>
                    <w:pStyle w:val="59"/>
                    <w:widowControl w:val="0"/>
                    <w:adjustRightInd w:val="0"/>
                    <w:snapToGrid w:val="0"/>
                    <w:spacing w:line="240" w:lineRule="atLeast"/>
                    <w:rPr>
                      <w:rFonts w:eastAsia="宋体"/>
                      <w:b w:val="0"/>
                      <w:sz w:val="21"/>
                      <w:szCs w:val="21"/>
                    </w:rPr>
                  </w:pPr>
                  <w:r>
                    <w:rPr>
                      <w:rFonts w:hint="eastAsia" w:eastAsia="宋体"/>
                      <w:b w:val="0"/>
                      <w:sz w:val="21"/>
                      <w:szCs w:val="21"/>
                    </w:rPr>
                    <w:t>3</w:t>
                  </w:r>
                  <w:r>
                    <w:rPr>
                      <w:rFonts w:eastAsia="宋体"/>
                      <w:b w:val="0"/>
                      <w:sz w:val="21"/>
                      <w:szCs w:val="21"/>
                    </w:rPr>
                    <w:t>6.74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96"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2</w:t>
                  </w:r>
                </w:p>
              </w:tc>
              <w:tc>
                <w:tcPr>
                  <w:tcW w:w="818"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地块2西南侧民房</w:t>
                  </w:r>
                </w:p>
              </w:tc>
              <w:tc>
                <w:tcPr>
                  <w:tcW w:w="725"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185m</w:t>
                  </w:r>
                </w:p>
              </w:tc>
              <w:tc>
                <w:tcPr>
                  <w:tcW w:w="814"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24.11</w:t>
                  </w:r>
                </w:p>
              </w:tc>
              <w:tc>
                <w:tcPr>
                  <w:tcW w:w="628"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37.6</w:t>
                  </w:r>
                </w:p>
              </w:tc>
              <w:tc>
                <w:tcPr>
                  <w:tcW w:w="544"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36.4</w:t>
                  </w:r>
                </w:p>
              </w:tc>
              <w:tc>
                <w:tcPr>
                  <w:tcW w:w="636"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hint="eastAsia" w:eastAsia="宋体"/>
                      <w:b w:val="0"/>
                      <w:sz w:val="21"/>
                      <w:szCs w:val="21"/>
                    </w:rPr>
                    <w:t>3</w:t>
                  </w:r>
                  <w:r>
                    <w:rPr>
                      <w:rFonts w:eastAsia="宋体"/>
                      <w:b w:val="0"/>
                      <w:sz w:val="21"/>
                      <w:szCs w:val="21"/>
                    </w:rPr>
                    <w:t>7.79</w:t>
                  </w:r>
                </w:p>
              </w:tc>
              <w:tc>
                <w:tcPr>
                  <w:tcW w:w="539" w:type="pct"/>
                  <w:tcBorders>
                    <w:bottom w:val="single" w:color="auto" w:sz="6"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36.65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96"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w:t>
                  </w:r>
                </w:p>
              </w:tc>
              <w:tc>
                <w:tcPr>
                  <w:tcW w:w="818"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地块5东南侧民房</w:t>
                  </w:r>
                </w:p>
              </w:tc>
              <w:tc>
                <w:tcPr>
                  <w:tcW w:w="725"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52m</w:t>
                  </w:r>
                </w:p>
              </w:tc>
              <w:tc>
                <w:tcPr>
                  <w:tcW w:w="814"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33.88</w:t>
                  </w:r>
                </w:p>
              </w:tc>
              <w:tc>
                <w:tcPr>
                  <w:tcW w:w="628"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34.3</w:t>
                  </w:r>
                </w:p>
              </w:tc>
              <w:tc>
                <w:tcPr>
                  <w:tcW w:w="544"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33.3</w:t>
                  </w:r>
                </w:p>
              </w:tc>
              <w:tc>
                <w:tcPr>
                  <w:tcW w:w="636"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hint="eastAsia" w:eastAsia="宋体"/>
                      <w:b w:val="0"/>
                      <w:sz w:val="21"/>
                      <w:szCs w:val="21"/>
                    </w:rPr>
                    <w:t>3</w:t>
                  </w:r>
                  <w:r>
                    <w:rPr>
                      <w:rFonts w:eastAsia="宋体"/>
                      <w:b w:val="0"/>
                      <w:sz w:val="21"/>
                      <w:szCs w:val="21"/>
                    </w:rPr>
                    <w:t>7.11</w:t>
                  </w:r>
                </w:p>
              </w:tc>
              <w:tc>
                <w:tcPr>
                  <w:tcW w:w="539" w:type="pct"/>
                  <w:tcBorders>
                    <w:top w:val="single" w:color="auto" w:sz="6" w:space="0"/>
                    <w:bottom w:val="single" w:color="auto" w:sz="4" w:space="0"/>
                  </w:tcBorders>
                  <w:vAlign w:val="center"/>
                </w:tcPr>
                <w:p>
                  <w:pPr>
                    <w:pStyle w:val="59"/>
                    <w:widowControl w:val="0"/>
                    <w:adjustRightInd w:val="0"/>
                    <w:snapToGrid w:val="0"/>
                    <w:spacing w:line="240" w:lineRule="atLeast"/>
                    <w:rPr>
                      <w:rFonts w:eastAsia="宋体"/>
                      <w:b w:val="0"/>
                      <w:sz w:val="21"/>
                      <w:szCs w:val="21"/>
                    </w:rPr>
                  </w:pPr>
                  <w:r>
                    <w:rPr>
                      <w:rFonts w:eastAsia="宋体"/>
                      <w:b w:val="0"/>
                      <w:sz w:val="21"/>
                      <w:szCs w:val="21"/>
                    </w:rPr>
                    <w:t>36.61</w:t>
                  </w:r>
                </w:p>
              </w:tc>
            </w:tr>
          </w:tbl>
          <w:p>
            <w:pPr>
              <w:spacing w:line="360" w:lineRule="auto"/>
              <w:ind w:firstLine="480" w:firstLineChars="200"/>
              <w:rPr>
                <w:rFonts w:ascii="宋体" w:hAnsi="宋体"/>
                <w:sz w:val="24"/>
              </w:rPr>
            </w:pPr>
            <w:r>
              <w:rPr>
                <w:rFonts w:hint="eastAsia" w:ascii="宋体" w:hAnsi="宋体"/>
                <w:sz w:val="24"/>
              </w:rPr>
              <w:t>光伏场附近敏感点噪声预测值昼间在</w:t>
            </w:r>
            <w:r>
              <w:rPr>
                <w:rFonts w:ascii="宋体" w:hAnsi="宋体"/>
                <w:sz w:val="24"/>
              </w:rPr>
              <w:t>37.11～37.86dB (A)之间，夜</w:t>
            </w:r>
            <w:r>
              <w:rPr>
                <w:rFonts w:hint="eastAsia" w:ascii="宋体" w:hAnsi="宋体"/>
                <w:sz w:val="24"/>
              </w:rPr>
              <w:t>间在3</w:t>
            </w:r>
            <w:r>
              <w:rPr>
                <w:rFonts w:ascii="宋体" w:hAnsi="宋体"/>
                <w:sz w:val="24"/>
              </w:rPr>
              <w:t>6.6</w:t>
            </w:r>
            <w:r>
              <w:rPr>
                <w:rFonts w:hint="eastAsia" w:ascii="宋体" w:hAnsi="宋体"/>
                <w:sz w:val="24"/>
              </w:rPr>
              <w:t>1～3</w:t>
            </w:r>
            <w:r>
              <w:rPr>
                <w:rFonts w:ascii="宋体" w:hAnsi="宋体"/>
                <w:sz w:val="24"/>
              </w:rPr>
              <w:t>6.74</w:t>
            </w:r>
            <w:r>
              <w:rPr>
                <w:rFonts w:hint="eastAsia" w:ascii="宋体" w:hAnsi="宋体"/>
                <w:sz w:val="24"/>
              </w:rPr>
              <w:t>dB (A)之间</w:t>
            </w:r>
            <w:r>
              <w:rPr>
                <w:rFonts w:ascii="宋体" w:hAnsi="宋体"/>
                <w:sz w:val="24"/>
              </w:rPr>
              <w:t>满足</w:t>
            </w:r>
            <w:r>
              <w:rPr>
                <w:rFonts w:hint="eastAsia" w:ascii="宋体" w:hAnsi="宋体"/>
                <w:sz w:val="24"/>
              </w:rPr>
              <w:t>《声环境质量标准》（GB3096-2008）中的</w:t>
            </w:r>
            <w:r>
              <w:rPr>
                <w:rFonts w:ascii="宋体" w:hAnsi="宋体"/>
                <w:sz w:val="24"/>
              </w:rPr>
              <w:t>1</w:t>
            </w:r>
            <w:r>
              <w:rPr>
                <w:rFonts w:hint="eastAsia" w:ascii="宋体" w:hAnsi="宋体"/>
                <w:sz w:val="24"/>
              </w:rPr>
              <w:t>类标准要求。</w:t>
            </w:r>
          </w:p>
          <w:p>
            <w:pPr>
              <w:pStyle w:val="24"/>
              <w:ind w:firstLine="482"/>
              <w:rPr>
                <w:rFonts w:cs="Times New Roman"/>
              </w:rPr>
            </w:pPr>
            <w:r>
              <w:rPr>
                <w:rFonts w:cs="Times New Roman"/>
              </w:rPr>
              <w:t>（2）升压站内电气设备噪声</w:t>
            </w:r>
          </w:p>
          <w:p>
            <w:pPr>
              <w:pStyle w:val="46"/>
              <w:ind w:firstLine="480"/>
              <w:rPr>
                <w:rFonts w:cs="Times New Roman"/>
              </w:rPr>
            </w:pPr>
            <w:r>
              <w:rPr>
                <w:rFonts w:hint="eastAsia" w:cs="Times New Roman"/>
              </w:rPr>
              <w:t>乌拉特前旗15万千瓦子项目建设1台180MVA主变压器（含储能容量），设220kV、35kV两级电压。</w:t>
            </w:r>
          </w:p>
          <w:p>
            <w:pPr>
              <w:pStyle w:val="46"/>
              <w:ind w:firstLine="480"/>
              <w:rPr>
                <w:rFonts w:cs="Times New Roman"/>
              </w:rPr>
            </w:pPr>
            <w:r>
              <w:rPr>
                <w:rFonts w:cs="Times New Roman"/>
              </w:rPr>
              <w:t>电气设备噪声主要来自主变压器运行时产生的噪声，</w:t>
            </w:r>
            <w:r>
              <w:rPr>
                <w:rFonts w:hint="eastAsia"/>
              </w:rPr>
              <w:t>本项目</w:t>
            </w:r>
            <w:r>
              <w:rPr>
                <w:rFonts w:cs="Times New Roman"/>
              </w:rPr>
              <w:t>升压站内采取选用低噪声光伏组件及设备，且采取减振措施，加强日常维护，确保设备正常运行，主变噪声源强按</w:t>
            </w:r>
            <w:r>
              <w:rPr>
                <w:rFonts w:hint="eastAsia" w:cs="Times New Roman"/>
              </w:rPr>
              <w:t>《 变电站噪声控制技术导则》DL／T 1518-2016中2</w:t>
            </w:r>
            <w:r>
              <w:rPr>
                <w:rFonts w:cs="Times New Roman"/>
              </w:rPr>
              <w:t>20kV</w:t>
            </w:r>
            <w:r>
              <w:rPr>
                <w:rFonts w:hint="eastAsia" w:cs="Times New Roman"/>
              </w:rPr>
              <w:t>主变源强声功率级</w:t>
            </w:r>
            <w:r>
              <w:rPr>
                <w:rFonts w:cs="Times New Roman"/>
              </w:rPr>
              <w:t>91.2</w:t>
            </w:r>
            <w:r>
              <w:rPr>
                <w:rFonts w:hint="eastAsia" w:cs="Times New Roman"/>
              </w:rPr>
              <w:t>（dB(A)）</w:t>
            </w:r>
            <w:r>
              <w:rPr>
                <w:rFonts w:cs="Times New Roman"/>
              </w:rPr>
              <w:t>预测。预测结果如下：</w:t>
            </w:r>
          </w:p>
          <w:tbl>
            <w:tblPr>
              <w:tblStyle w:val="16"/>
              <w:tblpPr w:leftFromText="180" w:rightFromText="180" w:vertAnchor="page" w:horzAnchor="margin" w:tblpY="1832"/>
              <w:tblOverlap w:val="never"/>
              <w:tblW w:w="77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2"/>
              <w:gridCol w:w="1275"/>
              <w:gridCol w:w="1561"/>
              <w:gridCol w:w="1135"/>
              <w:gridCol w:w="851"/>
              <w:gridCol w:w="23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374" w:type="pct"/>
                  <w:vAlign w:val="center"/>
                </w:tcPr>
                <w:p>
                  <w:pPr>
                    <w:jc w:val="center"/>
                    <w:rPr>
                      <w:b/>
                      <w:kern w:val="0"/>
                    </w:rPr>
                  </w:pPr>
                  <w:r>
                    <w:rPr>
                      <w:rFonts w:ascii="宋体" w:hAnsi="宋体"/>
                      <w:b/>
                      <w:kern w:val="0"/>
                    </w:rPr>
                    <w:t>序号</w:t>
                  </w:r>
                </w:p>
              </w:tc>
              <w:tc>
                <w:tcPr>
                  <w:tcW w:w="1822" w:type="pct"/>
                  <w:gridSpan w:val="2"/>
                  <w:vAlign w:val="center"/>
                </w:tcPr>
                <w:p>
                  <w:pPr>
                    <w:jc w:val="center"/>
                    <w:rPr>
                      <w:rFonts w:ascii="宋体" w:hAnsi="宋体"/>
                      <w:b/>
                      <w:kern w:val="0"/>
                    </w:rPr>
                  </w:pPr>
                  <w:r>
                    <w:rPr>
                      <w:rFonts w:ascii="宋体" w:hAnsi="宋体"/>
                      <w:b/>
                      <w:kern w:val="0"/>
                    </w:rPr>
                    <w:t>预测位置</w:t>
                  </w:r>
                </w:p>
              </w:tc>
              <w:tc>
                <w:tcPr>
                  <w:tcW w:w="729" w:type="pct"/>
                  <w:vAlign w:val="center"/>
                </w:tcPr>
                <w:p>
                  <w:pPr>
                    <w:jc w:val="center"/>
                    <w:rPr>
                      <w:rFonts w:ascii="宋体" w:hAnsi="宋体"/>
                      <w:b/>
                      <w:kern w:val="0"/>
                    </w:rPr>
                  </w:pPr>
                  <w:r>
                    <w:rPr>
                      <w:rFonts w:hint="eastAsia" w:ascii="宋体" w:hAnsi="宋体"/>
                      <w:b/>
                      <w:kern w:val="0"/>
                    </w:rPr>
                    <w:t>贡献值</w:t>
                  </w:r>
                  <w:r>
                    <w:rPr>
                      <w:b/>
                      <w:kern w:val="0"/>
                    </w:rPr>
                    <w:t>dB(A)</w:t>
                  </w:r>
                  <w:r>
                    <w:rPr>
                      <w:rFonts w:ascii="宋体" w:hAnsi="宋体"/>
                      <w:b/>
                      <w:kern w:val="0"/>
                    </w:rPr>
                    <w:t>）</w:t>
                  </w:r>
                </w:p>
              </w:tc>
              <w:tc>
                <w:tcPr>
                  <w:tcW w:w="547" w:type="pct"/>
                  <w:vAlign w:val="center"/>
                </w:tcPr>
                <w:p>
                  <w:pPr>
                    <w:jc w:val="center"/>
                    <w:rPr>
                      <w:b/>
                      <w:kern w:val="0"/>
                    </w:rPr>
                  </w:pPr>
                  <w:r>
                    <w:rPr>
                      <w:rFonts w:ascii="宋体" w:hAnsi="宋体"/>
                      <w:b/>
                      <w:kern w:val="0"/>
                    </w:rPr>
                    <w:t>达标情况</w:t>
                  </w:r>
                </w:p>
              </w:tc>
              <w:tc>
                <w:tcPr>
                  <w:tcW w:w="1528" w:type="pct"/>
                  <w:vAlign w:val="center"/>
                </w:tcPr>
                <w:p>
                  <w:pPr>
                    <w:jc w:val="center"/>
                    <w:rPr>
                      <w:b/>
                      <w:kern w:val="0"/>
                    </w:rPr>
                  </w:pPr>
                  <w:r>
                    <w:rPr>
                      <w:b/>
                      <w:kern w:val="0"/>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4" w:type="pct"/>
                  <w:vAlign w:val="center"/>
                </w:tcPr>
                <w:p>
                  <w:pPr>
                    <w:jc w:val="center"/>
                  </w:pPr>
                  <w:r>
                    <w:t>1</w:t>
                  </w:r>
                </w:p>
              </w:tc>
              <w:tc>
                <w:tcPr>
                  <w:tcW w:w="819" w:type="pct"/>
                  <w:vMerge w:val="restart"/>
                  <w:vAlign w:val="center"/>
                </w:tcPr>
                <w:p>
                  <w:pPr>
                    <w:jc w:val="center"/>
                  </w:pPr>
                  <w:r>
                    <w:t>升压站</w:t>
                  </w:r>
                </w:p>
              </w:tc>
              <w:tc>
                <w:tcPr>
                  <w:tcW w:w="1003" w:type="pct"/>
                  <w:vAlign w:val="center"/>
                </w:tcPr>
                <w:p>
                  <w:pPr>
                    <w:jc w:val="center"/>
                  </w:pPr>
                  <w:r>
                    <w:rPr>
                      <w:rFonts w:ascii="宋体" w:hAnsi="宋体"/>
                    </w:rPr>
                    <w:t>升压站东侧</w:t>
                  </w:r>
                </w:p>
              </w:tc>
              <w:tc>
                <w:tcPr>
                  <w:tcW w:w="729" w:type="pct"/>
                  <w:vAlign w:val="center"/>
                </w:tcPr>
                <w:p>
                  <w:pPr>
                    <w:jc w:val="center"/>
                  </w:pPr>
                  <w:r>
                    <w:t>39.55</w:t>
                  </w:r>
                </w:p>
              </w:tc>
              <w:tc>
                <w:tcPr>
                  <w:tcW w:w="547" w:type="pct"/>
                  <w:vAlign w:val="center"/>
                </w:tcPr>
                <w:p>
                  <w:pPr>
                    <w:jc w:val="center"/>
                  </w:pPr>
                  <w:r>
                    <w:rPr>
                      <w:rFonts w:ascii="宋体" w:hAnsi="宋体"/>
                    </w:rPr>
                    <w:t>达标</w:t>
                  </w:r>
                </w:p>
              </w:tc>
              <w:tc>
                <w:tcPr>
                  <w:tcW w:w="1528" w:type="pct"/>
                  <w:vMerge w:val="restart"/>
                  <w:vAlign w:val="center"/>
                </w:tcPr>
                <w:p>
                  <w:pPr>
                    <w:jc w:val="center"/>
                  </w:pPr>
                  <w:r>
                    <w:rPr>
                      <w:rFonts w:ascii="宋体" w:hAnsi="宋体"/>
                      <w:kern w:val="0"/>
                    </w:rPr>
                    <w:t>《工业企业厂界环境噪声排放标准》（</w:t>
                  </w:r>
                  <w:r>
                    <w:rPr>
                      <w:kern w:val="0"/>
                    </w:rPr>
                    <w:t>GB12348-2008</w:t>
                  </w:r>
                  <w:r>
                    <w:rPr>
                      <w:rFonts w:ascii="宋体" w:hAnsi="宋体"/>
                      <w:kern w:val="0"/>
                    </w:rPr>
                    <w:t>）</w:t>
                  </w:r>
                  <w:r>
                    <w:rPr>
                      <w:kern w:val="0"/>
                    </w:rPr>
                    <w:t>2</w:t>
                  </w:r>
                  <w:r>
                    <w:rPr>
                      <w:rFonts w:ascii="宋体" w:hAnsi="宋体"/>
                      <w:kern w:val="0"/>
                    </w:rPr>
                    <w:t>类</w:t>
                  </w:r>
                </w:p>
                <w:p>
                  <w:pPr>
                    <w:jc w:val="center"/>
                  </w:pPr>
                  <w:r>
                    <w:rPr>
                      <w:rFonts w:ascii="宋体" w:hAnsi="宋体"/>
                    </w:rPr>
                    <w:t>昼间</w:t>
                  </w:r>
                  <w:r>
                    <w:t>60</w:t>
                  </w:r>
                  <w:r>
                    <w:rPr>
                      <w:kern w:val="0"/>
                    </w:rPr>
                    <w:t xml:space="preserve"> dB(A)</w:t>
                  </w:r>
                  <w:r>
                    <w:rPr>
                      <w:rFonts w:ascii="宋体" w:hAnsi="宋体"/>
                    </w:rPr>
                    <w:t>，夜间</w:t>
                  </w:r>
                  <w:r>
                    <w:t>50</w:t>
                  </w:r>
                  <w:r>
                    <w:rPr>
                      <w:kern w:val="0"/>
                    </w:rPr>
                    <w:t xml:space="preserve">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4" w:type="pct"/>
                  <w:vAlign w:val="center"/>
                </w:tcPr>
                <w:p>
                  <w:pPr>
                    <w:widowControl/>
                    <w:jc w:val="center"/>
                  </w:pPr>
                  <w:r>
                    <w:t>2</w:t>
                  </w:r>
                </w:p>
              </w:tc>
              <w:tc>
                <w:tcPr>
                  <w:tcW w:w="819" w:type="pct"/>
                  <w:vMerge w:val="continue"/>
                  <w:vAlign w:val="center"/>
                </w:tcPr>
                <w:p>
                  <w:pPr>
                    <w:widowControl/>
                    <w:jc w:val="center"/>
                  </w:pPr>
                </w:p>
              </w:tc>
              <w:tc>
                <w:tcPr>
                  <w:tcW w:w="1003" w:type="pct"/>
                  <w:vAlign w:val="center"/>
                </w:tcPr>
                <w:p>
                  <w:pPr>
                    <w:widowControl/>
                    <w:jc w:val="center"/>
                  </w:pPr>
                  <w:r>
                    <w:rPr>
                      <w:rFonts w:ascii="宋体" w:hAnsi="宋体"/>
                    </w:rPr>
                    <w:t>升压站南侧</w:t>
                  </w:r>
                </w:p>
              </w:tc>
              <w:tc>
                <w:tcPr>
                  <w:tcW w:w="729" w:type="pct"/>
                  <w:vAlign w:val="center"/>
                </w:tcPr>
                <w:p>
                  <w:pPr>
                    <w:jc w:val="center"/>
                  </w:pPr>
                  <w:r>
                    <w:t>35.86</w:t>
                  </w:r>
                </w:p>
              </w:tc>
              <w:tc>
                <w:tcPr>
                  <w:tcW w:w="547" w:type="pct"/>
                  <w:vAlign w:val="center"/>
                </w:tcPr>
                <w:p>
                  <w:pPr>
                    <w:jc w:val="center"/>
                  </w:pPr>
                  <w:r>
                    <w:rPr>
                      <w:rFonts w:ascii="宋体" w:hAnsi="宋体"/>
                    </w:rPr>
                    <w:t>达标</w:t>
                  </w:r>
                </w:p>
              </w:tc>
              <w:tc>
                <w:tcPr>
                  <w:tcW w:w="1528" w:type="pct"/>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4" w:type="pct"/>
                  <w:vAlign w:val="center"/>
                </w:tcPr>
                <w:p>
                  <w:pPr>
                    <w:jc w:val="center"/>
                  </w:pPr>
                  <w:r>
                    <w:t>3</w:t>
                  </w:r>
                </w:p>
              </w:tc>
              <w:tc>
                <w:tcPr>
                  <w:tcW w:w="819" w:type="pct"/>
                  <w:vMerge w:val="continue"/>
                  <w:vAlign w:val="center"/>
                </w:tcPr>
                <w:p>
                  <w:pPr>
                    <w:jc w:val="center"/>
                  </w:pPr>
                </w:p>
              </w:tc>
              <w:tc>
                <w:tcPr>
                  <w:tcW w:w="1003" w:type="pct"/>
                  <w:vAlign w:val="center"/>
                </w:tcPr>
                <w:p>
                  <w:pPr>
                    <w:jc w:val="center"/>
                  </w:pPr>
                  <w:r>
                    <w:rPr>
                      <w:rFonts w:ascii="宋体" w:hAnsi="宋体"/>
                    </w:rPr>
                    <w:t>升压站西侧</w:t>
                  </w:r>
                </w:p>
              </w:tc>
              <w:tc>
                <w:tcPr>
                  <w:tcW w:w="729" w:type="pct"/>
                  <w:vAlign w:val="center"/>
                </w:tcPr>
                <w:p>
                  <w:pPr>
                    <w:jc w:val="center"/>
                  </w:pPr>
                  <w:r>
                    <w:t>43.80</w:t>
                  </w:r>
                </w:p>
              </w:tc>
              <w:tc>
                <w:tcPr>
                  <w:tcW w:w="547" w:type="pct"/>
                  <w:vAlign w:val="center"/>
                </w:tcPr>
                <w:p>
                  <w:pPr>
                    <w:jc w:val="center"/>
                  </w:pPr>
                  <w:r>
                    <w:rPr>
                      <w:rFonts w:ascii="宋体" w:hAnsi="宋体"/>
                    </w:rPr>
                    <w:t>达标</w:t>
                  </w:r>
                </w:p>
              </w:tc>
              <w:tc>
                <w:tcPr>
                  <w:tcW w:w="1528" w:type="pct"/>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4" w:type="pct"/>
                  <w:vAlign w:val="center"/>
                </w:tcPr>
                <w:p>
                  <w:pPr>
                    <w:jc w:val="center"/>
                  </w:pPr>
                  <w:r>
                    <w:t>4</w:t>
                  </w:r>
                </w:p>
              </w:tc>
              <w:tc>
                <w:tcPr>
                  <w:tcW w:w="819" w:type="pct"/>
                  <w:vMerge w:val="continue"/>
                  <w:vAlign w:val="center"/>
                </w:tcPr>
                <w:p>
                  <w:pPr>
                    <w:jc w:val="center"/>
                  </w:pPr>
                </w:p>
              </w:tc>
              <w:tc>
                <w:tcPr>
                  <w:tcW w:w="1003" w:type="pct"/>
                  <w:vAlign w:val="center"/>
                </w:tcPr>
                <w:p>
                  <w:pPr>
                    <w:jc w:val="center"/>
                  </w:pPr>
                  <w:r>
                    <w:rPr>
                      <w:rFonts w:ascii="宋体" w:hAnsi="宋体"/>
                    </w:rPr>
                    <w:t>升压站北侧</w:t>
                  </w:r>
                </w:p>
              </w:tc>
              <w:tc>
                <w:tcPr>
                  <w:tcW w:w="729" w:type="pct"/>
                  <w:vAlign w:val="center"/>
                </w:tcPr>
                <w:p>
                  <w:pPr>
                    <w:jc w:val="center"/>
                  </w:pPr>
                  <w:r>
                    <w:t>37.64</w:t>
                  </w:r>
                </w:p>
              </w:tc>
              <w:tc>
                <w:tcPr>
                  <w:tcW w:w="547" w:type="pct"/>
                  <w:vAlign w:val="center"/>
                </w:tcPr>
                <w:p>
                  <w:pPr>
                    <w:jc w:val="center"/>
                  </w:pPr>
                  <w:r>
                    <w:rPr>
                      <w:rFonts w:ascii="宋体" w:hAnsi="宋体"/>
                    </w:rPr>
                    <w:t>达标</w:t>
                  </w:r>
                </w:p>
              </w:tc>
              <w:tc>
                <w:tcPr>
                  <w:tcW w:w="1528" w:type="pct"/>
                  <w:vMerge w:val="continue"/>
                  <w:vAlign w:val="center"/>
                </w:tcPr>
                <w:p>
                  <w:pPr>
                    <w:jc w:val="center"/>
                  </w:pPr>
                </w:p>
              </w:tc>
            </w:tr>
          </w:tbl>
          <w:p>
            <w:pPr>
              <w:pStyle w:val="22"/>
              <w:spacing w:before="240" w:after="120"/>
            </w:pPr>
            <w:r>
              <w:t>表4.4                  升压站站界噪声预测结果</w:t>
            </w:r>
          </w:p>
          <w:p>
            <w:pPr>
              <w:rPr>
                <w:kern w:val="0"/>
                <w:sz w:val="24"/>
              </w:rPr>
            </w:pPr>
            <w:r>
              <w:rPr>
                <w:sz w:val="24"/>
              </w:rPr>
              <w:t xml:space="preserve"> </w:t>
            </w:r>
          </w:p>
          <w:p>
            <w:pPr>
              <w:snapToGrid w:val="0"/>
              <w:spacing w:before="120" w:beforeLines="50" w:line="360" w:lineRule="auto"/>
              <w:jc w:val="center"/>
              <w:rPr>
                <w:kern w:val="0"/>
                <w:sz w:val="24"/>
              </w:rPr>
            </w:pPr>
            <w:r>
              <w:rPr>
                <w:b/>
                <w:bCs/>
                <w:kern w:val="0"/>
                <w:sz w:val="24"/>
              </w:rPr>
              <w:drawing>
                <wp:inline distT="0" distB="0" distL="0" distR="0">
                  <wp:extent cx="4752975" cy="5401310"/>
                  <wp:effectExtent l="0" t="0" r="0" b="8890"/>
                  <wp:docPr id="3" name="图片 3" descr="C:\Users\whuazhang.NMDS\AppData\Local\Microsoft\Windows\INetCache\Content.Word\页面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huazhang.NMDS\AppData\Local\Microsoft\Windows\INetCache\Content.Word\页面1.bmp"/>
                          <pic:cNvPicPr>
                            <a:picLocks noChangeAspect="1" noChangeArrowheads="1"/>
                          </pic:cNvPicPr>
                        </pic:nvPicPr>
                        <pic:blipFill>
                          <a:blip r:embed="rId26">
                            <a:extLst>
                              <a:ext uri="{28A0092B-C50C-407E-A947-70E740481C1C}">
                                <a14:useLocalDpi xmlns:a14="http://schemas.microsoft.com/office/drawing/2010/main" val="0"/>
                              </a:ext>
                            </a:extLst>
                          </a:blip>
                          <a:srcRect l="24413" t="7928" r="24109" b="9207"/>
                          <a:stretch>
                            <a:fillRect/>
                          </a:stretch>
                        </pic:blipFill>
                        <pic:spPr>
                          <a:xfrm>
                            <a:off x="0" y="0"/>
                            <a:ext cx="4772758" cy="5424231"/>
                          </a:xfrm>
                          <a:prstGeom prst="rect">
                            <a:avLst/>
                          </a:prstGeom>
                          <a:noFill/>
                          <a:ln>
                            <a:noFill/>
                          </a:ln>
                        </pic:spPr>
                      </pic:pic>
                    </a:graphicData>
                  </a:graphic>
                </wp:inline>
              </w:drawing>
            </w:r>
          </w:p>
          <w:p>
            <w:pPr>
              <w:snapToGrid w:val="0"/>
              <w:spacing w:before="120" w:beforeLines="50" w:line="360" w:lineRule="auto"/>
              <w:ind w:firstLine="482" w:firstLineChars="200"/>
              <w:jc w:val="center"/>
              <w:rPr>
                <w:b/>
                <w:bCs/>
                <w:kern w:val="0"/>
                <w:sz w:val="24"/>
              </w:rPr>
            </w:pPr>
            <w:r>
              <w:rPr>
                <w:rFonts w:hint="eastAsia"/>
                <w:b/>
                <w:bCs/>
                <w:kern w:val="0"/>
                <w:sz w:val="24"/>
              </w:rPr>
              <w:t>图4.</w:t>
            </w:r>
            <w:r>
              <w:rPr>
                <w:b/>
                <w:bCs/>
                <w:kern w:val="0"/>
                <w:sz w:val="24"/>
              </w:rPr>
              <w:t>1     升压站噪声预测等值线图</w:t>
            </w:r>
          </w:p>
          <w:p>
            <w:pPr>
              <w:snapToGrid w:val="0"/>
              <w:spacing w:before="120" w:beforeLines="50" w:line="360" w:lineRule="auto"/>
              <w:ind w:firstLine="480" w:firstLineChars="200"/>
              <w:rPr>
                <w:kern w:val="0"/>
                <w:sz w:val="24"/>
              </w:rPr>
            </w:pPr>
            <w:r>
              <w:rPr>
                <w:kern w:val="0"/>
                <w:sz w:val="24"/>
              </w:rPr>
              <w:t>根据预测结果，</w:t>
            </w:r>
            <w:r>
              <w:rPr>
                <w:rFonts w:hint="eastAsia"/>
                <w:kern w:val="0"/>
                <w:sz w:val="24"/>
              </w:rPr>
              <w:t>乌拉特前旗15万千瓦子项目升压站站界处噪声贡献值在35.86~43.80dB（A）之间</w:t>
            </w:r>
            <w:r>
              <w:rPr>
                <w:rFonts w:hint="eastAsia"/>
                <w:sz w:val="24"/>
              </w:rPr>
              <w:t>，</w:t>
            </w:r>
            <w:r>
              <w:rPr>
                <w:kern w:val="0"/>
                <w:sz w:val="24"/>
              </w:rPr>
              <w:t>噪声值满足《工业企业厂界环境噪声排放标准》（GB12348-2008）中的2类标准的要求。</w:t>
            </w:r>
          </w:p>
          <w:p>
            <w:pPr>
              <w:pStyle w:val="44"/>
              <w:spacing w:before="120"/>
              <w:rPr>
                <w:rFonts w:cs="Times New Roman"/>
                <w:color w:val="auto"/>
              </w:rPr>
            </w:pPr>
            <w:r>
              <w:rPr>
                <w:rFonts w:cs="Times New Roman"/>
                <w:color w:val="auto"/>
              </w:rPr>
              <w:t>4、固体废物影响分析</w:t>
            </w:r>
          </w:p>
          <w:p>
            <w:pPr>
              <w:pStyle w:val="46"/>
              <w:ind w:firstLine="480"/>
              <w:rPr>
                <w:rFonts w:cs="Times New Roman"/>
              </w:rPr>
            </w:pPr>
            <w:r>
              <w:rPr>
                <w:rFonts w:cs="Times New Roman"/>
              </w:rPr>
              <w:t>根据工程分析，本项目运行期产生的固体废物包括废旧蓄电池（为</w:t>
            </w:r>
            <w:r>
              <w:rPr>
                <w:rFonts w:hint="eastAsia" w:cs="Times New Roman"/>
              </w:rPr>
              <w:t>铅酸电池）</w:t>
            </w:r>
            <w:r>
              <w:rPr>
                <w:rFonts w:cs="Times New Roman"/>
              </w:rPr>
              <w:t>、</w:t>
            </w:r>
            <w:r>
              <w:rPr>
                <w:rFonts w:hint="eastAsia" w:cs="Times New Roman"/>
              </w:rPr>
              <w:t>储能废电池（为磷酸铁锂电池）</w:t>
            </w:r>
            <w:r>
              <w:rPr>
                <w:rFonts w:cs="Times New Roman"/>
              </w:rPr>
              <w:t>、</w:t>
            </w:r>
            <w:r>
              <w:rPr>
                <w:rFonts w:hint="eastAsia" w:cs="Times New Roman"/>
              </w:rPr>
              <w:t>废旧光伏组件、主变事故油、箱变事故油、</w:t>
            </w:r>
            <w:r>
              <w:rPr>
                <w:rFonts w:cs="Times New Roman"/>
              </w:rPr>
              <w:t>生活垃圾。</w:t>
            </w:r>
          </w:p>
          <w:p>
            <w:pPr>
              <w:pStyle w:val="46"/>
              <w:ind w:firstLine="0" w:firstLineChars="0"/>
              <w:rPr>
                <w:rFonts w:cs="Times New Roman"/>
                <w:b/>
                <w:snapToGrid/>
                <w:szCs w:val="24"/>
              </w:rPr>
            </w:pPr>
            <w:r>
              <w:rPr>
                <w:rFonts w:hint="eastAsia" w:cs="Times New Roman"/>
                <w:b/>
                <w:snapToGrid/>
                <w:szCs w:val="24"/>
              </w:rPr>
              <w:t>表4.</w:t>
            </w:r>
            <w:r>
              <w:rPr>
                <w:rFonts w:cs="Times New Roman"/>
                <w:b/>
                <w:snapToGrid/>
                <w:szCs w:val="24"/>
              </w:rPr>
              <w:t>5</w:t>
            </w:r>
            <w:r>
              <w:rPr>
                <w:rFonts w:hint="eastAsia" w:cs="Times New Roman"/>
                <w:b/>
                <w:snapToGrid/>
                <w:szCs w:val="24"/>
              </w:rPr>
              <w:t xml:space="preserve">                  本项目一般固废汇总表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550"/>
              <w:gridCol w:w="1529"/>
              <w:gridCol w:w="1426"/>
              <w:gridCol w:w="2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2" w:type="pct"/>
                  <w:tcBorders>
                    <w:top w:val="single" w:color="auto" w:sz="12" w:space="0"/>
                    <w:left w:val="single" w:color="auto" w:sz="12" w:space="0"/>
                    <w:bottom w:val="single" w:color="auto" w:sz="4" w:space="0"/>
                    <w:tl2br w:val="nil"/>
                    <w:tr2bl w:val="nil"/>
                  </w:tcBorders>
                  <w:vAlign w:val="center"/>
                </w:tcPr>
                <w:p>
                  <w:pPr>
                    <w:pStyle w:val="56"/>
                    <w:rPr>
                      <w:b/>
                      <w:kern w:val="2"/>
                      <w:sz w:val="21"/>
                      <w:szCs w:val="21"/>
                    </w:rPr>
                  </w:pPr>
                  <w:r>
                    <w:rPr>
                      <w:rFonts w:hint="eastAsia"/>
                      <w:b/>
                      <w:kern w:val="2"/>
                      <w:sz w:val="21"/>
                      <w:szCs w:val="21"/>
                    </w:rPr>
                    <w:t>序号</w:t>
                  </w:r>
                </w:p>
              </w:tc>
              <w:tc>
                <w:tcPr>
                  <w:tcW w:w="984" w:type="pct"/>
                  <w:tcBorders>
                    <w:tl2br w:val="nil"/>
                    <w:tr2bl w:val="nil"/>
                  </w:tcBorders>
                  <w:vAlign w:val="center"/>
                </w:tcPr>
                <w:p>
                  <w:pPr>
                    <w:pStyle w:val="56"/>
                    <w:rPr>
                      <w:kern w:val="2"/>
                      <w:sz w:val="21"/>
                      <w:szCs w:val="21"/>
                    </w:rPr>
                  </w:pPr>
                  <w:r>
                    <w:rPr>
                      <w:b/>
                      <w:kern w:val="2"/>
                      <w:sz w:val="21"/>
                      <w:szCs w:val="21"/>
                    </w:rPr>
                    <w:t>固废名称</w:t>
                  </w:r>
                </w:p>
              </w:tc>
              <w:tc>
                <w:tcPr>
                  <w:tcW w:w="970" w:type="pct"/>
                  <w:tcBorders>
                    <w:tl2br w:val="nil"/>
                    <w:tr2bl w:val="nil"/>
                  </w:tcBorders>
                  <w:vAlign w:val="center"/>
                </w:tcPr>
                <w:p>
                  <w:pPr>
                    <w:pStyle w:val="56"/>
                    <w:rPr>
                      <w:kern w:val="2"/>
                      <w:sz w:val="21"/>
                      <w:szCs w:val="21"/>
                    </w:rPr>
                  </w:pPr>
                  <w:r>
                    <w:rPr>
                      <w:b/>
                      <w:kern w:val="2"/>
                      <w:sz w:val="21"/>
                      <w:szCs w:val="21"/>
                    </w:rPr>
                    <w:t>废物类别</w:t>
                  </w:r>
                </w:p>
              </w:tc>
              <w:tc>
                <w:tcPr>
                  <w:tcW w:w="905" w:type="pct"/>
                  <w:tcBorders>
                    <w:tl2br w:val="nil"/>
                    <w:tr2bl w:val="nil"/>
                  </w:tcBorders>
                  <w:vAlign w:val="center"/>
                </w:tcPr>
                <w:p>
                  <w:pPr>
                    <w:pStyle w:val="56"/>
                    <w:rPr>
                      <w:b/>
                      <w:kern w:val="2"/>
                      <w:sz w:val="21"/>
                      <w:szCs w:val="21"/>
                    </w:rPr>
                  </w:pPr>
                  <w:r>
                    <w:rPr>
                      <w:b/>
                      <w:kern w:val="2"/>
                      <w:sz w:val="21"/>
                      <w:szCs w:val="21"/>
                    </w:rPr>
                    <w:t>产生量</w:t>
                  </w:r>
                </w:p>
                <w:p>
                  <w:pPr>
                    <w:pStyle w:val="56"/>
                    <w:rPr>
                      <w:kern w:val="2"/>
                      <w:sz w:val="21"/>
                      <w:szCs w:val="21"/>
                    </w:rPr>
                  </w:pPr>
                  <w:r>
                    <w:rPr>
                      <w:b/>
                      <w:kern w:val="2"/>
                      <w:sz w:val="21"/>
                      <w:szCs w:val="21"/>
                    </w:rPr>
                    <w:t>（t/a）</w:t>
                  </w:r>
                </w:p>
              </w:tc>
              <w:tc>
                <w:tcPr>
                  <w:tcW w:w="1456" w:type="pct"/>
                  <w:tcBorders>
                    <w:top w:val="single" w:color="auto" w:sz="12" w:space="0"/>
                    <w:bottom w:val="single" w:color="auto" w:sz="4" w:space="0"/>
                    <w:right w:val="single" w:color="auto" w:sz="12" w:space="0"/>
                    <w:tl2br w:val="nil"/>
                    <w:tr2bl w:val="nil"/>
                  </w:tcBorders>
                  <w:vAlign w:val="center"/>
                </w:tcPr>
                <w:p>
                  <w:pPr>
                    <w:pStyle w:val="56"/>
                    <w:rPr>
                      <w:kern w:val="2"/>
                      <w:sz w:val="21"/>
                      <w:szCs w:val="21"/>
                    </w:rPr>
                  </w:pPr>
                  <w:r>
                    <w:rPr>
                      <w:b/>
                      <w:kern w:val="2"/>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2" w:type="pct"/>
                  <w:tcBorders>
                    <w:top w:val="single" w:color="auto" w:sz="4" w:space="0"/>
                    <w:left w:val="single" w:color="auto" w:sz="12" w:space="0"/>
                    <w:bottom w:val="single" w:color="auto" w:sz="4" w:space="0"/>
                    <w:tl2br w:val="nil"/>
                    <w:tr2bl w:val="nil"/>
                  </w:tcBorders>
                  <w:vAlign w:val="center"/>
                </w:tcPr>
                <w:p>
                  <w:pPr>
                    <w:pStyle w:val="56"/>
                    <w:rPr>
                      <w:kern w:val="2"/>
                      <w:sz w:val="21"/>
                      <w:szCs w:val="21"/>
                    </w:rPr>
                  </w:pPr>
                  <w:r>
                    <w:rPr>
                      <w:rFonts w:hint="eastAsia"/>
                      <w:kern w:val="2"/>
                      <w:sz w:val="21"/>
                      <w:szCs w:val="21"/>
                    </w:rPr>
                    <w:t>1</w:t>
                  </w:r>
                </w:p>
              </w:tc>
              <w:tc>
                <w:tcPr>
                  <w:tcW w:w="984" w:type="pct"/>
                  <w:tcBorders>
                    <w:tl2br w:val="nil"/>
                    <w:tr2bl w:val="nil"/>
                  </w:tcBorders>
                  <w:vAlign w:val="center"/>
                </w:tcPr>
                <w:p>
                  <w:pPr>
                    <w:pStyle w:val="56"/>
                    <w:rPr>
                      <w:kern w:val="2"/>
                      <w:sz w:val="21"/>
                      <w:szCs w:val="21"/>
                    </w:rPr>
                  </w:pPr>
                  <w:r>
                    <w:rPr>
                      <w:rFonts w:hint="eastAsia"/>
                      <w:kern w:val="2"/>
                      <w:sz w:val="21"/>
                      <w:szCs w:val="21"/>
                    </w:rPr>
                    <w:t>废旧光伏支架</w:t>
                  </w:r>
                </w:p>
              </w:tc>
              <w:tc>
                <w:tcPr>
                  <w:tcW w:w="970" w:type="pct"/>
                  <w:vMerge w:val="restart"/>
                  <w:tcBorders>
                    <w:tl2br w:val="nil"/>
                    <w:tr2bl w:val="nil"/>
                  </w:tcBorders>
                  <w:vAlign w:val="center"/>
                </w:tcPr>
                <w:p>
                  <w:pPr>
                    <w:pStyle w:val="56"/>
                    <w:rPr>
                      <w:kern w:val="2"/>
                      <w:sz w:val="21"/>
                      <w:szCs w:val="21"/>
                    </w:rPr>
                  </w:pPr>
                  <w:r>
                    <w:rPr>
                      <w:rFonts w:hint="eastAsia"/>
                      <w:kern w:val="2"/>
                      <w:sz w:val="21"/>
                      <w:szCs w:val="21"/>
                    </w:rPr>
                    <w:t>一般固废</w:t>
                  </w:r>
                </w:p>
              </w:tc>
              <w:tc>
                <w:tcPr>
                  <w:tcW w:w="905" w:type="pct"/>
                  <w:tcBorders>
                    <w:tl2br w:val="nil"/>
                    <w:tr2bl w:val="nil"/>
                  </w:tcBorders>
                  <w:vAlign w:val="center"/>
                </w:tcPr>
                <w:p>
                  <w:pPr>
                    <w:pStyle w:val="56"/>
                    <w:rPr>
                      <w:kern w:val="2"/>
                      <w:sz w:val="21"/>
                      <w:szCs w:val="21"/>
                    </w:rPr>
                  </w:pPr>
                  <w:r>
                    <w:rPr>
                      <w:kern w:val="2"/>
                      <w:sz w:val="21"/>
                      <w:szCs w:val="21"/>
                    </w:rPr>
                    <w:t>0.15</w:t>
                  </w:r>
                </w:p>
              </w:tc>
              <w:tc>
                <w:tcPr>
                  <w:tcW w:w="1456" w:type="pct"/>
                  <w:vMerge w:val="restart"/>
                  <w:tcBorders>
                    <w:top w:val="single" w:color="auto" w:sz="4" w:space="0"/>
                    <w:bottom w:val="single" w:color="auto" w:sz="12" w:space="0"/>
                    <w:right w:val="single" w:color="auto" w:sz="12" w:space="0"/>
                    <w:tl2br w:val="nil"/>
                    <w:tr2bl w:val="nil"/>
                  </w:tcBorders>
                  <w:vAlign w:val="center"/>
                </w:tcPr>
                <w:p>
                  <w:pPr>
                    <w:pStyle w:val="56"/>
                    <w:rPr>
                      <w:kern w:val="2"/>
                      <w:sz w:val="21"/>
                      <w:szCs w:val="21"/>
                    </w:rPr>
                  </w:pPr>
                  <w:r>
                    <w:rPr>
                      <w:rFonts w:hint="eastAsia"/>
                      <w:kern w:val="2"/>
                      <w:sz w:val="21"/>
                      <w:szCs w:val="21"/>
                    </w:rPr>
                    <w:t>收集至一般固废库，由厂家定期回收处理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82" w:type="pct"/>
                  <w:tcBorders>
                    <w:top w:val="single" w:color="auto" w:sz="4" w:space="0"/>
                    <w:left w:val="single" w:color="auto" w:sz="12" w:space="0"/>
                    <w:bottom w:val="single" w:color="auto" w:sz="12" w:space="0"/>
                    <w:tl2br w:val="nil"/>
                    <w:tr2bl w:val="nil"/>
                  </w:tcBorders>
                  <w:vAlign w:val="center"/>
                </w:tcPr>
                <w:p>
                  <w:pPr>
                    <w:pStyle w:val="56"/>
                    <w:rPr>
                      <w:sz w:val="21"/>
                      <w:szCs w:val="21"/>
                    </w:rPr>
                  </w:pPr>
                  <w:r>
                    <w:rPr>
                      <w:rFonts w:hint="eastAsia"/>
                      <w:sz w:val="21"/>
                      <w:szCs w:val="21"/>
                    </w:rPr>
                    <w:t>2</w:t>
                  </w:r>
                </w:p>
              </w:tc>
              <w:tc>
                <w:tcPr>
                  <w:tcW w:w="984" w:type="pct"/>
                  <w:tcBorders>
                    <w:tl2br w:val="nil"/>
                    <w:tr2bl w:val="nil"/>
                  </w:tcBorders>
                  <w:vAlign w:val="center"/>
                </w:tcPr>
                <w:p>
                  <w:pPr>
                    <w:pStyle w:val="56"/>
                    <w:rPr>
                      <w:kern w:val="2"/>
                      <w:sz w:val="21"/>
                      <w:szCs w:val="21"/>
                    </w:rPr>
                  </w:pPr>
                  <w:r>
                    <w:rPr>
                      <w:rFonts w:hint="eastAsia"/>
                      <w:sz w:val="21"/>
                      <w:szCs w:val="21"/>
                    </w:rPr>
                    <w:t>磷酸铁锂电池</w:t>
                  </w:r>
                </w:p>
              </w:tc>
              <w:tc>
                <w:tcPr>
                  <w:tcW w:w="970" w:type="pct"/>
                  <w:vMerge w:val="continue"/>
                  <w:tcBorders>
                    <w:tl2br w:val="nil"/>
                    <w:tr2bl w:val="nil"/>
                  </w:tcBorders>
                  <w:vAlign w:val="center"/>
                </w:tcPr>
                <w:p>
                  <w:pPr>
                    <w:pStyle w:val="56"/>
                    <w:rPr>
                      <w:kern w:val="2"/>
                      <w:sz w:val="21"/>
                      <w:szCs w:val="21"/>
                    </w:rPr>
                  </w:pPr>
                </w:p>
              </w:tc>
              <w:tc>
                <w:tcPr>
                  <w:tcW w:w="905" w:type="pct"/>
                  <w:tcBorders>
                    <w:tl2br w:val="nil"/>
                    <w:tr2bl w:val="nil"/>
                  </w:tcBorders>
                  <w:vAlign w:val="center"/>
                </w:tcPr>
                <w:p>
                  <w:pPr>
                    <w:pStyle w:val="56"/>
                    <w:rPr>
                      <w:kern w:val="2"/>
                      <w:sz w:val="21"/>
                      <w:szCs w:val="21"/>
                    </w:rPr>
                  </w:pPr>
                  <w:r>
                    <w:rPr>
                      <w:rFonts w:hint="eastAsia"/>
                      <w:kern w:val="2"/>
                      <w:sz w:val="21"/>
                      <w:szCs w:val="21"/>
                    </w:rPr>
                    <w:t>0.</w:t>
                  </w:r>
                  <w:r>
                    <w:rPr>
                      <w:kern w:val="2"/>
                      <w:sz w:val="21"/>
                      <w:szCs w:val="21"/>
                    </w:rPr>
                    <w:t>07</w:t>
                  </w:r>
                </w:p>
              </w:tc>
              <w:tc>
                <w:tcPr>
                  <w:tcW w:w="1456" w:type="pct"/>
                  <w:vMerge w:val="continue"/>
                  <w:tcBorders>
                    <w:top w:val="single" w:color="auto" w:sz="4" w:space="0"/>
                    <w:bottom w:val="single" w:color="auto" w:sz="12" w:space="0"/>
                    <w:right w:val="single" w:color="auto" w:sz="12" w:space="0"/>
                    <w:tl2br w:val="nil"/>
                    <w:tr2bl w:val="nil"/>
                  </w:tcBorders>
                  <w:vAlign w:val="center"/>
                </w:tcPr>
                <w:p>
                  <w:pPr>
                    <w:pStyle w:val="56"/>
                    <w:rPr>
                      <w:kern w:val="2"/>
                      <w:sz w:val="21"/>
                      <w:szCs w:val="21"/>
                    </w:rPr>
                  </w:pPr>
                </w:p>
              </w:tc>
            </w:tr>
          </w:tbl>
          <w:p>
            <w:pPr>
              <w:pStyle w:val="46"/>
              <w:ind w:firstLine="0" w:firstLineChars="0"/>
              <w:rPr>
                <w:rFonts w:cs="Times New Roman"/>
                <w:b/>
                <w:snapToGrid/>
                <w:szCs w:val="24"/>
              </w:rPr>
            </w:pPr>
          </w:p>
          <w:p>
            <w:pPr>
              <w:pStyle w:val="46"/>
              <w:ind w:firstLine="0" w:firstLineChars="0"/>
              <w:rPr>
                <w:rFonts w:ascii="宋体" w:hAnsi="宋体" w:cs="宋体"/>
              </w:rPr>
            </w:pPr>
            <w:r>
              <w:rPr>
                <w:rFonts w:hint="eastAsia" w:cs="Times New Roman"/>
                <w:b/>
                <w:snapToGrid/>
                <w:szCs w:val="24"/>
              </w:rPr>
              <w:t>表4.</w:t>
            </w:r>
            <w:r>
              <w:rPr>
                <w:rFonts w:cs="Times New Roman"/>
                <w:b/>
                <w:snapToGrid/>
                <w:szCs w:val="24"/>
              </w:rPr>
              <w:t>6</w:t>
            </w:r>
            <w:r>
              <w:rPr>
                <w:rFonts w:hint="eastAsia" w:cs="Times New Roman"/>
                <w:b/>
                <w:snapToGrid/>
                <w:szCs w:val="24"/>
              </w:rPr>
              <w:t xml:space="preserve">                  本项目危险废物汇总表</w:t>
            </w:r>
          </w:p>
          <w:tbl>
            <w:tblPr>
              <w:tblStyle w:val="17"/>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29"/>
              <w:gridCol w:w="402"/>
              <w:gridCol w:w="1499"/>
              <w:gridCol w:w="767"/>
              <w:gridCol w:w="643"/>
              <w:gridCol w:w="1134"/>
              <w:gridCol w:w="1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19" w:type="dxa"/>
                  <w:tcBorders>
                    <w:top w:val="single" w:color="auto" w:sz="12" w:space="0"/>
                    <w:left w:val="single" w:color="auto" w:sz="12" w:space="0"/>
                    <w:bottom w:val="single" w:color="auto" w:sz="4" w:space="0"/>
                    <w:tl2br w:val="nil"/>
                    <w:tr2bl w:val="nil"/>
                  </w:tcBorders>
                  <w:vAlign w:val="center"/>
                </w:tcPr>
                <w:p>
                  <w:pPr>
                    <w:jc w:val="center"/>
                    <w:rPr>
                      <w:szCs w:val="21"/>
                    </w:rPr>
                  </w:pPr>
                  <w:r>
                    <w:rPr>
                      <w:b/>
                      <w:bCs/>
                      <w:szCs w:val="21"/>
                    </w:rPr>
                    <w:t>固废名称</w:t>
                  </w:r>
                </w:p>
              </w:tc>
              <w:tc>
                <w:tcPr>
                  <w:tcW w:w="1038" w:type="dxa"/>
                  <w:tcBorders>
                    <w:tl2br w:val="nil"/>
                    <w:tr2bl w:val="nil"/>
                  </w:tcBorders>
                  <w:vAlign w:val="center"/>
                </w:tcPr>
                <w:p>
                  <w:pPr>
                    <w:jc w:val="center"/>
                    <w:rPr>
                      <w:szCs w:val="21"/>
                    </w:rPr>
                  </w:pPr>
                  <w:r>
                    <w:rPr>
                      <w:b/>
                      <w:bCs/>
                      <w:szCs w:val="21"/>
                    </w:rPr>
                    <w:t>产生工序</w:t>
                  </w:r>
                </w:p>
              </w:tc>
              <w:tc>
                <w:tcPr>
                  <w:tcW w:w="427" w:type="dxa"/>
                  <w:tcBorders>
                    <w:tl2br w:val="nil"/>
                    <w:tr2bl w:val="nil"/>
                  </w:tcBorders>
                  <w:vAlign w:val="center"/>
                </w:tcPr>
                <w:p>
                  <w:pPr>
                    <w:jc w:val="center"/>
                    <w:rPr>
                      <w:szCs w:val="21"/>
                    </w:rPr>
                  </w:pPr>
                  <w:r>
                    <w:rPr>
                      <w:b/>
                      <w:bCs/>
                      <w:szCs w:val="21"/>
                    </w:rPr>
                    <w:t>形态</w:t>
                  </w:r>
                </w:p>
              </w:tc>
              <w:tc>
                <w:tcPr>
                  <w:tcW w:w="1700" w:type="dxa"/>
                  <w:tcBorders>
                    <w:tl2br w:val="nil"/>
                    <w:tr2bl w:val="nil"/>
                  </w:tcBorders>
                  <w:vAlign w:val="center"/>
                </w:tcPr>
                <w:p>
                  <w:pPr>
                    <w:jc w:val="center"/>
                    <w:rPr>
                      <w:szCs w:val="21"/>
                    </w:rPr>
                  </w:pPr>
                  <w:r>
                    <w:rPr>
                      <w:b/>
                      <w:bCs/>
                      <w:szCs w:val="21"/>
                    </w:rPr>
                    <w:t>类别及编号</w:t>
                  </w:r>
                </w:p>
              </w:tc>
              <w:tc>
                <w:tcPr>
                  <w:tcW w:w="851" w:type="dxa"/>
                  <w:tcBorders>
                    <w:tl2br w:val="nil"/>
                    <w:tr2bl w:val="nil"/>
                  </w:tcBorders>
                  <w:vAlign w:val="center"/>
                </w:tcPr>
                <w:p>
                  <w:pPr>
                    <w:jc w:val="center"/>
                    <w:rPr>
                      <w:szCs w:val="21"/>
                    </w:rPr>
                  </w:pPr>
                  <w:r>
                    <w:rPr>
                      <w:b/>
                      <w:bCs/>
                      <w:szCs w:val="21"/>
                    </w:rPr>
                    <w:t>行业来源</w:t>
                  </w:r>
                </w:p>
              </w:tc>
              <w:tc>
                <w:tcPr>
                  <w:tcW w:w="708" w:type="dxa"/>
                  <w:tcBorders>
                    <w:tl2br w:val="nil"/>
                    <w:tr2bl w:val="nil"/>
                  </w:tcBorders>
                  <w:vAlign w:val="center"/>
                </w:tcPr>
                <w:p>
                  <w:pPr>
                    <w:jc w:val="center"/>
                    <w:rPr>
                      <w:szCs w:val="21"/>
                    </w:rPr>
                  </w:pPr>
                  <w:r>
                    <w:rPr>
                      <w:b/>
                      <w:bCs/>
                      <w:szCs w:val="21"/>
                    </w:rPr>
                    <w:t>危险特性</w:t>
                  </w:r>
                </w:p>
              </w:tc>
              <w:tc>
                <w:tcPr>
                  <w:tcW w:w="1277" w:type="dxa"/>
                  <w:tcBorders>
                    <w:tl2br w:val="nil"/>
                    <w:tr2bl w:val="nil"/>
                  </w:tcBorders>
                  <w:vAlign w:val="center"/>
                </w:tcPr>
                <w:p>
                  <w:pPr>
                    <w:jc w:val="center"/>
                    <w:rPr>
                      <w:szCs w:val="21"/>
                    </w:rPr>
                  </w:pPr>
                  <w:r>
                    <w:rPr>
                      <w:b/>
                      <w:bCs/>
                      <w:szCs w:val="21"/>
                    </w:rPr>
                    <w:t>产生量</w:t>
                  </w:r>
                </w:p>
              </w:tc>
              <w:tc>
                <w:tcPr>
                  <w:tcW w:w="1898" w:type="dxa"/>
                  <w:tcBorders>
                    <w:top w:val="single" w:color="auto" w:sz="12" w:space="0"/>
                    <w:bottom w:val="single" w:color="auto" w:sz="4" w:space="0"/>
                    <w:right w:val="single" w:color="auto" w:sz="12" w:space="0"/>
                    <w:tl2br w:val="nil"/>
                    <w:tr2bl w:val="nil"/>
                  </w:tcBorders>
                  <w:vAlign w:val="center"/>
                </w:tcPr>
                <w:p>
                  <w:pPr>
                    <w:jc w:val="center"/>
                    <w:rPr>
                      <w:szCs w:val="21"/>
                    </w:rPr>
                  </w:pPr>
                  <w:r>
                    <w:rPr>
                      <w:b/>
                      <w:bCs/>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19" w:type="dxa"/>
                  <w:tcBorders>
                    <w:top w:val="single" w:color="auto" w:sz="4" w:space="0"/>
                    <w:left w:val="single" w:color="auto" w:sz="12" w:space="0"/>
                    <w:bottom w:val="single" w:color="auto" w:sz="4" w:space="0"/>
                    <w:tl2br w:val="nil"/>
                    <w:tr2bl w:val="nil"/>
                  </w:tcBorders>
                  <w:vAlign w:val="center"/>
                </w:tcPr>
                <w:p>
                  <w:pPr>
                    <w:jc w:val="center"/>
                    <w:rPr>
                      <w:szCs w:val="21"/>
                    </w:rPr>
                  </w:pPr>
                  <w:r>
                    <w:rPr>
                      <w:rFonts w:hint="eastAsia"/>
                      <w:szCs w:val="21"/>
                    </w:rPr>
                    <w:t>废旧铅酸电池</w:t>
                  </w:r>
                </w:p>
              </w:tc>
              <w:tc>
                <w:tcPr>
                  <w:tcW w:w="1038" w:type="dxa"/>
                  <w:tcBorders>
                    <w:tl2br w:val="nil"/>
                    <w:tr2bl w:val="nil"/>
                  </w:tcBorders>
                  <w:vAlign w:val="center"/>
                </w:tcPr>
                <w:p>
                  <w:pPr>
                    <w:jc w:val="center"/>
                    <w:rPr>
                      <w:szCs w:val="21"/>
                    </w:rPr>
                  </w:pPr>
                  <w:r>
                    <w:rPr>
                      <w:rFonts w:hint="eastAsia"/>
                      <w:szCs w:val="21"/>
                    </w:rPr>
                    <w:t>升压站内直流区域</w:t>
                  </w:r>
                </w:p>
              </w:tc>
              <w:tc>
                <w:tcPr>
                  <w:tcW w:w="427" w:type="dxa"/>
                  <w:tcBorders>
                    <w:tl2br w:val="nil"/>
                    <w:tr2bl w:val="nil"/>
                  </w:tcBorders>
                  <w:vAlign w:val="center"/>
                </w:tcPr>
                <w:p>
                  <w:pPr>
                    <w:jc w:val="center"/>
                    <w:rPr>
                      <w:szCs w:val="21"/>
                    </w:rPr>
                  </w:pPr>
                  <w:r>
                    <w:rPr>
                      <w:rFonts w:hint="eastAsia"/>
                      <w:szCs w:val="21"/>
                    </w:rPr>
                    <w:t>固态</w:t>
                  </w:r>
                </w:p>
              </w:tc>
              <w:tc>
                <w:tcPr>
                  <w:tcW w:w="1700" w:type="dxa"/>
                  <w:tcBorders>
                    <w:tl2br w:val="nil"/>
                    <w:tr2bl w:val="nil"/>
                  </w:tcBorders>
                  <w:vAlign w:val="center"/>
                </w:tcPr>
                <w:p>
                  <w:pPr>
                    <w:jc w:val="center"/>
                    <w:rPr>
                      <w:szCs w:val="21"/>
                    </w:rPr>
                  </w:pPr>
                  <w:r>
                    <w:rPr>
                      <w:szCs w:val="21"/>
                    </w:rPr>
                    <w:t>类别HW</w:t>
                  </w:r>
                  <w:r>
                    <w:rPr>
                      <w:rFonts w:hint="eastAsia"/>
                      <w:szCs w:val="21"/>
                    </w:rPr>
                    <w:t>31</w:t>
                  </w:r>
                </w:p>
                <w:p>
                  <w:pPr>
                    <w:jc w:val="center"/>
                    <w:rPr>
                      <w:szCs w:val="21"/>
                    </w:rPr>
                  </w:pPr>
                  <w:r>
                    <w:rPr>
                      <w:szCs w:val="21"/>
                    </w:rPr>
                    <w:t>编号900-</w:t>
                  </w:r>
                  <w:r>
                    <w:rPr>
                      <w:rFonts w:hint="eastAsia"/>
                      <w:szCs w:val="21"/>
                    </w:rPr>
                    <w:t>052</w:t>
                  </w:r>
                  <w:r>
                    <w:rPr>
                      <w:szCs w:val="21"/>
                    </w:rPr>
                    <w:t>-</w:t>
                  </w:r>
                  <w:r>
                    <w:rPr>
                      <w:rFonts w:hint="eastAsia"/>
                      <w:szCs w:val="21"/>
                    </w:rPr>
                    <w:t>31</w:t>
                  </w:r>
                </w:p>
              </w:tc>
              <w:tc>
                <w:tcPr>
                  <w:tcW w:w="851" w:type="dxa"/>
                  <w:tcBorders>
                    <w:tl2br w:val="nil"/>
                    <w:tr2bl w:val="nil"/>
                  </w:tcBorders>
                  <w:vAlign w:val="center"/>
                </w:tcPr>
                <w:p>
                  <w:pPr>
                    <w:jc w:val="center"/>
                    <w:rPr>
                      <w:szCs w:val="21"/>
                    </w:rPr>
                  </w:pPr>
                  <w:r>
                    <w:rPr>
                      <w:szCs w:val="21"/>
                    </w:rPr>
                    <w:t>非特定行业</w:t>
                  </w:r>
                </w:p>
              </w:tc>
              <w:tc>
                <w:tcPr>
                  <w:tcW w:w="708" w:type="dxa"/>
                  <w:tcBorders>
                    <w:tl2br w:val="nil"/>
                    <w:tr2bl w:val="nil"/>
                  </w:tcBorders>
                  <w:vAlign w:val="center"/>
                </w:tcPr>
                <w:p>
                  <w:pPr>
                    <w:jc w:val="center"/>
                    <w:rPr>
                      <w:szCs w:val="21"/>
                    </w:rPr>
                  </w:pPr>
                  <w:r>
                    <w:rPr>
                      <w:szCs w:val="21"/>
                    </w:rPr>
                    <w:t>T，</w:t>
                  </w:r>
                  <w:r>
                    <w:rPr>
                      <w:rFonts w:hint="eastAsia"/>
                      <w:szCs w:val="21"/>
                    </w:rPr>
                    <w:t>C</w:t>
                  </w:r>
                </w:p>
              </w:tc>
              <w:tc>
                <w:tcPr>
                  <w:tcW w:w="1277" w:type="dxa"/>
                  <w:tcBorders>
                    <w:tl2br w:val="nil"/>
                    <w:tr2bl w:val="nil"/>
                  </w:tcBorders>
                  <w:vAlign w:val="center"/>
                </w:tcPr>
                <w:p>
                  <w:pPr>
                    <w:jc w:val="center"/>
                    <w:rPr>
                      <w:szCs w:val="21"/>
                    </w:rPr>
                  </w:pPr>
                  <w:r>
                    <w:rPr>
                      <w:rFonts w:hint="eastAsia"/>
                      <w:szCs w:val="21"/>
                    </w:rPr>
                    <w:t>0.</w:t>
                  </w:r>
                  <w:r>
                    <w:rPr>
                      <w:szCs w:val="21"/>
                    </w:rPr>
                    <w:t>15t/a</w:t>
                  </w:r>
                </w:p>
              </w:tc>
              <w:tc>
                <w:tcPr>
                  <w:tcW w:w="1898" w:type="dxa"/>
                  <w:tcBorders>
                    <w:top w:val="single" w:color="auto" w:sz="4" w:space="0"/>
                    <w:bottom w:val="single" w:color="auto" w:sz="4" w:space="0"/>
                    <w:right w:val="single" w:color="auto" w:sz="12" w:space="0"/>
                    <w:tl2br w:val="nil"/>
                    <w:tr2bl w:val="nil"/>
                  </w:tcBorders>
                  <w:vAlign w:val="center"/>
                </w:tcPr>
                <w:p>
                  <w:pPr>
                    <w:jc w:val="center"/>
                    <w:rPr>
                      <w:szCs w:val="21"/>
                    </w:rPr>
                  </w:pPr>
                  <w:r>
                    <w:rPr>
                      <w:rFonts w:hint="eastAsia"/>
                      <w:szCs w:val="21"/>
                    </w:rPr>
                    <w:t>有资质单位回收处置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919" w:type="dxa"/>
                  <w:tcBorders>
                    <w:top w:val="single" w:color="auto" w:sz="4" w:space="0"/>
                    <w:left w:val="single" w:color="auto" w:sz="12" w:space="0"/>
                    <w:bottom w:val="single" w:color="auto" w:sz="4" w:space="0"/>
                    <w:tl2br w:val="nil"/>
                    <w:tr2bl w:val="nil"/>
                  </w:tcBorders>
                  <w:vAlign w:val="center"/>
                </w:tcPr>
                <w:p>
                  <w:pPr>
                    <w:jc w:val="center"/>
                    <w:rPr>
                      <w:szCs w:val="21"/>
                    </w:rPr>
                  </w:pPr>
                  <w:r>
                    <w:rPr>
                      <w:rFonts w:hint="eastAsia"/>
                      <w:szCs w:val="21"/>
                    </w:rPr>
                    <w:t>检修废油</w:t>
                  </w:r>
                </w:p>
              </w:tc>
              <w:tc>
                <w:tcPr>
                  <w:tcW w:w="1038" w:type="dxa"/>
                  <w:tcBorders>
                    <w:tl2br w:val="nil"/>
                    <w:tr2bl w:val="nil"/>
                  </w:tcBorders>
                  <w:vAlign w:val="center"/>
                </w:tcPr>
                <w:p>
                  <w:pPr>
                    <w:jc w:val="center"/>
                    <w:rPr>
                      <w:szCs w:val="21"/>
                    </w:rPr>
                  </w:pPr>
                  <w:r>
                    <w:rPr>
                      <w:rFonts w:hint="eastAsia"/>
                      <w:szCs w:val="21"/>
                    </w:rPr>
                    <w:t>箱变检修</w:t>
                  </w:r>
                </w:p>
              </w:tc>
              <w:tc>
                <w:tcPr>
                  <w:tcW w:w="427" w:type="dxa"/>
                  <w:tcBorders>
                    <w:tl2br w:val="nil"/>
                    <w:tr2bl w:val="nil"/>
                  </w:tcBorders>
                  <w:vAlign w:val="center"/>
                </w:tcPr>
                <w:p>
                  <w:pPr>
                    <w:jc w:val="center"/>
                    <w:rPr>
                      <w:szCs w:val="21"/>
                    </w:rPr>
                  </w:pPr>
                  <w:r>
                    <w:rPr>
                      <w:rFonts w:hint="eastAsia"/>
                      <w:szCs w:val="21"/>
                    </w:rPr>
                    <w:t>固态</w:t>
                  </w:r>
                </w:p>
              </w:tc>
              <w:tc>
                <w:tcPr>
                  <w:tcW w:w="1700" w:type="dxa"/>
                  <w:tcBorders>
                    <w:tl2br w:val="nil"/>
                    <w:tr2bl w:val="nil"/>
                  </w:tcBorders>
                  <w:vAlign w:val="center"/>
                </w:tcPr>
                <w:p>
                  <w:pPr>
                    <w:jc w:val="center"/>
                    <w:rPr>
                      <w:szCs w:val="21"/>
                    </w:rPr>
                  </w:pPr>
                  <w:r>
                    <w:rPr>
                      <w:szCs w:val="21"/>
                    </w:rPr>
                    <w:t>类别HW</w:t>
                  </w:r>
                  <w:r>
                    <w:rPr>
                      <w:rFonts w:hint="eastAsia"/>
                      <w:szCs w:val="21"/>
                    </w:rPr>
                    <w:t>08</w:t>
                  </w:r>
                </w:p>
                <w:p>
                  <w:pPr>
                    <w:jc w:val="center"/>
                    <w:rPr>
                      <w:szCs w:val="21"/>
                    </w:rPr>
                  </w:pPr>
                  <w:r>
                    <w:rPr>
                      <w:szCs w:val="21"/>
                    </w:rPr>
                    <w:t>编号900-</w:t>
                  </w:r>
                  <w:r>
                    <w:rPr>
                      <w:rFonts w:hint="eastAsia"/>
                      <w:szCs w:val="21"/>
                    </w:rPr>
                    <w:t>249</w:t>
                  </w:r>
                  <w:r>
                    <w:rPr>
                      <w:szCs w:val="21"/>
                    </w:rPr>
                    <w:t>-08</w:t>
                  </w:r>
                </w:p>
              </w:tc>
              <w:tc>
                <w:tcPr>
                  <w:tcW w:w="851" w:type="dxa"/>
                  <w:tcBorders>
                    <w:tl2br w:val="nil"/>
                    <w:tr2bl w:val="nil"/>
                  </w:tcBorders>
                  <w:vAlign w:val="center"/>
                </w:tcPr>
                <w:p>
                  <w:pPr>
                    <w:jc w:val="center"/>
                    <w:rPr>
                      <w:szCs w:val="21"/>
                    </w:rPr>
                  </w:pPr>
                  <w:r>
                    <w:rPr>
                      <w:szCs w:val="21"/>
                    </w:rPr>
                    <w:t>非特定行业</w:t>
                  </w:r>
                </w:p>
              </w:tc>
              <w:tc>
                <w:tcPr>
                  <w:tcW w:w="708" w:type="dxa"/>
                  <w:tcBorders>
                    <w:tl2br w:val="nil"/>
                    <w:tr2bl w:val="nil"/>
                  </w:tcBorders>
                  <w:vAlign w:val="center"/>
                </w:tcPr>
                <w:p>
                  <w:pPr>
                    <w:jc w:val="center"/>
                    <w:rPr>
                      <w:szCs w:val="21"/>
                    </w:rPr>
                  </w:pPr>
                  <w:r>
                    <w:rPr>
                      <w:szCs w:val="21"/>
                    </w:rPr>
                    <w:t>T，I</w:t>
                  </w:r>
                </w:p>
              </w:tc>
              <w:tc>
                <w:tcPr>
                  <w:tcW w:w="1277" w:type="dxa"/>
                  <w:tcBorders>
                    <w:tl2br w:val="nil"/>
                    <w:tr2bl w:val="nil"/>
                  </w:tcBorders>
                  <w:vAlign w:val="center"/>
                </w:tcPr>
                <w:p>
                  <w:pPr>
                    <w:jc w:val="center"/>
                    <w:rPr>
                      <w:szCs w:val="21"/>
                    </w:rPr>
                  </w:pPr>
                  <w:r>
                    <w:rPr>
                      <w:rFonts w:hint="eastAsia"/>
                      <w:szCs w:val="21"/>
                    </w:rPr>
                    <w:t>0.0</w:t>
                  </w:r>
                  <w:r>
                    <w:rPr>
                      <w:szCs w:val="21"/>
                    </w:rPr>
                    <w:t>1</w:t>
                  </w:r>
                </w:p>
              </w:tc>
              <w:tc>
                <w:tcPr>
                  <w:tcW w:w="1898" w:type="dxa"/>
                  <w:tcBorders>
                    <w:top w:val="single" w:color="auto" w:sz="4" w:space="0"/>
                    <w:bottom w:val="single" w:color="auto" w:sz="4" w:space="0"/>
                    <w:right w:val="single" w:color="auto" w:sz="12" w:space="0"/>
                    <w:tl2br w:val="nil"/>
                    <w:tr2bl w:val="nil"/>
                  </w:tcBorders>
                  <w:vAlign w:val="center"/>
                </w:tcPr>
                <w:p>
                  <w:pPr>
                    <w:jc w:val="center"/>
                    <w:rPr>
                      <w:szCs w:val="21"/>
                    </w:rPr>
                  </w:pPr>
                  <w:r>
                    <w:rPr>
                      <w:szCs w:val="21"/>
                    </w:rPr>
                    <w:t>收集至危废间内，定期交由由有资质单位进行处置。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919" w:type="dxa"/>
                  <w:tcBorders>
                    <w:top w:val="single" w:color="auto" w:sz="4" w:space="0"/>
                    <w:left w:val="single" w:color="auto" w:sz="12" w:space="0"/>
                    <w:bottom w:val="single" w:color="auto" w:sz="12" w:space="0"/>
                    <w:tl2br w:val="nil"/>
                    <w:tr2bl w:val="nil"/>
                  </w:tcBorders>
                  <w:vAlign w:val="center"/>
                </w:tcPr>
                <w:p>
                  <w:pPr>
                    <w:jc w:val="center"/>
                    <w:rPr>
                      <w:szCs w:val="21"/>
                    </w:rPr>
                  </w:pPr>
                  <w:r>
                    <w:rPr>
                      <w:rFonts w:hint="eastAsia"/>
                      <w:szCs w:val="21"/>
                    </w:rPr>
                    <w:t>废变压器油</w:t>
                  </w:r>
                </w:p>
              </w:tc>
              <w:tc>
                <w:tcPr>
                  <w:tcW w:w="1038" w:type="dxa"/>
                  <w:tcBorders>
                    <w:tl2br w:val="nil"/>
                    <w:tr2bl w:val="nil"/>
                  </w:tcBorders>
                  <w:vAlign w:val="center"/>
                </w:tcPr>
                <w:p>
                  <w:pPr>
                    <w:jc w:val="center"/>
                    <w:rPr>
                      <w:szCs w:val="21"/>
                    </w:rPr>
                  </w:pPr>
                  <w:r>
                    <w:rPr>
                      <w:rFonts w:hint="eastAsia"/>
                      <w:szCs w:val="21"/>
                    </w:rPr>
                    <w:t>变压器事故状态下</w:t>
                  </w:r>
                </w:p>
              </w:tc>
              <w:tc>
                <w:tcPr>
                  <w:tcW w:w="427" w:type="dxa"/>
                  <w:tcBorders>
                    <w:tl2br w:val="nil"/>
                    <w:tr2bl w:val="nil"/>
                  </w:tcBorders>
                  <w:vAlign w:val="center"/>
                </w:tcPr>
                <w:p>
                  <w:pPr>
                    <w:jc w:val="center"/>
                    <w:rPr>
                      <w:szCs w:val="21"/>
                    </w:rPr>
                  </w:pPr>
                  <w:r>
                    <w:rPr>
                      <w:rFonts w:hint="eastAsia"/>
                      <w:szCs w:val="21"/>
                    </w:rPr>
                    <w:t>液态</w:t>
                  </w:r>
                </w:p>
              </w:tc>
              <w:tc>
                <w:tcPr>
                  <w:tcW w:w="1700" w:type="dxa"/>
                  <w:tcBorders>
                    <w:tl2br w:val="nil"/>
                    <w:tr2bl w:val="nil"/>
                  </w:tcBorders>
                  <w:vAlign w:val="center"/>
                </w:tcPr>
                <w:p>
                  <w:pPr>
                    <w:jc w:val="center"/>
                    <w:rPr>
                      <w:szCs w:val="21"/>
                    </w:rPr>
                  </w:pPr>
                  <w:r>
                    <w:rPr>
                      <w:szCs w:val="21"/>
                    </w:rPr>
                    <w:t>类别HW</w:t>
                  </w:r>
                  <w:r>
                    <w:rPr>
                      <w:rFonts w:hint="eastAsia"/>
                      <w:szCs w:val="21"/>
                    </w:rPr>
                    <w:t>08</w:t>
                  </w:r>
                </w:p>
                <w:p>
                  <w:pPr>
                    <w:jc w:val="center"/>
                    <w:rPr>
                      <w:szCs w:val="21"/>
                    </w:rPr>
                  </w:pPr>
                  <w:r>
                    <w:rPr>
                      <w:szCs w:val="21"/>
                    </w:rPr>
                    <w:t>编号900-</w:t>
                  </w:r>
                  <w:r>
                    <w:rPr>
                      <w:rFonts w:hint="eastAsia"/>
                      <w:szCs w:val="21"/>
                    </w:rPr>
                    <w:t>220</w:t>
                  </w:r>
                  <w:r>
                    <w:rPr>
                      <w:szCs w:val="21"/>
                    </w:rPr>
                    <w:t>-08</w:t>
                  </w:r>
                </w:p>
              </w:tc>
              <w:tc>
                <w:tcPr>
                  <w:tcW w:w="851" w:type="dxa"/>
                  <w:tcBorders>
                    <w:tl2br w:val="nil"/>
                    <w:tr2bl w:val="nil"/>
                  </w:tcBorders>
                  <w:vAlign w:val="center"/>
                </w:tcPr>
                <w:p>
                  <w:pPr>
                    <w:jc w:val="center"/>
                    <w:rPr>
                      <w:szCs w:val="21"/>
                    </w:rPr>
                  </w:pPr>
                  <w:r>
                    <w:rPr>
                      <w:szCs w:val="21"/>
                    </w:rPr>
                    <w:t>非特定行业</w:t>
                  </w:r>
                </w:p>
              </w:tc>
              <w:tc>
                <w:tcPr>
                  <w:tcW w:w="708" w:type="dxa"/>
                  <w:tcBorders>
                    <w:tl2br w:val="nil"/>
                    <w:tr2bl w:val="nil"/>
                  </w:tcBorders>
                  <w:vAlign w:val="center"/>
                </w:tcPr>
                <w:p>
                  <w:pPr>
                    <w:jc w:val="center"/>
                    <w:rPr>
                      <w:szCs w:val="21"/>
                    </w:rPr>
                  </w:pPr>
                  <w:r>
                    <w:rPr>
                      <w:szCs w:val="21"/>
                    </w:rPr>
                    <w:t>T，I</w:t>
                  </w:r>
                </w:p>
              </w:tc>
              <w:tc>
                <w:tcPr>
                  <w:tcW w:w="1277" w:type="dxa"/>
                  <w:tcBorders>
                    <w:tl2br w:val="nil"/>
                    <w:tr2bl w:val="nil"/>
                  </w:tcBorders>
                  <w:vAlign w:val="center"/>
                </w:tcPr>
                <w:p>
                  <w:pPr>
                    <w:jc w:val="center"/>
                    <w:rPr>
                      <w:szCs w:val="21"/>
                    </w:rPr>
                  </w:pPr>
                  <w:r>
                    <w:rPr>
                      <w:szCs w:val="21"/>
                    </w:rPr>
                    <w:t>最大泄油量67m³/次）</w:t>
                  </w:r>
                </w:p>
              </w:tc>
              <w:tc>
                <w:tcPr>
                  <w:tcW w:w="1898" w:type="dxa"/>
                  <w:tcBorders>
                    <w:top w:val="single" w:color="auto" w:sz="4" w:space="0"/>
                    <w:bottom w:val="single" w:color="auto" w:sz="12" w:space="0"/>
                    <w:right w:val="single" w:color="auto" w:sz="12" w:space="0"/>
                    <w:tl2br w:val="nil"/>
                    <w:tr2bl w:val="nil"/>
                  </w:tcBorders>
                  <w:vAlign w:val="center"/>
                </w:tcPr>
                <w:p>
                  <w:pPr>
                    <w:jc w:val="center"/>
                    <w:rPr>
                      <w:szCs w:val="21"/>
                    </w:rPr>
                  </w:pPr>
                  <w:r>
                    <w:rPr>
                      <w:szCs w:val="21"/>
                    </w:rPr>
                    <w:t>由事故油池暂存，之后由有资质的单位进行处置</w:t>
                  </w:r>
                </w:p>
              </w:tc>
            </w:tr>
          </w:tbl>
          <w:p>
            <w:pPr>
              <w:pStyle w:val="46"/>
              <w:numPr>
                <w:ilvl w:val="0"/>
                <w:numId w:val="2"/>
              </w:numPr>
              <w:ind w:firstLineChars="0"/>
              <w:rPr>
                <w:rFonts w:cs="Times New Roman"/>
              </w:rPr>
            </w:pPr>
            <w:r>
              <w:rPr>
                <w:rFonts w:cs="Times New Roman"/>
              </w:rPr>
              <w:t xml:space="preserve"> 废旧蓄电池</w:t>
            </w:r>
          </w:p>
          <w:p>
            <w:pPr>
              <w:pStyle w:val="46"/>
              <w:ind w:firstLine="480"/>
              <w:rPr>
                <w:rFonts w:cs="Times New Roman"/>
              </w:rPr>
            </w:pPr>
            <w:r>
              <w:rPr>
                <w:rFonts w:cs="Times New Roman"/>
              </w:rPr>
              <w:t>升压站运营中会产生废蓄电池为</w:t>
            </w:r>
            <w:r>
              <w:rPr>
                <w:rFonts w:hint="eastAsia" w:cs="Times New Roman"/>
              </w:rPr>
              <w:t>铅酸电池</w:t>
            </w:r>
            <w:r>
              <w:rPr>
                <w:rFonts w:cs="Times New Roman"/>
              </w:rPr>
              <w:t>，根据国家危险废物名录，废蓄电池属危险废物（HW31其他废物，废物代码900-052-31）</w:t>
            </w:r>
            <w:r>
              <w:rPr>
                <w:rFonts w:hint="eastAsia" w:cs="Times New Roman"/>
              </w:rPr>
              <w:t>。废旧蓄电池在更换时</w:t>
            </w:r>
            <w:r>
              <w:rPr>
                <w:rFonts w:cs="Times New Roman"/>
              </w:rPr>
              <w:t>，由有资质单位进行回收处置</w:t>
            </w:r>
            <w:r>
              <w:rPr>
                <w:rFonts w:hint="eastAsia" w:cs="Times New Roman"/>
              </w:rPr>
              <w:t>，不在站内暂存</w:t>
            </w:r>
            <w:r>
              <w:rPr>
                <w:rFonts w:cs="Times New Roman"/>
              </w:rPr>
              <w:t>。</w:t>
            </w:r>
          </w:p>
          <w:p>
            <w:pPr>
              <w:pStyle w:val="46"/>
              <w:numPr>
                <w:ilvl w:val="0"/>
                <w:numId w:val="2"/>
              </w:numPr>
              <w:ind w:firstLineChars="0"/>
              <w:rPr>
                <w:rFonts w:cs="Times New Roman"/>
              </w:rPr>
            </w:pPr>
            <w:r>
              <w:rPr>
                <w:rFonts w:hint="eastAsia" w:cs="Times New Roman"/>
              </w:rPr>
              <w:t xml:space="preserve"> 储能废电池</w:t>
            </w:r>
          </w:p>
          <w:p>
            <w:pPr>
              <w:pStyle w:val="46"/>
              <w:ind w:firstLine="480"/>
              <w:rPr>
                <w:rFonts w:cs="Times New Roman"/>
              </w:rPr>
            </w:pPr>
            <w:r>
              <w:rPr>
                <w:rFonts w:hint="eastAsia" w:cs="Times New Roman"/>
              </w:rPr>
              <w:t>储能装置运行过程中产生的废旧磷酸铁锂电池，属于一般固废，更换周期一般为1</w:t>
            </w:r>
            <w:r>
              <w:rPr>
                <w:rFonts w:cs="Times New Roman"/>
              </w:rPr>
              <w:t>0年，</w:t>
            </w:r>
            <w:r>
              <w:rPr>
                <w:rFonts w:hint="eastAsia" w:cs="Times New Roman"/>
              </w:rPr>
              <w:t>在更换时由厂家直接回收处置，不在站内暂存。</w:t>
            </w:r>
          </w:p>
          <w:p>
            <w:pPr>
              <w:pStyle w:val="46"/>
              <w:ind w:firstLine="480"/>
              <w:rPr>
                <w:rFonts w:cs="Times New Roman"/>
              </w:rPr>
            </w:pPr>
            <w:r>
              <w:rPr>
                <w:rFonts w:hint="eastAsia" w:ascii="宋体" w:hAnsi="宋体" w:cs="宋体"/>
              </w:rPr>
              <w:t>③</w:t>
            </w:r>
            <w:r>
              <w:rPr>
                <w:rFonts w:cs="Times New Roman"/>
              </w:rPr>
              <w:t xml:space="preserve"> </w:t>
            </w:r>
            <w:r>
              <w:rPr>
                <w:rFonts w:hint="eastAsia" w:cs="Times New Roman"/>
              </w:rPr>
              <w:t>废旧光伏组件</w:t>
            </w:r>
          </w:p>
          <w:p>
            <w:pPr>
              <w:pStyle w:val="46"/>
              <w:ind w:firstLine="480"/>
              <w:rPr>
                <w:rFonts w:cs="Times New Roman"/>
              </w:rPr>
            </w:pPr>
            <w:r>
              <w:rPr>
                <w:rFonts w:hint="eastAsia" w:cs="Times New Roman"/>
              </w:rPr>
              <w:t>本项目太阳能光伏板的寿命一般25年左右，到一定期限需要更换，光伏板属于一般电子废物，更换后的废旧光伏板拆卸后及时由厂家回收清运，不在项目区内暂存。</w:t>
            </w:r>
          </w:p>
          <w:p>
            <w:pPr>
              <w:pStyle w:val="26"/>
              <w:numPr>
                <w:ilvl w:val="0"/>
                <w:numId w:val="2"/>
              </w:numPr>
              <w:ind w:firstLineChars="0"/>
              <w:rPr>
                <w:rFonts w:cs="Times New Roman"/>
              </w:rPr>
            </w:pPr>
            <w:r>
              <w:rPr>
                <w:rFonts w:cs="Times New Roman"/>
              </w:rPr>
              <w:t xml:space="preserve"> 主变事故油</w:t>
            </w:r>
          </w:p>
          <w:p>
            <w:pPr>
              <w:pStyle w:val="46"/>
              <w:ind w:firstLine="480"/>
              <w:rPr>
                <w:rFonts w:cs="Times New Roman"/>
              </w:rPr>
            </w:pPr>
            <w:r>
              <w:rPr>
                <w:rFonts w:cs="Times New Roman"/>
              </w:rPr>
              <w:t>按照《国家危险废物名录》（2021年版），主变压器事故油属危险废物(HW08废矿物油与含矿物油废物中900-220-08)。升压站内新建一座</w:t>
            </w:r>
            <w:r>
              <w:t>80</w:t>
            </w:r>
            <w:r>
              <w:rPr>
                <w:rFonts w:hint="eastAsia"/>
              </w:rPr>
              <w:t>m³</w:t>
            </w:r>
            <w:r>
              <w:rPr>
                <w:rFonts w:cs="Times New Roman"/>
              </w:rPr>
              <w:t>事故油池。主变压器发生突发事故时，</w:t>
            </w:r>
            <w:r>
              <w:rPr>
                <w:rFonts w:hint="eastAsia" w:cs="Times New Roman"/>
              </w:rPr>
              <w:t>事故油进入</w:t>
            </w:r>
            <w:r>
              <w:rPr>
                <w:rFonts w:cs="Times New Roman"/>
              </w:rPr>
              <w:t>事故油池后，由有资质单位进行回收处置。</w:t>
            </w:r>
          </w:p>
          <w:p>
            <w:pPr>
              <w:pStyle w:val="46"/>
              <w:numPr>
                <w:ilvl w:val="0"/>
                <w:numId w:val="2"/>
              </w:numPr>
              <w:ind w:firstLineChars="0"/>
              <w:rPr>
                <w:rFonts w:cs="Times New Roman"/>
              </w:rPr>
            </w:pPr>
            <w:r>
              <w:rPr>
                <w:rFonts w:cs="Times New Roman"/>
              </w:rPr>
              <w:t xml:space="preserve"> 光伏场箱变事故油</w:t>
            </w:r>
          </w:p>
          <w:p>
            <w:pPr>
              <w:pStyle w:val="46"/>
              <w:ind w:firstLine="480"/>
              <w:rPr>
                <w:rFonts w:cs="Times New Roman"/>
              </w:rPr>
            </w:pPr>
            <w:r>
              <w:rPr>
                <w:rFonts w:cs="Times New Roman"/>
              </w:rPr>
              <w:t>按照《国家危险废物名录》（2021年版），箱式变压器事故油属危险废物(HW08废矿物油与含矿物油废物中900-220-08)。每台箱式变压器下方建有一座</w:t>
            </w:r>
            <w:r>
              <w:rPr>
                <w:kern w:val="0"/>
                <w:szCs w:val="21"/>
              </w:rPr>
              <w:t>5m³</w:t>
            </w:r>
            <w:r>
              <w:rPr>
                <w:rFonts w:cs="Times New Roman"/>
              </w:rPr>
              <w:t>的事故油池，箱变事故油进入事故油池内，由有资质的单位回收处置。</w:t>
            </w:r>
          </w:p>
          <w:p>
            <w:pPr>
              <w:pStyle w:val="46"/>
              <w:numPr>
                <w:ilvl w:val="0"/>
                <w:numId w:val="2"/>
              </w:numPr>
              <w:ind w:firstLineChars="0"/>
              <w:rPr>
                <w:rFonts w:cs="Times New Roman"/>
              </w:rPr>
            </w:pPr>
            <w:r>
              <w:rPr>
                <w:rFonts w:hint="eastAsia" w:cs="Times New Roman"/>
              </w:rPr>
              <w:t>检修废油</w:t>
            </w:r>
          </w:p>
          <w:p>
            <w:pPr>
              <w:pStyle w:val="46"/>
              <w:ind w:firstLine="480"/>
              <w:rPr>
                <w:rFonts w:cs="Times New Roman"/>
              </w:rPr>
            </w:pPr>
            <w:r>
              <w:rPr>
                <w:rFonts w:hint="eastAsia" w:cs="Times New Roman"/>
              </w:rPr>
              <w:t>本项目逆变器和箱式升压变压器在运行维护过程中会产生少量废油，依据《国家危险废物名录》（2021年版），该类废物属于危险废物HW08废矿物油与含矿物油废物中“变压器维护、更换和拆解过程中产生的废变压器油”。</w:t>
            </w:r>
            <w:r>
              <w:rPr>
                <w:rFonts w:cs="Times New Roman"/>
              </w:rPr>
              <w:t>升压站设有危废暂存间，</w:t>
            </w:r>
            <w:r>
              <w:rPr>
                <w:rFonts w:hint="eastAsia" w:cs="Times New Roman"/>
              </w:rPr>
              <w:t>检修废油暂存危废暂存间，交有资质单位处理。</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7 \* GB3</w:instrText>
            </w:r>
            <w:r>
              <w:rPr>
                <w:rFonts w:cs="Times New Roman"/>
              </w:rPr>
              <w:instrText xml:space="preserve"> </w:instrText>
            </w:r>
            <w:r>
              <w:rPr>
                <w:rFonts w:cs="Times New Roman"/>
              </w:rPr>
              <w:fldChar w:fldCharType="separate"/>
            </w:r>
            <w:r>
              <w:rPr>
                <w:rFonts w:hint="eastAsia" w:cs="Times New Roman"/>
              </w:rPr>
              <w:t>⑦</w:t>
            </w:r>
            <w:r>
              <w:rPr>
                <w:rFonts w:cs="Times New Roman"/>
              </w:rPr>
              <w:fldChar w:fldCharType="end"/>
            </w:r>
            <w:r>
              <w:rPr>
                <w:rFonts w:cs="Times New Roman"/>
              </w:rPr>
              <w:t>生活垃圾</w:t>
            </w:r>
          </w:p>
          <w:p>
            <w:pPr>
              <w:pStyle w:val="46"/>
              <w:ind w:firstLine="480"/>
              <w:rPr>
                <w:rFonts w:cs="Times New Roman"/>
              </w:rPr>
            </w:pPr>
            <w:r>
              <w:rPr>
                <w:rFonts w:hint="eastAsia" w:cs="Times New Roman"/>
              </w:rPr>
              <w:t>本项目劳动定员9人，生活垃圾产生量按照1.0kg/人·d计算，工作天数365d，则生活垃圾产生量为3.29t/a，升压站内设有固定的垃圾箱，生活垃圾经收集后，由当地环卫部门定期回收处置。</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8 \* GB3</w:instrText>
            </w:r>
            <w:r>
              <w:rPr>
                <w:rFonts w:cs="Times New Roman"/>
              </w:rPr>
              <w:instrText xml:space="preserve"> </w:instrText>
            </w:r>
            <w:r>
              <w:rPr>
                <w:rFonts w:cs="Times New Roman"/>
              </w:rPr>
              <w:fldChar w:fldCharType="separate"/>
            </w:r>
            <w:r>
              <w:rPr>
                <w:rFonts w:hint="eastAsia" w:cs="Times New Roman"/>
              </w:rPr>
              <w:t>⑧</w:t>
            </w:r>
            <w:r>
              <w:rPr>
                <w:rFonts w:cs="Times New Roman"/>
              </w:rPr>
              <w:fldChar w:fldCharType="end"/>
            </w:r>
            <w:r>
              <w:rPr>
                <w:rFonts w:hint="eastAsia" w:cs="Times New Roman"/>
              </w:rPr>
              <w:t>生态治理工程养护期间会产生废化肥、种子包装袋，草叶、树叶、树枝等固体废物，均属一般固体废物，集中收集后由当地环卫部门定期统一回收处置。</w:t>
            </w:r>
          </w:p>
          <w:p>
            <w:pPr>
              <w:pStyle w:val="46"/>
              <w:ind w:firstLine="480"/>
              <w:rPr>
                <w:rFonts w:cs="Times New Roman"/>
              </w:rPr>
            </w:pPr>
            <w:r>
              <w:rPr>
                <w:rFonts w:cs="Times New Roman"/>
              </w:rPr>
              <w:t>综上，对不同类型固体废物采取了合理的处理处置措施后，各固体废物均能得到有效的处理及处置，不会对外环境产生二次污染。</w:t>
            </w:r>
          </w:p>
          <w:p>
            <w:pPr>
              <w:pStyle w:val="44"/>
              <w:spacing w:before="120"/>
              <w:rPr>
                <w:rFonts w:cs="Times New Roman"/>
                <w:color w:val="auto"/>
              </w:rPr>
            </w:pPr>
            <w:r>
              <w:rPr>
                <w:rFonts w:cs="Times New Roman"/>
                <w:color w:val="auto"/>
              </w:rPr>
              <w:t>5、生态环境影响分析</w:t>
            </w:r>
          </w:p>
          <w:p>
            <w:pPr>
              <w:pStyle w:val="24"/>
              <w:ind w:firstLine="482"/>
              <w:rPr>
                <w:rFonts w:cs="Times New Roman"/>
              </w:rPr>
            </w:pPr>
            <w:r>
              <w:rPr>
                <w:rFonts w:cs="Times New Roman"/>
              </w:rPr>
              <w:t>（1）土地利用布局改变影响分析</w:t>
            </w:r>
          </w:p>
          <w:p>
            <w:pPr>
              <w:pStyle w:val="46"/>
              <w:ind w:firstLine="480"/>
              <w:rPr>
                <w:rFonts w:cs="Times New Roman"/>
                <w:kern w:val="0"/>
              </w:rPr>
            </w:pPr>
            <w:r>
              <w:rPr>
                <w:rFonts w:cs="Times New Roman"/>
                <w:kern w:val="0"/>
              </w:rPr>
              <w:t>光伏组件基座、</w:t>
            </w:r>
            <w:r>
              <w:rPr>
                <w:rFonts w:hint="eastAsia" w:cs="Times New Roman"/>
                <w:kern w:val="0"/>
              </w:rPr>
              <w:t>箱变、</w:t>
            </w:r>
            <w:r>
              <w:rPr>
                <w:rFonts w:cs="Times New Roman"/>
                <w:kern w:val="0"/>
              </w:rPr>
              <w:t>道路等设施会永久占地，植物第一生产力基本完全丧失，植食性动物因缺少食物而迁移，因此，土地利用性质的改变对生态系统会有一定的影响，但从整个区域尺度来看，永久占地面积比例较小，因此对该地区的生态系统影响较小。</w:t>
            </w:r>
          </w:p>
          <w:p>
            <w:pPr>
              <w:pStyle w:val="24"/>
              <w:ind w:firstLine="482"/>
              <w:rPr>
                <w:rFonts w:cs="Times New Roman"/>
              </w:rPr>
            </w:pPr>
            <w:r>
              <w:rPr>
                <w:rFonts w:cs="Times New Roman"/>
              </w:rPr>
              <w:t>（2）对植物的影响分析</w:t>
            </w:r>
          </w:p>
          <w:p>
            <w:pPr>
              <w:pStyle w:val="46"/>
              <w:ind w:firstLine="480"/>
              <w:rPr>
                <w:rFonts w:cs="Times New Roman"/>
                <w:kern w:val="0"/>
              </w:rPr>
            </w:pPr>
            <w:r>
              <w:rPr>
                <w:rFonts w:cs="Times New Roman"/>
                <w:kern w:val="0"/>
              </w:rPr>
              <w:t>本项目占地335.56hm²，占地</w:t>
            </w:r>
            <w:r>
              <w:rPr>
                <w:rFonts w:hint="eastAsia" w:cs="Times New Roman"/>
                <w:kern w:val="0"/>
              </w:rPr>
              <w:t>主要为草地和采矿用地，占地将对地表植被造成一定的破坏，本工程采取”光储+生态治理”立体化治理新模式，主要为板上发电、板下种植，以光伏产业贯穿整个功能区，功能区间相互独立而又互为配套，形成一个管理主体下的多重盈利空间。项目围绕生态治理，企业效益和乡村振兴，践行产业治沙、节水治沙和科技治沙。</w:t>
            </w:r>
          </w:p>
          <w:p>
            <w:pPr>
              <w:pStyle w:val="46"/>
              <w:ind w:firstLine="480"/>
              <w:rPr>
                <w:rFonts w:cs="Times New Roman"/>
                <w:kern w:val="0"/>
              </w:rPr>
            </w:pPr>
            <w:r>
              <w:rPr>
                <w:rFonts w:cs="Times New Roman"/>
                <w:kern w:val="0"/>
              </w:rPr>
              <w:t>因此本项目建成后对区域生态环境量不会造成明显的不利影响。</w:t>
            </w:r>
          </w:p>
          <w:p>
            <w:pPr>
              <w:pStyle w:val="24"/>
              <w:ind w:firstLine="482"/>
              <w:rPr>
                <w:rFonts w:cs="Times New Roman"/>
              </w:rPr>
            </w:pPr>
            <w:r>
              <w:rPr>
                <w:rFonts w:cs="Times New Roman"/>
              </w:rPr>
              <w:t>（3）对动物的影响分析</w:t>
            </w:r>
          </w:p>
          <w:p>
            <w:pPr>
              <w:pStyle w:val="46"/>
              <w:ind w:firstLine="480"/>
              <w:rPr>
                <w:rFonts w:cs="Times New Roman"/>
              </w:rPr>
            </w:pPr>
            <w:r>
              <w:rPr>
                <w:rFonts w:hint="eastAsia" w:cs="Times New Roman"/>
                <w:kern w:val="0"/>
              </w:rPr>
              <w:t>项目所在区域内几乎没有大型哺乳动物，小型动物多为鼠、爬行类，本工程建成后对区内草原动物数量影响不大。另外，光伏组件对阳光的反射以散射为主，总反射率只有25%左右，对鸟类影响也不大。光伏组件支架组件最小离地距离为</w:t>
            </w:r>
            <w:r>
              <w:rPr>
                <w:rFonts w:cs="Times New Roman"/>
                <w:kern w:val="0"/>
              </w:rPr>
              <w:t>0.5m</w:t>
            </w:r>
            <w:r>
              <w:rPr>
                <w:rFonts w:hint="eastAsia" w:cs="Times New Roman"/>
                <w:kern w:val="0"/>
              </w:rPr>
              <w:t>，项目建成后，光伏板下方不影响动物活动。</w:t>
            </w:r>
          </w:p>
          <w:p>
            <w:pPr>
              <w:pStyle w:val="24"/>
              <w:ind w:firstLine="482"/>
              <w:rPr>
                <w:rFonts w:cs="Times New Roman"/>
              </w:rPr>
            </w:pPr>
            <w:r>
              <w:rPr>
                <w:rFonts w:cs="Times New Roman"/>
              </w:rPr>
              <w:t>（4）自然景观影响</w:t>
            </w:r>
          </w:p>
          <w:p>
            <w:pPr>
              <w:pStyle w:val="46"/>
              <w:ind w:firstLine="480"/>
              <w:rPr>
                <w:rFonts w:cs="Times New Roman"/>
                <w:kern w:val="0"/>
              </w:rPr>
            </w:pPr>
            <w:r>
              <w:rPr>
                <w:rFonts w:hint="eastAsia" w:cs="Times New Roman"/>
                <w:kern w:val="0"/>
              </w:rPr>
              <w:t>本项目建成投产后，道路和光伏组件的建设将使该地区原有的自然生态环境发生改变，因此对景观将造成一定的影响。本项目的建设破坏了原有的自然景观，代之以人造景观，与原有景观的不协调，增加了景观的破碎度，原有的景观格局由原来的沙地景观变为人为控制的太阳能发电和种植景观相结合的生态景观</w:t>
            </w:r>
            <w:r>
              <w:rPr>
                <w:rFonts w:cs="Times New Roman"/>
                <w:kern w:val="0"/>
              </w:rPr>
              <w:t>。</w:t>
            </w:r>
          </w:p>
          <w:p>
            <w:pPr>
              <w:pStyle w:val="24"/>
              <w:ind w:firstLine="482"/>
              <w:rPr>
                <w:rFonts w:cs="Times New Roman"/>
              </w:rPr>
            </w:pPr>
            <w:r>
              <w:rPr>
                <w:rFonts w:cs="Times New Roman"/>
              </w:rPr>
              <w:t>（5）</w:t>
            </w:r>
            <w:r>
              <w:rPr>
                <w:rFonts w:hint="eastAsia" w:cs="Times New Roman"/>
              </w:rPr>
              <w:t>光污染</w:t>
            </w:r>
            <w:r>
              <w:rPr>
                <w:rFonts w:cs="Times New Roman"/>
              </w:rPr>
              <w:t>影响分析</w:t>
            </w:r>
          </w:p>
          <w:p>
            <w:pPr>
              <w:pStyle w:val="46"/>
              <w:ind w:firstLine="480"/>
              <w:rPr>
                <w:rFonts w:cs="Times New Roman"/>
                <w:kern w:val="0"/>
              </w:rPr>
            </w:pPr>
            <w:r>
              <w:rPr>
                <w:rFonts w:hint="eastAsia" w:cs="Times New Roman"/>
                <w:kern w:val="0"/>
              </w:rPr>
              <w:t>本项目利用太阳能光伏板做能量采集装置，在吸收太阳能的过程中会反射折射太阳光，总反射率只有25%左右。太阳能电池组件最外层为特种钢化玻璃，透光率较高，最大限度的降低了光的定向反射，支架高度较高，避免了运营期光伏板反射太阳光对人群及行驶车辆造成影响。</w:t>
            </w:r>
          </w:p>
          <w:p>
            <w:pPr>
              <w:pStyle w:val="46"/>
              <w:ind w:firstLine="482"/>
              <w:rPr>
                <w:rFonts w:cs="Times New Roman"/>
                <w:b/>
              </w:rPr>
            </w:pPr>
            <w:r>
              <w:rPr>
                <w:rFonts w:cs="Times New Roman"/>
                <w:b/>
              </w:rPr>
              <w:t>（</w:t>
            </w:r>
            <w:r>
              <w:rPr>
                <w:rFonts w:hint="eastAsia" w:cs="Times New Roman"/>
                <w:b/>
              </w:rPr>
              <w:t>6）生态治理分析</w:t>
            </w:r>
          </w:p>
          <w:p>
            <w:pPr>
              <w:pStyle w:val="46"/>
              <w:ind w:firstLine="480"/>
              <w:rPr>
                <w:rFonts w:cs="Times New Roman"/>
                <w:kern w:val="0"/>
              </w:rPr>
            </w:pPr>
            <w:r>
              <w:rPr>
                <w:rFonts w:hint="eastAsia" w:cs="Times New Roman"/>
                <w:kern w:val="0"/>
              </w:rPr>
              <w:t>本项目为光储+生态治理项目，以板上发电、板下种植、治沙改土、产业扶贫、生态旅游相结合，在获取太阳能清洁能源的同时，实现沙漠治理改良，绿化治沙减少风沙侵袭，降低光伏项目的管护成本，可进一步推动种植业与林草业等产业进行深度融合，项目建成后局部生态环境得到改善，提高项目区林草覆盖度。</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113" w:type="dxa"/>
            <w:left w:w="108" w:type="dxa"/>
            <w:bottom w:w="113" w:type="dxa"/>
            <w:right w:w="108" w:type="dxa"/>
          </w:tblCellMar>
        </w:tblPrEx>
        <w:trPr>
          <w:trHeight w:val="445" w:hRule="atLeast"/>
          <w:jc w:val="center"/>
        </w:trPr>
        <w:tc>
          <w:tcPr>
            <w:tcW w:w="688" w:type="dxa"/>
            <w:vAlign w:val="center"/>
          </w:tcPr>
          <w:p>
            <w:pPr>
              <w:pStyle w:val="13"/>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Cs w:val="21"/>
              </w:rPr>
              <w:t>选址选线环境合理性分析</w:t>
            </w:r>
          </w:p>
        </w:tc>
        <w:tc>
          <w:tcPr>
            <w:tcW w:w="8091" w:type="dxa"/>
          </w:tcPr>
          <w:p>
            <w:pPr>
              <w:adjustRightInd w:val="0"/>
              <w:snapToGrid w:val="0"/>
              <w:spacing w:line="360" w:lineRule="auto"/>
              <w:ind w:firstLine="480" w:firstLineChars="200"/>
              <w:rPr>
                <w:sz w:val="24"/>
              </w:rPr>
            </w:pPr>
            <w:r>
              <w:rPr>
                <w:rFonts w:hint="eastAsia"/>
                <w:sz w:val="24"/>
              </w:rPr>
              <w:t>本项目位于内蒙古自治区巴彦淖尔市乌拉特前旗，气候干燥、光照充足。常年平均气温</w:t>
            </w:r>
            <w:r>
              <w:rPr>
                <w:sz w:val="24"/>
              </w:rPr>
              <w:t>7.7</w:t>
            </w:r>
            <w:r>
              <w:rPr>
                <w:rFonts w:hint="eastAsia"/>
                <w:sz w:val="24"/>
              </w:rPr>
              <w:t>℃，年平均相对湿度4</w:t>
            </w:r>
            <w:r>
              <w:rPr>
                <w:sz w:val="24"/>
              </w:rPr>
              <w:t>9</w:t>
            </w:r>
            <w:r>
              <w:rPr>
                <w:rFonts w:hint="eastAsia"/>
                <w:sz w:val="24"/>
              </w:rPr>
              <w:t>%，年平均降水量</w:t>
            </w:r>
            <w:r>
              <w:rPr>
                <w:sz w:val="24"/>
              </w:rPr>
              <w:t>213.5</w:t>
            </w:r>
            <w:r>
              <w:rPr>
                <w:rFonts w:hint="eastAsia"/>
                <w:sz w:val="24"/>
              </w:rPr>
              <w:t>mm。</w:t>
            </w:r>
          </w:p>
          <w:p>
            <w:pPr>
              <w:spacing w:line="360" w:lineRule="auto"/>
              <w:ind w:firstLine="480" w:firstLineChars="200"/>
              <w:rPr>
                <w:sz w:val="24"/>
              </w:rPr>
            </w:pPr>
            <w:r>
              <w:rPr>
                <w:rFonts w:hint="eastAsia"/>
                <w:sz w:val="24"/>
              </w:rPr>
              <w:t>本项目多年平均太阳辐射量为</w:t>
            </w:r>
            <w:r>
              <w:rPr>
                <w:sz w:val="24"/>
              </w:rPr>
              <w:t>1631.5kWh/m²</w:t>
            </w:r>
            <w:r>
              <w:rPr>
                <w:rFonts w:hint="eastAsia"/>
                <w:sz w:val="24"/>
              </w:rPr>
              <w:t>，根据国家标准《太阳能资源评估方法》（GB/T 37526-2019）辐射值划分，属于我国太阳能资源B类地区（资源很丰富）。场址稳定度为0.362，稳定度等级属于B级“稳定”。全年的直射比为0.635，属于A级（直接辐射主导）。因此本项目有一定开发潜力，具备规模化发展太阳能光伏电站的资源条件。</w:t>
            </w:r>
          </w:p>
          <w:p>
            <w:pPr>
              <w:spacing w:line="360" w:lineRule="auto"/>
              <w:ind w:firstLine="480" w:firstLineChars="200"/>
              <w:rPr>
                <w:sz w:val="24"/>
              </w:rPr>
            </w:pPr>
            <w:r>
              <w:rPr>
                <w:rFonts w:hint="eastAsia"/>
                <w:sz w:val="24"/>
              </w:rPr>
              <w:t>图</w:t>
            </w:r>
            <w:r>
              <w:rPr>
                <w:sz w:val="24"/>
              </w:rPr>
              <w:t>4.3</w:t>
            </w:r>
            <w:r>
              <w:rPr>
                <w:rFonts w:hint="eastAsia"/>
                <w:sz w:val="24"/>
              </w:rPr>
              <w:t>为内蒙古自治区太阳能资源分布图。</w:t>
            </w:r>
          </w:p>
          <w:p>
            <w:pPr>
              <w:adjustRightInd w:val="0"/>
              <w:snapToGrid w:val="0"/>
              <w:spacing w:line="360" w:lineRule="auto"/>
              <w:rPr>
                <w:sz w:val="24"/>
              </w:rPr>
            </w:pPr>
            <w:r>
              <w:drawing>
                <wp:inline distT="0" distB="0" distL="0" distR="0">
                  <wp:extent cx="4905375" cy="3439795"/>
                  <wp:effectExtent l="0" t="0" r="0" b="8255"/>
                  <wp:docPr id="25" name="图片 25" descr="C:\Users\SYUTIN~1.NMD\AppData\Local\Temp\ksohtml2138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SYUTIN~1.NMD\AppData\Local\Temp\ksohtml21384\wps1.png"/>
                          <pic:cNvPicPr>
                            <a:picLocks noChangeAspect="1" noChangeArrowheads="1"/>
                          </pic:cNvPicPr>
                        </pic:nvPicPr>
                        <pic:blipFill>
                          <a:blip r:embed="rId27"/>
                          <a:srcRect/>
                          <a:stretch>
                            <a:fillRect/>
                          </a:stretch>
                        </pic:blipFill>
                        <pic:spPr>
                          <a:xfrm>
                            <a:off x="0" y="0"/>
                            <a:ext cx="4960555" cy="3478512"/>
                          </a:xfrm>
                          <a:prstGeom prst="rect">
                            <a:avLst/>
                          </a:prstGeom>
                          <a:noFill/>
                          <a:ln>
                            <a:noFill/>
                          </a:ln>
                        </pic:spPr>
                      </pic:pic>
                    </a:graphicData>
                  </a:graphic>
                </wp:inline>
              </w:drawing>
            </w:r>
          </w:p>
          <w:p>
            <w:pPr>
              <w:adjustRightInd w:val="0"/>
              <w:snapToGrid w:val="0"/>
              <w:spacing w:before="120" w:beforeLines="50" w:after="240" w:afterLines="100"/>
              <w:jc w:val="center"/>
              <w:rPr>
                <w:b/>
                <w:sz w:val="24"/>
              </w:rPr>
            </w:pPr>
            <w:r>
              <w:rPr>
                <w:rFonts w:hint="eastAsia"/>
                <w:b/>
                <w:sz w:val="24"/>
              </w:rPr>
              <w:t>图</w:t>
            </w:r>
            <w:r>
              <w:rPr>
                <w:b/>
                <w:sz w:val="24"/>
              </w:rPr>
              <w:t xml:space="preserve">4.3 </w:t>
            </w:r>
            <w:r>
              <w:rPr>
                <w:rFonts w:hint="eastAsia"/>
                <w:b/>
                <w:sz w:val="24"/>
              </w:rPr>
              <w:t>内蒙古自治区太阳能资源分布</w:t>
            </w:r>
            <w:r>
              <w:rPr>
                <w:b/>
                <w:sz w:val="24"/>
              </w:rPr>
              <w:t>图（kWh/m²/年）</w:t>
            </w:r>
          </w:p>
          <w:p>
            <w:pPr>
              <w:pStyle w:val="46"/>
              <w:ind w:firstLine="480"/>
              <w:rPr>
                <w:rFonts w:cs="Times New Roman"/>
              </w:rPr>
            </w:pPr>
            <w:r>
              <w:rPr>
                <w:rFonts w:cs="Times New Roman"/>
              </w:rPr>
              <w:t>内蒙古太阳辐射的季节变化特点为：春季（四月）总辐射量从东向西增加，辐射值为520MJ/m²/month～700MJ/m²/month，最低值在呼伦贝尔市，最高值在河套平原及以西地区；夏季（七月）总辐射量从东向西增加，辐射值为560MJ/m²/month～710MJ/m²/month，最低值在呼伦贝尔市北部，最高值在阿拉善盟西部的额济纳旗；秋季（十月）总辐射量值为300MJ/m²/month～450MJ/m²/month，最低值仍在呼伦贝尔市东北部，高值中心在河套平原的五原、杭锦后旗和阿拉善盟彦塔尔贡一带，最高值在河套平原及以西地区；冬季（一月）是全年辐射总量最低的季节，在170MJ/m²/month～320MJ/m²/month之间，最低值在大兴安岭北部，最高值在阿拉善盟西部的额济纳旗</w:t>
            </w:r>
            <w:r>
              <w:rPr>
                <w:rFonts w:hint="eastAsia" w:cs="Times New Roman"/>
              </w:rPr>
              <w:t>。</w:t>
            </w:r>
          </w:p>
          <w:p>
            <w:pPr>
              <w:adjustRightInd w:val="0"/>
              <w:snapToGrid w:val="0"/>
              <w:spacing w:line="360" w:lineRule="auto"/>
              <w:ind w:firstLine="480" w:firstLineChars="200"/>
              <w:rPr>
                <w:sz w:val="24"/>
                <w:highlight w:val="yellow"/>
              </w:rPr>
            </w:pPr>
            <w:r>
              <w:rPr>
                <w:rFonts w:hint="eastAsia"/>
                <w:snapToGrid w:val="0"/>
                <w:sz w:val="24"/>
                <w:szCs w:val="20"/>
              </w:rPr>
              <w:t>乌拉特前旗15万光伏发电子项目，场址位于内蒙古自治区巴彦淖尔市乌拉特前旗中部地区，站址最北端坐标：东经109.059°，北纬40.839°属于河套平原及以西地区。乌拉特前旗属于中温带大陆性季风气候，日照充足，积温较多，昼夜温差大，雨水集中，雨热同期。历年平均日照时数为3202小时，具备良好的太阳能资源基础条件，适宜于建设光伏发电项目。</w:t>
            </w:r>
          </w:p>
          <w:p>
            <w:pPr>
              <w:adjustRightInd w:val="0"/>
              <w:snapToGrid w:val="0"/>
              <w:spacing w:line="360" w:lineRule="auto"/>
              <w:ind w:firstLine="480" w:firstLineChars="200"/>
              <w:rPr>
                <w:sz w:val="24"/>
                <w:highlight w:val="yellow"/>
              </w:rPr>
            </w:pPr>
            <w:r>
              <w:rPr>
                <w:rFonts w:hint="eastAsia"/>
                <w:sz w:val="24"/>
              </w:rPr>
              <w:t>根据《内蒙古自治区国民经济和社会发展第十四个五年规划和2035年远景目标纲要》，“十四五”期间新建风电、光伏场重点布局在沙漠荒漠、采煤沉陷区、露天矿排土场，推广“光伏+生态治理”基地建设模式。本项目选址位于巴彦淖尔市乌拉特前旗沙化土地与采矿用地，属于生态治理项目。项目建成后可提高该区域植被覆盖率，修复沙化土地与采矿用地，大力恢复林草植被，改善基础设施条件，提高该地区的生态系统功能。同时，</w:t>
            </w:r>
            <w:r>
              <w:rPr>
                <w:sz w:val="24"/>
              </w:rPr>
              <w:t>本项目不涉及国家公园、自然保护区、风景名胜区、世界文化和自然遗产地、饮用水水源保护区，也不涉及风景名胜区、森林公园、地质公园、原始天然林、珍稀濒危野生动植物天然集中分布区等重要生态敏感区。</w:t>
            </w:r>
          </w:p>
          <w:p>
            <w:pPr>
              <w:adjustRightInd w:val="0"/>
              <w:snapToGrid w:val="0"/>
              <w:spacing w:line="360" w:lineRule="auto"/>
              <w:ind w:firstLine="480" w:firstLineChars="200"/>
              <w:rPr>
                <w:sz w:val="24"/>
              </w:rPr>
            </w:pPr>
            <w:r>
              <w:rPr>
                <w:rFonts w:hint="eastAsia"/>
                <w:sz w:val="24"/>
              </w:rPr>
              <w:t>本工程已取得巴彦淖尔生态环境局乌拉特前旗分局、乌拉特前旗文体旅游广电局、乌拉特前旗自然资源局、乌拉特前旗林业和草原局等相关单位关于项目选址的意见，本项目占用基本农田，不涉及生态红线、不涉及水源保护区。</w:t>
            </w:r>
          </w:p>
          <w:p>
            <w:pPr>
              <w:adjustRightInd w:val="0"/>
              <w:snapToGrid w:val="0"/>
              <w:spacing w:line="360" w:lineRule="auto"/>
              <w:ind w:firstLine="480" w:firstLineChars="200"/>
              <w:rPr>
                <w:sz w:val="24"/>
                <w:highlight w:val="yellow"/>
              </w:rPr>
            </w:pPr>
            <w:r>
              <w:rPr>
                <w:rFonts w:hint="eastAsia"/>
                <w:sz w:val="24"/>
              </w:rPr>
              <w:t>本项目光伏场涉及的神龙、金龙、阳光、昌兴尾矿库已全部完成闭库工作，项目已取得乌拉特前旗发展和改革委员会《关于同意巴彦淖尔100万千瓦光储项目乌拉特前旗15万千瓦子项目部分场址涉及尾矿库建设的函》同意项目在此地建设及办理相关手续。</w:t>
            </w:r>
          </w:p>
          <w:p>
            <w:pPr>
              <w:adjustRightInd w:val="0"/>
              <w:snapToGrid w:val="0"/>
              <w:spacing w:line="360" w:lineRule="auto"/>
              <w:ind w:firstLine="480" w:firstLineChars="200"/>
              <w:rPr>
                <w:sz w:val="24"/>
              </w:rPr>
            </w:pPr>
            <w:r>
              <w:rPr>
                <w:rFonts w:hint="eastAsia"/>
                <w:sz w:val="24"/>
              </w:rPr>
              <w:t>因此，本项目选址合理。</w:t>
            </w:r>
          </w:p>
          <w:p>
            <w:pPr>
              <w:pStyle w:val="46"/>
              <w:ind w:firstLine="0" w:firstLineChars="0"/>
              <w:rPr>
                <w:rFonts w:ascii="宋体" w:hAnsi="宋体" w:cs="宋体"/>
              </w:rPr>
            </w:pPr>
            <w:r>
              <w:rPr>
                <w:rFonts w:hint="eastAsia" w:cs="Times New Roman"/>
                <w:b/>
                <w:snapToGrid/>
                <w:szCs w:val="24"/>
              </w:rPr>
              <w:t>表4.</w:t>
            </w:r>
            <w:r>
              <w:rPr>
                <w:rFonts w:cs="Times New Roman"/>
                <w:b/>
                <w:snapToGrid/>
                <w:szCs w:val="24"/>
              </w:rPr>
              <w:t>7</w:t>
            </w:r>
            <w:r>
              <w:rPr>
                <w:rFonts w:hint="eastAsia" w:cs="Times New Roman"/>
                <w:b/>
                <w:snapToGrid/>
                <w:szCs w:val="24"/>
              </w:rPr>
              <w:t xml:space="preserve">                相关部门对本项目的意见</w:t>
            </w:r>
          </w:p>
          <w:tbl>
            <w:tblPr>
              <w:tblStyle w:val="16"/>
              <w:tblpPr w:leftFromText="180" w:rightFromText="180" w:vertAnchor="text" w:horzAnchor="margin" w:tblpXSpec="center" w:tblpY="153"/>
              <w:tblOverlap w:val="never"/>
              <w:tblW w:w="7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44"/>
              <w:gridCol w:w="396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12" w:space="0"/>
                    <w:lef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序号</w:t>
                  </w:r>
                </w:p>
              </w:tc>
              <w:tc>
                <w:tcPr>
                  <w:tcW w:w="1544" w:type="dxa"/>
                  <w:tcBorders>
                    <w:top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审批单位</w:t>
                  </w:r>
                </w:p>
              </w:tc>
              <w:tc>
                <w:tcPr>
                  <w:tcW w:w="3969" w:type="dxa"/>
                  <w:tcBorders>
                    <w:top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文件名称及文号</w:t>
                  </w:r>
                </w:p>
              </w:tc>
              <w:tc>
                <w:tcPr>
                  <w:tcW w:w="1560" w:type="dxa"/>
                  <w:tcBorders>
                    <w:top w:val="single" w:color="auto" w:sz="12" w:space="0"/>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批复意见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lef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1</w:t>
                  </w:r>
                </w:p>
              </w:tc>
              <w:tc>
                <w:tcPr>
                  <w:tcW w:w="1544" w:type="dxa"/>
                  <w:vAlign w:val="center"/>
                </w:tcPr>
                <w:p>
                  <w:pPr>
                    <w:adjustRightInd w:val="0"/>
                    <w:jc w:val="center"/>
                    <w:rPr>
                      <w:rFonts w:ascii="宋体" w:hAnsi="宋体" w:cs="Courier New"/>
                      <w:szCs w:val="21"/>
                    </w:rPr>
                  </w:pPr>
                  <w:r>
                    <w:rPr>
                      <w:rFonts w:hint="eastAsia" w:ascii="宋体" w:hAnsi="宋体" w:cs="Courier New"/>
                      <w:szCs w:val="21"/>
                    </w:rPr>
                    <w:t>巴彦淖尔市生态环境局乌拉特前旗分局</w:t>
                  </w:r>
                </w:p>
              </w:tc>
              <w:tc>
                <w:tcPr>
                  <w:tcW w:w="3969" w:type="dxa"/>
                  <w:vAlign w:val="center"/>
                </w:tcPr>
                <w:p>
                  <w:pPr>
                    <w:adjustRightInd w:val="0"/>
                    <w:jc w:val="center"/>
                    <w:rPr>
                      <w:rFonts w:ascii="宋体" w:hAnsi="宋体" w:cs="Courier New"/>
                      <w:szCs w:val="21"/>
                    </w:rPr>
                  </w:pPr>
                  <w:r>
                    <w:rPr>
                      <w:rFonts w:hint="eastAsia" w:ascii="宋体" w:hAnsi="宋体" w:cs="Courier New"/>
                      <w:szCs w:val="21"/>
                    </w:rPr>
                    <w:t>《巴彦淖尔市生态环境局乌拉特前旗分局关于核查巴彦淖尔100万千瓦光储+生态治理项目乌拉特前旗1</w:t>
                  </w:r>
                  <w:r>
                    <w:rPr>
                      <w:rFonts w:ascii="宋体" w:hAnsi="宋体" w:cs="Courier New"/>
                      <w:szCs w:val="21"/>
                    </w:rPr>
                    <w:t>5万千瓦光伏项目是否涉及饮用水水源保护区的复函</w:t>
                  </w:r>
                  <w:r>
                    <w:rPr>
                      <w:rFonts w:hint="eastAsia" w:ascii="宋体" w:hAnsi="宋体" w:cs="Courier New"/>
                      <w:szCs w:val="21"/>
                    </w:rPr>
                    <w:t>》乌环字[</w:t>
                  </w:r>
                  <w:r>
                    <w:rPr>
                      <w:rFonts w:ascii="宋体" w:hAnsi="宋体" w:cs="Courier New"/>
                      <w:szCs w:val="21"/>
                    </w:rPr>
                    <w:t>2023]39号</w:t>
                  </w:r>
                </w:p>
              </w:tc>
              <w:tc>
                <w:tcPr>
                  <w:tcW w:w="1560" w:type="dxa"/>
                  <w:tcBorders>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项目选址范围不在饮用水水源保护区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lef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2</w:t>
                  </w:r>
                </w:p>
              </w:tc>
              <w:tc>
                <w:tcPr>
                  <w:tcW w:w="1544" w:type="dxa"/>
                  <w:vAlign w:val="center"/>
                </w:tcPr>
                <w:p>
                  <w:pPr>
                    <w:adjustRightInd w:val="0"/>
                    <w:jc w:val="center"/>
                    <w:rPr>
                      <w:rFonts w:ascii="宋体" w:hAnsi="宋体" w:cs="Courier New"/>
                      <w:szCs w:val="21"/>
                    </w:rPr>
                  </w:pPr>
                  <w:r>
                    <w:rPr>
                      <w:rFonts w:hint="eastAsia" w:ascii="宋体" w:hAnsi="宋体" w:cs="Courier New"/>
                      <w:szCs w:val="21"/>
                    </w:rPr>
                    <w:t>乌拉特前旗文体旅游广电局</w:t>
                  </w:r>
                </w:p>
              </w:tc>
              <w:tc>
                <w:tcPr>
                  <w:tcW w:w="3969" w:type="dxa"/>
                  <w:vAlign w:val="center"/>
                </w:tcPr>
                <w:p>
                  <w:pPr>
                    <w:adjustRightInd w:val="0"/>
                    <w:jc w:val="center"/>
                    <w:rPr>
                      <w:rFonts w:ascii="宋体" w:hAnsi="宋体" w:cs="Courier New"/>
                      <w:szCs w:val="21"/>
                    </w:rPr>
                  </w:pPr>
                  <w:r>
                    <w:rPr>
                      <w:rFonts w:hint="eastAsia" w:ascii="宋体" w:hAnsi="宋体" w:cs="Courier New"/>
                      <w:szCs w:val="21"/>
                    </w:rPr>
                    <w:t>《关于巴彦淖尔100万光储+生态治理项目乌拉特前旗1</w:t>
                  </w:r>
                  <w:r>
                    <w:rPr>
                      <w:rFonts w:ascii="宋体" w:hAnsi="宋体" w:cs="Courier New"/>
                      <w:szCs w:val="21"/>
                    </w:rPr>
                    <w:t>5万千瓦光伏项目范围内有无文物遗存调查情况的复函</w:t>
                  </w:r>
                  <w:r>
                    <w:rPr>
                      <w:rFonts w:hint="eastAsia" w:ascii="宋体" w:hAnsi="宋体" w:cs="Courier New"/>
                      <w:szCs w:val="21"/>
                    </w:rPr>
                    <w:t>》乌文体旅广函发[</w:t>
                  </w:r>
                  <w:r>
                    <w:rPr>
                      <w:rFonts w:ascii="宋体" w:hAnsi="宋体" w:cs="Courier New"/>
                      <w:szCs w:val="21"/>
                    </w:rPr>
                    <w:t>2023]8号</w:t>
                  </w:r>
                </w:p>
              </w:tc>
              <w:tc>
                <w:tcPr>
                  <w:tcW w:w="1560" w:type="dxa"/>
                  <w:tcBorders>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项目区域内未发现各级重点文物保护单位和其它文物遗迹现象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tcBorders>
                    <w:lef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3</w:t>
                  </w:r>
                </w:p>
              </w:tc>
              <w:tc>
                <w:tcPr>
                  <w:tcW w:w="1544" w:type="dxa"/>
                  <w:vMerge w:val="restart"/>
                  <w:vAlign w:val="center"/>
                </w:tcPr>
                <w:p>
                  <w:pPr>
                    <w:adjustRightInd w:val="0"/>
                    <w:jc w:val="center"/>
                    <w:rPr>
                      <w:rFonts w:ascii="宋体" w:hAnsi="宋体" w:cs="Courier New"/>
                      <w:szCs w:val="21"/>
                    </w:rPr>
                  </w:pPr>
                  <w:r>
                    <w:rPr>
                      <w:rFonts w:hint="eastAsia" w:ascii="宋体" w:hAnsi="宋体" w:cs="Courier New"/>
                      <w:szCs w:val="21"/>
                    </w:rPr>
                    <w:t>乌拉特前旗自然资源局</w:t>
                  </w:r>
                </w:p>
              </w:tc>
              <w:tc>
                <w:tcPr>
                  <w:tcW w:w="3969" w:type="dxa"/>
                  <w:vAlign w:val="center"/>
                </w:tcPr>
                <w:p>
                  <w:pPr>
                    <w:adjustRightInd w:val="0"/>
                    <w:jc w:val="center"/>
                    <w:rPr>
                      <w:rFonts w:ascii="宋体" w:hAnsi="宋体" w:cs="Courier New"/>
                      <w:szCs w:val="21"/>
                    </w:rPr>
                  </w:pPr>
                  <w:r>
                    <w:rPr>
                      <w:rFonts w:hint="eastAsia" w:ascii="宋体" w:hAnsi="宋体" w:cs="Courier New"/>
                      <w:szCs w:val="21"/>
                    </w:rPr>
                    <w:t>《关于核查巴彦淖尔100万光储+生态治理项目乌拉特前旗1</w:t>
                  </w:r>
                  <w:r>
                    <w:rPr>
                      <w:rFonts w:ascii="宋体" w:hAnsi="宋体" w:cs="Courier New"/>
                      <w:szCs w:val="21"/>
                    </w:rPr>
                    <w:t>5万千瓦光伏项目是否压覆重要矿产的回函</w:t>
                  </w:r>
                  <w:r>
                    <w:rPr>
                      <w:rFonts w:hint="eastAsia" w:ascii="宋体" w:hAnsi="宋体" w:cs="Courier New"/>
                      <w:szCs w:val="21"/>
                    </w:rPr>
                    <w:t>》</w:t>
                  </w:r>
                </w:p>
              </w:tc>
              <w:tc>
                <w:tcPr>
                  <w:tcW w:w="1560" w:type="dxa"/>
                  <w:tcBorders>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与已转采矿权范围不重叠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left w:val="single" w:color="auto" w:sz="12" w:space="0"/>
                    <w:bottom w:val="single" w:color="auto" w:sz="4" w:space="0"/>
                  </w:tcBorders>
                  <w:vAlign w:val="center"/>
                </w:tcPr>
                <w:p>
                  <w:pPr>
                    <w:adjustRightInd w:val="0"/>
                    <w:jc w:val="center"/>
                    <w:rPr>
                      <w:rFonts w:ascii="宋体" w:hAnsi="宋体" w:cs="Courier New"/>
                      <w:szCs w:val="21"/>
                    </w:rPr>
                  </w:pPr>
                  <w:r>
                    <w:rPr>
                      <w:rFonts w:hint="eastAsia" w:ascii="宋体" w:hAnsi="宋体" w:cs="Courier New"/>
                      <w:szCs w:val="21"/>
                    </w:rPr>
                    <w:t>4</w:t>
                  </w:r>
                </w:p>
              </w:tc>
              <w:tc>
                <w:tcPr>
                  <w:tcW w:w="1544" w:type="dxa"/>
                  <w:vMerge w:val="continue"/>
                  <w:tcBorders>
                    <w:bottom w:val="single" w:color="auto" w:sz="4" w:space="0"/>
                  </w:tcBorders>
                  <w:vAlign w:val="center"/>
                </w:tcPr>
                <w:p>
                  <w:pPr>
                    <w:adjustRightInd w:val="0"/>
                    <w:jc w:val="center"/>
                    <w:rPr>
                      <w:rFonts w:ascii="宋体" w:hAnsi="宋体" w:cs="Courier New"/>
                      <w:szCs w:val="21"/>
                    </w:rPr>
                  </w:pPr>
                </w:p>
              </w:tc>
              <w:tc>
                <w:tcPr>
                  <w:tcW w:w="3969" w:type="dxa"/>
                  <w:tcBorders>
                    <w:bottom w:val="single" w:color="auto" w:sz="4" w:space="0"/>
                  </w:tcBorders>
                  <w:vAlign w:val="center"/>
                </w:tcPr>
                <w:p>
                  <w:pPr>
                    <w:adjustRightInd w:val="0"/>
                    <w:jc w:val="center"/>
                    <w:rPr>
                      <w:rFonts w:ascii="宋体" w:hAnsi="宋体" w:cs="Courier New"/>
                      <w:szCs w:val="21"/>
                    </w:rPr>
                  </w:pPr>
                  <w:r>
                    <w:rPr>
                      <w:rFonts w:hint="eastAsia" w:ascii="宋体" w:hAnsi="宋体" w:cs="Courier New"/>
                      <w:szCs w:val="21"/>
                    </w:rPr>
                    <w:t>《关于核查巴彦淖尔100万光储+生态治理项目乌拉特前旗1</w:t>
                  </w:r>
                  <w:r>
                    <w:rPr>
                      <w:rFonts w:ascii="宋体" w:hAnsi="宋体" w:cs="Courier New"/>
                      <w:szCs w:val="21"/>
                    </w:rPr>
                    <w:t>5万千瓦光伏项目是否位于生态保护红线、是否占用永久基本农田的复函</w:t>
                  </w:r>
                  <w:r>
                    <w:rPr>
                      <w:rFonts w:hint="eastAsia" w:ascii="宋体" w:hAnsi="宋体" w:cs="Courier New"/>
                      <w:szCs w:val="21"/>
                    </w:rPr>
                    <w:t>》乌自然资函发[</w:t>
                  </w:r>
                  <w:r>
                    <w:rPr>
                      <w:rFonts w:ascii="宋体" w:hAnsi="宋体" w:cs="Courier New"/>
                      <w:szCs w:val="21"/>
                    </w:rPr>
                    <w:t>2023]28号</w:t>
                  </w:r>
                </w:p>
              </w:tc>
              <w:tc>
                <w:tcPr>
                  <w:tcW w:w="1560" w:type="dxa"/>
                  <w:tcBorders>
                    <w:bottom w:val="single" w:color="auto" w:sz="4" w:space="0"/>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拟用地不在生态保护红线范围内，不占用永久基本农田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left w:val="single" w:color="auto" w:sz="12" w:space="0"/>
                    <w:bottom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5</w:t>
                  </w:r>
                </w:p>
              </w:tc>
              <w:tc>
                <w:tcPr>
                  <w:tcW w:w="1544" w:type="dxa"/>
                  <w:tcBorders>
                    <w:bottom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乌拉特前旗林业和草原局</w:t>
                  </w:r>
                </w:p>
              </w:tc>
              <w:tc>
                <w:tcPr>
                  <w:tcW w:w="3969" w:type="dxa"/>
                  <w:tcBorders>
                    <w:bottom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《乌拉特前旗林业和草原局关于核查巴彦淖尔100万光储+生态治理项目乌拉特前旗1</w:t>
                  </w:r>
                  <w:r>
                    <w:rPr>
                      <w:rFonts w:ascii="宋体" w:hAnsi="宋体" w:cs="Courier New"/>
                      <w:szCs w:val="21"/>
                    </w:rPr>
                    <w:t>5万千瓦光伏项目是否占用林地草原和自然保护区的复函</w:t>
                  </w:r>
                  <w:r>
                    <w:rPr>
                      <w:rFonts w:hint="eastAsia" w:ascii="宋体" w:hAnsi="宋体" w:cs="Courier New"/>
                      <w:szCs w:val="21"/>
                    </w:rPr>
                    <w:t>》乌林草发[</w:t>
                  </w:r>
                  <w:r>
                    <w:rPr>
                      <w:rFonts w:ascii="宋体" w:hAnsi="宋体" w:cs="Courier New"/>
                      <w:szCs w:val="21"/>
                    </w:rPr>
                    <w:t>2023]95号</w:t>
                  </w:r>
                </w:p>
              </w:tc>
              <w:tc>
                <w:tcPr>
                  <w:tcW w:w="1560" w:type="dxa"/>
                  <w:tcBorders>
                    <w:bottom w:val="single" w:color="auto" w:sz="12" w:space="0"/>
                    <w:right w:val="single" w:color="auto" w:sz="12" w:space="0"/>
                  </w:tcBorders>
                  <w:vAlign w:val="center"/>
                </w:tcPr>
                <w:p>
                  <w:pPr>
                    <w:adjustRightInd w:val="0"/>
                    <w:jc w:val="center"/>
                    <w:rPr>
                      <w:rFonts w:ascii="宋体" w:hAnsi="宋体" w:cs="Courier New"/>
                      <w:szCs w:val="21"/>
                    </w:rPr>
                  </w:pPr>
                  <w:r>
                    <w:rPr>
                      <w:rFonts w:hint="eastAsia" w:ascii="宋体" w:hAnsi="宋体" w:cs="Courier New"/>
                      <w:szCs w:val="21"/>
                    </w:rPr>
                    <w:t>项目用地部分在林地范围内，占用无立木林地，全部在非基本草原范围内。</w:t>
                  </w:r>
                </w:p>
              </w:tc>
            </w:tr>
          </w:tbl>
          <w:p>
            <w:pPr>
              <w:adjustRightInd w:val="0"/>
              <w:snapToGrid w:val="0"/>
              <w:spacing w:line="360" w:lineRule="auto"/>
              <w:rPr>
                <w:sz w:val="24"/>
              </w:rPr>
            </w:pPr>
          </w:p>
        </w:tc>
      </w:tr>
    </w:tbl>
    <w:p>
      <w:pPr>
        <w:pStyle w:val="13"/>
        <w:jc w:val="center"/>
        <w:rPr>
          <w:rFonts w:ascii="Times New Roman" w:hAnsi="Times New Roman"/>
          <w:snapToGrid w:val="0"/>
          <w:sz w:val="36"/>
          <w:szCs w:val="36"/>
        </w:rPr>
        <w:sectPr>
          <w:pgSz w:w="11906" w:h="16838"/>
          <w:pgMar w:top="1440" w:right="1800" w:bottom="1440" w:left="1800" w:header="851" w:footer="1077" w:gutter="0"/>
          <w:cols w:space="720" w:num="1"/>
          <w:docGrid w:linePitch="312" w:charSpace="0"/>
        </w:sectPr>
      </w:pPr>
    </w:p>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sz w:val="30"/>
          <w:szCs w:val="30"/>
        </w:rPr>
        <w:t>五、主要生态环境保护措施</w:t>
      </w:r>
    </w:p>
    <w:tbl>
      <w:tblPr>
        <w:tblStyle w:val="1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13" w:type="dxa"/>
          <w:left w:w="108" w:type="dxa"/>
          <w:bottom w:w="113"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08" w:type="dxa"/>
            <w:bottom w:w="113" w:type="dxa"/>
            <w:right w:w="108" w:type="dxa"/>
          </w:tblCellMar>
        </w:tblPrEx>
        <w:trPr>
          <w:jc w:val="center"/>
        </w:trPr>
        <w:tc>
          <w:tcPr>
            <w:tcW w:w="753" w:type="dxa"/>
            <w:tcMar>
              <w:left w:w="28" w:type="dxa"/>
              <w:right w:w="28" w:type="dxa"/>
            </w:tcMar>
            <w:vAlign w:val="center"/>
          </w:tcPr>
          <w:p>
            <w:pPr>
              <w:adjustRightInd w:val="0"/>
              <w:snapToGrid w:val="0"/>
              <w:jc w:val="center"/>
              <w:rPr>
                <w:bCs/>
                <w:szCs w:val="21"/>
              </w:rPr>
            </w:pPr>
            <w:r>
              <w:rPr>
                <w:bCs/>
                <w:spacing w:val="10"/>
                <w:sz w:val="24"/>
                <w:szCs w:val="21"/>
              </w:rPr>
              <w:t>施工期生态环境保护措施</w:t>
            </w:r>
          </w:p>
        </w:tc>
        <w:tc>
          <w:tcPr>
            <w:tcW w:w="8457" w:type="dxa"/>
          </w:tcPr>
          <w:p>
            <w:pPr>
              <w:pStyle w:val="44"/>
              <w:spacing w:before="120"/>
              <w:rPr>
                <w:rFonts w:cs="Times New Roman"/>
                <w:color w:val="auto"/>
              </w:rPr>
            </w:pPr>
            <w:r>
              <w:rPr>
                <w:rFonts w:cs="Times New Roman"/>
                <w:color w:val="auto"/>
              </w:rPr>
              <w:t>1、施工期废水排放拟采取的环保措施</w:t>
            </w:r>
          </w:p>
          <w:p>
            <w:pPr>
              <w:adjustRightInd w:val="0"/>
              <w:snapToGrid w:val="0"/>
              <w:spacing w:line="360" w:lineRule="auto"/>
              <w:ind w:firstLine="480" w:firstLineChars="200"/>
              <w:rPr>
                <w:rFonts w:ascii="宋体" w:hAnsi="宋体"/>
                <w:sz w:val="24"/>
              </w:rPr>
            </w:pPr>
            <w:r>
              <w:rPr>
                <w:rFonts w:ascii="宋体" w:hAnsi="宋体"/>
                <w:sz w:val="24"/>
              </w:rPr>
              <w:t>（1）避免雨季开挖作业；</w:t>
            </w:r>
          </w:p>
          <w:p>
            <w:pPr>
              <w:adjustRightInd w:val="0"/>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施工</w:t>
            </w:r>
            <w:r>
              <w:rPr>
                <w:rFonts w:ascii="宋体" w:hAnsi="宋体"/>
                <w:sz w:val="24"/>
              </w:rPr>
              <w:t>废水、施工车辆清洗废水经收集处理后回用，不外排。泥浆废水经沉砂池沉淀后用于施工场地降尘以及施工用水。加强施工机械的检修</w:t>
            </w:r>
            <w:r>
              <w:rPr>
                <w:rFonts w:hint="eastAsia" w:ascii="宋体" w:hAnsi="宋体"/>
                <w:sz w:val="24"/>
              </w:rPr>
              <w:t>与</w:t>
            </w:r>
            <w:r>
              <w:rPr>
                <w:rFonts w:ascii="宋体" w:hAnsi="宋体"/>
                <w:sz w:val="24"/>
              </w:rPr>
              <w:t>管理，避免施工机械的跑、冒、滴、漏油。</w:t>
            </w:r>
          </w:p>
          <w:p>
            <w:pPr>
              <w:adjustRightInd w:val="0"/>
              <w:snapToGrid w:val="0"/>
              <w:spacing w:line="360" w:lineRule="auto"/>
              <w:ind w:firstLine="480" w:firstLineChars="200"/>
              <w:rPr>
                <w:rFonts w:ascii="宋体" w:hAnsi="宋体"/>
                <w:sz w:val="24"/>
              </w:rPr>
            </w:pPr>
            <w:r>
              <w:rPr>
                <w:rFonts w:ascii="宋体" w:hAnsi="宋体"/>
                <w:sz w:val="24"/>
              </w:rPr>
              <w:t>（3）混凝土养护方法为先用吸水材料覆盖混凝土，再在吸水材料上洒水，根据吸收和蒸发情况，适时补充。在养护过程中，大部分养护水被混凝土吸收或被蒸发，不会因养护水漫流而污染周围环境。</w:t>
            </w:r>
          </w:p>
          <w:p>
            <w:pPr>
              <w:adjustRightInd w:val="0"/>
              <w:snapToGrid w:val="0"/>
              <w:spacing w:line="360" w:lineRule="auto"/>
              <w:ind w:firstLine="480" w:firstLineChars="200"/>
              <w:rPr>
                <w:rFonts w:ascii="宋体" w:hAnsi="宋体"/>
                <w:sz w:val="24"/>
              </w:rPr>
            </w:pPr>
            <w:r>
              <w:rPr>
                <w:rFonts w:ascii="宋体" w:hAnsi="宋体"/>
                <w:sz w:val="24"/>
              </w:rPr>
              <w:t>（4）施工人员产生的</w:t>
            </w:r>
            <w:r>
              <w:rPr>
                <w:rFonts w:hint="eastAsia" w:ascii="宋体" w:hAnsi="宋体"/>
                <w:sz w:val="24"/>
              </w:rPr>
              <w:t>生活污水经施工区临时防渗化粪池收集后，由当地环卫部门定期清掏，不外排</w:t>
            </w:r>
            <w:r>
              <w:rPr>
                <w:rFonts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（5）当堆料场存放特殊性的物质，如：建筑材料、水泥等应设篷盖，防止被雨水冲刷造成流失，污染环境</w:t>
            </w:r>
            <w:r>
              <w:rPr>
                <w:rFonts w:ascii="宋体" w:hAnsi="宋体"/>
                <w:sz w:val="24"/>
              </w:rPr>
              <w:t>。</w:t>
            </w:r>
          </w:p>
          <w:p>
            <w:pPr>
              <w:adjustRightInd w:val="0"/>
              <w:snapToGrid w:val="0"/>
              <w:spacing w:line="360" w:lineRule="auto"/>
              <w:ind w:firstLine="480" w:firstLineChars="200"/>
              <w:rPr>
                <w:rFonts w:ascii="宋体" w:hAnsi="宋体"/>
                <w:sz w:val="24"/>
              </w:rPr>
            </w:pPr>
            <w:r>
              <w:rPr>
                <w:rFonts w:ascii="宋体" w:hAnsi="宋体"/>
                <w:sz w:val="24"/>
              </w:rPr>
              <w:t>（6）</w:t>
            </w:r>
            <w:r>
              <w:rPr>
                <w:rFonts w:hint="eastAsia" w:ascii="宋体" w:hAnsi="宋体"/>
                <w:sz w:val="24"/>
              </w:rPr>
              <w:t>光伏场地块3与地块4之间，升压站与施工生活区之间有季节性河流达拉盖沟，施工期间注意防护，避免向河道内倾倒污水、废水。</w:t>
            </w:r>
          </w:p>
          <w:p>
            <w:pPr>
              <w:adjustRightInd w:val="0"/>
              <w:snapToGrid w:val="0"/>
              <w:spacing w:line="360" w:lineRule="auto"/>
              <w:ind w:firstLine="480" w:firstLineChars="200"/>
              <w:rPr>
                <w:rFonts w:ascii="宋体" w:hAnsi="宋体"/>
                <w:sz w:val="24"/>
              </w:rPr>
            </w:pPr>
            <w:r>
              <w:rPr>
                <w:rFonts w:ascii="宋体" w:hAnsi="宋体"/>
                <w:sz w:val="24"/>
              </w:rPr>
              <w:t>（</w:t>
            </w:r>
            <w:r>
              <w:rPr>
                <w:rFonts w:hint="eastAsia" w:ascii="宋体" w:hAnsi="宋体"/>
                <w:sz w:val="24"/>
              </w:rPr>
              <w:t>7</w:t>
            </w:r>
            <w:r>
              <w:rPr>
                <w:rFonts w:ascii="宋体" w:hAnsi="宋体"/>
                <w:sz w:val="24"/>
              </w:rPr>
              <w:t>）落实文明施工原则，不乱排施工废水。</w:t>
            </w:r>
          </w:p>
          <w:p>
            <w:pPr>
              <w:pStyle w:val="44"/>
              <w:spacing w:before="120"/>
              <w:rPr>
                <w:rFonts w:cs="Times New Roman"/>
                <w:color w:val="auto"/>
                <w:szCs w:val="24"/>
              </w:rPr>
            </w:pPr>
            <w:r>
              <w:rPr>
                <w:rFonts w:cs="Times New Roman"/>
                <w:color w:val="auto"/>
              </w:rPr>
              <w:t>2</w:t>
            </w:r>
            <w:r>
              <w:rPr>
                <w:rFonts w:cs="Times New Roman"/>
                <w:color w:val="auto"/>
                <w:szCs w:val="24"/>
              </w:rPr>
              <w:t>、</w:t>
            </w:r>
            <w:r>
              <w:rPr>
                <w:rFonts w:cs="Times New Roman"/>
                <w:color w:val="auto"/>
              </w:rPr>
              <w:t>大气环境保护措施</w:t>
            </w:r>
          </w:p>
          <w:p>
            <w:pPr>
              <w:adjustRightInd w:val="0"/>
              <w:snapToGrid w:val="0"/>
              <w:spacing w:line="360" w:lineRule="auto"/>
              <w:ind w:firstLine="480" w:firstLineChars="200"/>
              <w:rPr>
                <w:sz w:val="24"/>
              </w:rPr>
            </w:pPr>
            <w:r>
              <w:rPr>
                <w:sz w:val="24"/>
              </w:rPr>
              <w:t>（1）施工单位应文明施工，加强施工期的环境管理工作。</w:t>
            </w:r>
          </w:p>
          <w:p>
            <w:pPr>
              <w:adjustRightInd w:val="0"/>
              <w:snapToGrid w:val="0"/>
              <w:spacing w:line="360" w:lineRule="auto"/>
              <w:ind w:firstLine="480" w:firstLineChars="200"/>
              <w:rPr>
                <w:sz w:val="24"/>
              </w:rPr>
            </w:pPr>
            <w:r>
              <w:rPr>
                <w:sz w:val="24"/>
              </w:rPr>
              <w:t>（2）施工时使用商品混凝土，然后用罐装车运至施工点进行浇筑，避免因混凝土拌制产生扬尘。</w:t>
            </w:r>
          </w:p>
          <w:p>
            <w:pPr>
              <w:adjustRightInd w:val="0"/>
              <w:snapToGrid w:val="0"/>
              <w:spacing w:line="360" w:lineRule="auto"/>
              <w:ind w:firstLine="480" w:firstLineChars="200"/>
              <w:rPr>
                <w:sz w:val="24"/>
              </w:rPr>
            </w:pPr>
            <w:r>
              <w:rPr>
                <w:sz w:val="24"/>
              </w:rPr>
              <w:t>（3）车辆运输散体材料和废弃物时，必须密闭、包扎、覆盖，避免沿途漏撒；运载土方的车辆必须在规定的时间内，按指定路段行驶，控制扬尘污染。</w:t>
            </w:r>
          </w:p>
          <w:p>
            <w:pPr>
              <w:adjustRightInd w:val="0"/>
              <w:snapToGrid w:val="0"/>
              <w:spacing w:line="360" w:lineRule="auto"/>
              <w:ind w:firstLine="480" w:firstLineChars="200"/>
              <w:rPr>
                <w:sz w:val="24"/>
              </w:rPr>
            </w:pPr>
            <w:r>
              <w:rPr>
                <w:rFonts w:hint="eastAsia"/>
                <w:sz w:val="24"/>
              </w:rPr>
              <w:t>（4）</w:t>
            </w:r>
            <w:r>
              <w:rPr>
                <w:sz w:val="24"/>
              </w:rPr>
              <w:t>尽量避免在大风天气下进行建筑材料、砂石料等的装卸作业。</w:t>
            </w:r>
          </w:p>
          <w:p>
            <w:pPr>
              <w:adjustRightInd w:val="0"/>
              <w:snapToGrid w:val="0"/>
              <w:spacing w:line="360" w:lineRule="auto"/>
              <w:ind w:firstLine="480" w:firstLineChars="200"/>
              <w:rPr>
                <w:sz w:val="24"/>
              </w:rPr>
            </w:pPr>
            <w:r>
              <w:rPr>
                <w:sz w:val="24"/>
              </w:rPr>
              <w:t>（5）加强材料转运与使用的管理，合理装卸，规范操作。</w:t>
            </w:r>
          </w:p>
          <w:p>
            <w:pPr>
              <w:adjustRightInd w:val="0"/>
              <w:snapToGrid w:val="0"/>
              <w:spacing w:line="360" w:lineRule="auto"/>
              <w:ind w:firstLine="480" w:firstLineChars="200"/>
              <w:rPr>
                <w:sz w:val="24"/>
              </w:rPr>
            </w:pPr>
            <w:r>
              <w:rPr>
                <w:sz w:val="24"/>
              </w:rPr>
              <w:t>（6）施工时对于裸露施工面应定期洒水，减少施工扬尘，进出场地的车辆限制车速。</w:t>
            </w:r>
          </w:p>
          <w:p>
            <w:pPr>
              <w:adjustRightInd w:val="0"/>
              <w:snapToGrid w:val="0"/>
              <w:spacing w:line="360" w:lineRule="auto"/>
              <w:ind w:firstLine="480" w:firstLineChars="200"/>
              <w:rPr>
                <w:sz w:val="24"/>
              </w:rPr>
            </w:pPr>
            <w:r>
              <w:rPr>
                <w:sz w:val="24"/>
              </w:rPr>
              <w:t>（7）施工开挖后的土石方及建筑材料就近堆放，采取拦挡、苫盖措施。</w:t>
            </w:r>
          </w:p>
          <w:p>
            <w:pPr>
              <w:adjustRightInd w:val="0"/>
              <w:snapToGrid w:val="0"/>
              <w:spacing w:line="360" w:lineRule="auto"/>
              <w:ind w:firstLine="480" w:firstLineChars="200"/>
              <w:rPr>
                <w:sz w:val="24"/>
              </w:rPr>
            </w:pPr>
            <w:r>
              <w:rPr>
                <w:rFonts w:hint="eastAsia"/>
                <w:sz w:val="24"/>
              </w:rPr>
              <w:t>（8）</w:t>
            </w:r>
            <w:r>
              <w:rPr>
                <w:sz w:val="24"/>
              </w:rPr>
              <w:t>燃油机械和柴油发电机尽量使用含硫率低的清洁柴油，以减轻对大气环境的污染。</w:t>
            </w:r>
          </w:p>
          <w:p>
            <w:pPr>
              <w:adjustRightInd w:val="0"/>
              <w:snapToGrid w:val="0"/>
              <w:spacing w:line="360" w:lineRule="auto"/>
              <w:ind w:firstLine="480" w:firstLineChars="200"/>
              <w:rPr>
                <w:sz w:val="24"/>
              </w:rPr>
            </w:pPr>
            <w:r>
              <w:rPr>
                <w:sz w:val="24"/>
              </w:rPr>
              <w:t>（9）本工程开挖土方、表土在光伏场区空地堆存期间需苫盖，堆土坡底采用装土袋拦挡，定期洒水降尘，以减少扬尘污染。</w:t>
            </w:r>
            <w:r>
              <w:rPr>
                <w:rFonts w:hint="eastAsia"/>
                <w:sz w:val="24"/>
              </w:rPr>
              <w:t xml:space="preserve"> </w:t>
            </w:r>
            <w:r>
              <w:rPr>
                <w:sz w:val="24"/>
              </w:rPr>
              <w:t xml:space="preserve">   </w:t>
            </w:r>
          </w:p>
          <w:p>
            <w:pPr>
              <w:pStyle w:val="44"/>
              <w:spacing w:before="120"/>
              <w:rPr>
                <w:rFonts w:cs="Times New Roman"/>
                <w:color w:val="auto"/>
              </w:rPr>
            </w:pPr>
            <w:r>
              <w:rPr>
                <w:rFonts w:cs="Times New Roman"/>
                <w:color w:val="auto"/>
              </w:rPr>
              <w:t>3、声环境保护措施</w:t>
            </w:r>
          </w:p>
          <w:p>
            <w:pPr>
              <w:shd w:val="clear" w:color="auto" w:fill="FFFFFF"/>
              <w:adjustRightInd w:val="0"/>
              <w:snapToGrid w:val="0"/>
              <w:spacing w:line="360" w:lineRule="auto"/>
              <w:ind w:firstLine="480" w:firstLineChars="200"/>
              <w:rPr>
                <w:kern w:val="0"/>
                <w:sz w:val="24"/>
              </w:rPr>
            </w:pPr>
            <w:r>
              <w:rPr>
                <w:kern w:val="0"/>
                <w:sz w:val="24"/>
              </w:rPr>
              <w:t>（1）采用噪声水平满足国家相应标准的施工机械设备，加强施工机械的维修、管理，保证施工机械运行良好</w:t>
            </w:r>
          </w:p>
          <w:p>
            <w:pPr>
              <w:shd w:val="clear" w:color="auto" w:fill="FFFFFF"/>
              <w:adjustRightInd w:val="0"/>
              <w:snapToGrid w:val="0"/>
              <w:spacing w:line="360" w:lineRule="auto"/>
              <w:ind w:firstLine="480" w:firstLineChars="200"/>
              <w:rPr>
                <w:kern w:val="0"/>
                <w:sz w:val="24"/>
              </w:rPr>
            </w:pPr>
            <w:r>
              <w:rPr>
                <w:kern w:val="0"/>
                <w:sz w:val="24"/>
              </w:rPr>
              <w:t>（2）合理控制施工时间，避免夜间施工作业。</w:t>
            </w:r>
          </w:p>
          <w:p>
            <w:pPr>
              <w:shd w:val="clear" w:color="auto" w:fill="FFFFFF"/>
              <w:adjustRightInd w:val="0"/>
              <w:snapToGrid w:val="0"/>
              <w:spacing w:line="360" w:lineRule="auto"/>
              <w:ind w:firstLine="480" w:firstLineChars="200"/>
              <w:rPr>
                <w:kern w:val="0"/>
                <w:sz w:val="24"/>
              </w:rPr>
            </w:pPr>
            <w:r>
              <w:rPr>
                <w:kern w:val="0"/>
                <w:sz w:val="24"/>
              </w:rPr>
              <w:t>（3）强噪声设备安置于单独的工棚内，采取隔声、减震等措施减少噪声源强。</w:t>
            </w:r>
          </w:p>
          <w:p>
            <w:pPr>
              <w:shd w:val="clear" w:color="auto" w:fill="FFFFFF"/>
              <w:adjustRightInd w:val="0"/>
              <w:snapToGrid w:val="0"/>
              <w:spacing w:line="360" w:lineRule="auto"/>
              <w:ind w:firstLine="480" w:firstLineChars="200"/>
              <w:outlineLvl w:val="1"/>
              <w:rPr>
                <w:kern w:val="0"/>
                <w:sz w:val="24"/>
              </w:rPr>
            </w:pPr>
            <w:r>
              <w:rPr>
                <w:kern w:val="0"/>
                <w:sz w:val="24"/>
              </w:rPr>
              <w:t>（4）加强施工管理，减少施工噪声对周围环境的影响，禁止夜间、午间等休息时间段施工。材料、土石方等运输车辆减速慢行、少鸣笛或不鸣笛；施工场地应设置临时施工围挡，最大限度避免施工噪声扰民。</w:t>
            </w:r>
          </w:p>
          <w:p>
            <w:pPr>
              <w:shd w:val="clear" w:color="auto" w:fill="FFFFFF"/>
              <w:adjustRightInd w:val="0"/>
              <w:snapToGrid w:val="0"/>
              <w:spacing w:line="360" w:lineRule="auto"/>
              <w:ind w:firstLine="480" w:firstLineChars="200"/>
              <w:outlineLvl w:val="1"/>
              <w:rPr>
                <w:kern w:val="0"/>
                <w:sz w:val="24"/>
              </w:rPr>
            </w:pPr>
            <w:r>
              <w:rPr>
                <w:kern w:val="0"/>
                <w:sz w:val="24"/>
              </w:rPr>
              <w:t>（</w:t>
            </w:r>
            <w:r>
              <w:rPr>
                <w:rFonts w:hint="eastAsia"/>
                <w:kern w:val="0"/>
                <w:sz w:val="24"/>
              </w:rPr>
              <w:t>5）施工期间需与附近居民协商施工时段，避免噪声扰民。</w:t>
            </w:r>
          </w:p>
          <w:p>
            <w:pPr>
              <w:pStyle w:val="44"/>
              <w:spacing w:before="120"/>
              <w:rPr>
                <w:rFonts w:cs="Times New Roman"/>
                <w:color w:val="auto"/>
              </w:rPr>
            </w:pPr>
            <w:r>
              <w:rPr>
                <w:rFonts w:cs="Times New Roman"/>
                <w:color w:val="auto"/>
              </w:rPr>
              <w:t>4、施工期固体废物拟采取的环保措施</w:t>
            </w:r>
          </w:p>
          <w:p>
            <w:pPr>
              <w:pStyle w:val="46"/>
              <w:ind w:firstLine="480"/>
              <w:rPr>
                <w:rFonts w:cs="Times New Roman"/>
              </w:rPr>
            </w:pPr>
            <w:r>
              <w:rPr>
                <w:rFonts w:cs="Times New Roman"/>
              </w:rPr>
              <w:t>（1）</w:t>
            </w:r>
            <w:r>
              <w:rPr>
                <w:rFonts w:ascii="宋体" w:hAnsi="宋体"/>
              </w:rPr>
              <w:t>项目</w:t>
            </w:r>
            <w:r>
              <w:rPr>
                <w:rFonts w:hint="eastAsia" w:ascii="宋体" w:hAnsi="宋体"/>
              </w:rPr>
              <w:t>光伏支架</w:t>
            </w:r>
            <w:r>
              <w:rPr>
                <w:rFonts w:ascii="宋体" w:hAnsi="宋体"/>
              </w:rPr>
              <w:t>基础</w:t>
            </w:r>
            <w:r>
              <w:rPr>
                <w:rFonts w:hint="eastAsia" w:ascii="宋体" w:hAnsi="宋体"/>
              </w:rPr>
              <w:t>和</w:t>
            </w:r>
            <w:r>
              <w:rPr>
                <w:rFonts w:ascii="宋体" w:hAnsi="宋体" w:cs="宋体"/>
                <w:kern w:val="0"/>
              </w:rPr>
              <w:t>箱逆变一体化设备基础</w:t>
            </w:r>
            <w:r>
              <w:rPr>
                <w:rFonts w:ascii="宋体" w:hAnsi="宋体"/>
              </w:rPr>
              <w:t>开挖等产生的废土方，</w:t>
            </w:r>
            <w:r>
              <w:rPr>
                <w:rFonts w:hint="eastAsia" w:ascii="宋体" w:hAnsi="宋体"/>
              </w:rPr>
              <w:t>全部</w:t>
            </w:r>
            <w:r>
              <w:rPr>
                <w:rFonts w:ascii="宋体" w:hAnsi="宋体"/>
              </w:rPr>
              <w:t>回填，本项目施工期</w:t>
            </w:r>
            <w:r>
              <w:rPr>
                <w:rFonts w:hint="eastAsia" w:ascii="宋体" w:hAnsi="宋体"/>
              </w:rPr>
              <w:t>无</w:t>
            </w:r>
            <w:r>
              <w:rPr>
                <w:rFonts w:ascii="宋体" w:hAnsi="宋体"/>
              </w:rPr>
              <w:t>弃土</w:t>
            </w:r>
            <w:r>
              <w:rPr>
                <w:rFonts w:hint="eastAsia" w:ascii="宋体" w:hAnsi="宋体"/>
              </w:rPr>
              <w:t>，不设置</w:t>
            </w:r>
            <w:r>
              <w:rPr>
                <w:rFonts w:ascii="宋体" w:hAnsi="宋体"/>
              </w:rPr>
              <w:t>弃土场</w:t>
            </w:r>
            <w:r>
              <w:rPr>
                <w:rFonts w:hint="eastAsia" w:ascii="宋体" w:hAnsi="宋体"/>
              </w:rPr>
              <w:t>。</w:t>
            </w:r>
            <w:r>
              <w:rPr>
                <w:rFonts w:ascii="宋体" w:hAnsi="宋体"/>
              </w:rPr>
              <w:t>但应采取</w:t>
            </w:r>
            <w:r>
              <w:rPr>
                <w:rFonts w:hint="eastAsia" w:ascii="宋体" w:hAnsi="宋体"/>
              </w:rPr>
              <w:t>施工临时堆土</w:t>
            </w:r>
            <w:r>
              <w:rPr>
                <w:rFonts w:ascii="宋体" w:hAnsi="宋体"/>
              </w:rPr>
              <w:t>设置防护措施，如土袋挡护、拍实、</w:t>
            </w:r>
            <w:r>
              <w:rPr>
                <w:rFonts w:hint="eastAsia" w:ascii="宋体" w:hAnsi="宋体"/>
              </w:rPr>
              <w:t>苫盖</w:t>
            </w:r>
            <w:r>
              <w:rPr>
                <w:rFonts w:ascii="宋体" w:hAnsi="宋体"/>
              </w:rPr>
              <w:t>，待最终完工后进行土地整治利用。</w:t>
            </w:r>
          </w:p>
          <w:p>
            <w:pPr>
              <w:pStyle w:val="46"/>
              <w:ind w:firstLine="480"/>
              <w:rPr>
                <w:rFonts w:cs="Times New Roman"/>
              </w:rPr>
            </w:pPr>
            <w:r>
              <w:rPr>
                <w:rFonts w:cs="Times New Roman"/>
              </w:rPr>
              <w:t>（2）建筑垃圾应在指定的堆放点存放，钢筋等材料可回收利用，其他垃圾采用封闭式废土运输车及时送到当地环卫部门指定倾倒点处置，不能随意抛弃、转移和扩散。</w:t>
            </w:r>
          </w:p>
          <w:p>
            <w:pPr>
              <w:pStyle w:val="46"/>
              <w:ind w:firstLine="480"/>
              <w:rPr>
                <w:rFonts w:cs="Times New Roman"/>
              </w:rPr>
            </w:pPr>
            <w:r>
              <w:rPr>
                <w:rFonts w:cs="Times New Roman"/>
              </w:rPr>
              <w:t>（3）施工人员的生活垃圾及时收集到场内指定的垃圾箱内，定期清运至当地环卫部门指定地点集中处置。</w:t>
            </w:r>
          </w:p>
          <w:p>
            <w:pPr>
              <w:pStyle w:val="46"/>
              <w:ind w:firstLine="480"/>
              <w:rPr>
                <w:rFonts w:cs="Times New Roman"/>
              </w:rPr>
            </w:pPr>
            <w:r>
              <w:rPr>
                <w:rFonts w:hint="eastAsia" w:cs="Times New Roman"/>
              </w:rPr>
              <w:t>（</w:t>
            </w:r>
            <w:r>
              <w:rPr>
                <w:rFonts w:cs="Times New Roman"/>
              </w:rPr>
              <w:t>4</w:t>
            </w:r>
            <w:r>
              <w:rPr>
                <w:rFonts w:hint="eastAsia" w:cs="Times New Roman"/>
              </w:rPr>
              <w:t>）做好施工人员的教育工作，施工期间避免向河道内倾倒施工垃圾、生活垃圾。</w:t>
            </w:r>
          </w:p>
          <w:p>
            <w:pPr>
              <w:pStyle w:val="44"/>
              <w:spacing w:before="120"/>
              <w:rPr>
                <w:rFonts w:cs="Times New Roman"/>
                <w:color w:val="auto"/>
              </w:rPr>
            </w:pPr>
            <w:r>
              <w:rPr>
                <w:rFonts w:cs="Times New Roman"/>
                <w:color w:val="auto"/>
              </w:rPr>
              <w:t>5、生态环境保护措施</w:t>
            </w:r>
          </w:p>
          <w:p>
            <w:pPr>
              <w:pStyle w:val="24"/>
              <w:ind w:firstLine="482"/>
              <w:rPr>
                <w:rFonts w:cs="Times New Roman"/>
              </w:rPr>
            </w:pPr>
            <w:r>
              <w:rPr>
                <w:rFonts w:cs="Times New Roman"/>
              </w:rPr>
              <w:t>（1）植被保护措施</w:t>
            </w:r>
          </w:p>
          <w:p>
            <w:pPr>
              <w:pStyle w:val="46"/>
              <w:ind w:firstLine="480"/>
              <w:rPr>
                <w:rFonts w:cs="Times New Roman"/>
              </w:rPr>
            </w:pPr>
            <w:r>
              <w:rPr>
                <w:rFonts w:cs="Times New Roman"/>
              </w:rPr>
              <w:t>合理规划施工范围，利用现有的道路进行施工，站区临时占地在施工前，要分层开挖，分层剥离，表土单独堆放，采取密目网苫盖措施，开挖土分层回填，并及时对施工场地进行土地平整，施工结束后进行植被恢复。</w:t>
            </w:r>
            <w:r>
              <w:rPr>
                <w:rFonts w:cs="Times New Roman"/>
                <w:kern w:val="0"/>
              </w:rPr>
              <w:t>各施工场地的主要恢复补偿措施如下：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 xml:space="preserve"> </w:t>
            </w:r>
            <w:r>
              <w:rPr>
                <w:rFonts w:hint="eastAsia"/>
                <w:kern w:val="0"/>
                <w:sz w:val="24"/>
              </w:rPr>
              <w:t>施工检修</w:t>
            </w:r>
            <w:r>
              <w:rPr>
                <w:kern w:val="0"/>
                <w:sz w:val="24"/>
              </w:rPr>
              <w:t>道路：施工结束后对道路两侧进行植被恢复。</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 xml:space="preserve"> 光伏组件</w:t>
            </w:r>
            <w:r>
              <w:rPr>
                <w:rFonts w:hint="eastAsia"/>
                <w:kern w:val="0"/>
                <w:sz w:val="24"/>
              </w:rPr>
              <w:t>安装场地</w:t>
            </w:r>
            <w:r>
              <w:rPr>
                <w:kern w:val="0"/>
                <w:sz w:val="24"/>
              </w:rPr>
              <w:t>：施工结束后及时清理恢复施工迹地、平整场地，并结合场地原土地利用情况</w:t>
            </w:r>
            <w:r>
              <w:rPr>
                <w:rFonts w:hint="eastAsia"/>
                <w:kern w:val="0"/>
                <w:sz w:val="24"/>
              </w:rPr>
              <w:t>进行植被恢复</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 xml:space="preserve">③ </w:t>
            </w:r>
            <w:r>
              <w:rPr>
                <w:kern w:val="0"/>
                <w:sz w:val="24"/>
              </w:rPr>
              <w:t>施工营地：施工结束后清理恢复施工迹地、平整土地，根据立地条件，种植撒播草籽恢复。</w:t>
            </w:r>
          </w:p>
          <w:p>
            <w:pPr>
              <w:pStyle w:val="46"/>
              <w:ind w:firstLine="480"/>
              <w:rPr>
                <w:rFonts w:cs="Times New Roman"/>
              </w:rPr>
            </w:pPr>
            <w:r>
              <w:rPr>
                <w:rFonts w:cs="Times New Roman"/>
              </w:rPr>
              <w:t>在采取以上植被保护措施以后，工程施工对植被的影响较小。</w:t>
            </w:r>
          </w:p>
          <w:p>
            <w:pPr>
              <w:pStyle w:val="24"/>
              <w:ind w:firstLine="482"/>
              <w:rPr>
                <w:rFonts w:cs="Times New Roman"/>
              </w:rPr>
            </w:pPr>
            <w:r>
              <w:rPr>
                <w:rFonts w:cs="Times New Roman"/>
              </w:rPr>
              <w:t>（2）动物资源保护措施</w:t>
            </w:r>
          </w:p>
          <w:p>
            <w:pPr>
              <w:pStyle w:val="46"/>
              <w:ind w:firstLine="480"/>
              <w:rPr>
                <w:rFonts w:cs="Times New Roman"/>
              </w:rPr>
            </w:pPr>
            <w:r>
              <w:rPr>
                <w:rFonts w:cs="Times New Roman"/>
              </w:rPr>
              <w:t>合理安排施工时间，在不影响工程进度的前提下，尽量避开野生动物活动的高峰时段。鸟类和兽类大多是早晨、黄昏</w:t>
            </w:r>
            <w:r>
              <w:rPr>
                <w:rFonts w:hint="eastAsia" w:cs="Times New Roman"/>
              </w:rPr>
              <w:t>，部分</w:t>
            </w:r>
            <w:r>
              <w:rPr>
                <w:rFonts w:cs="Times New Roman"/>
              </w:rPr>
              <w:t>夜间外出觅食</w:t>
            </w:r>
            <w:r>
              <w:rPr>
                <w:rFonts w:hint="eastAsia" w:cs="Times New Roman"/>
              </w:rPr>
              <w:t>，</w:t>
            </w:r>
            <w:r>
              <w:rPr>
                <w:rFonts w:cs="Times New Roman"/>
              </w:rPr>
              <w:t>为了减少工程施工噪声对野生动物的惊扰，应做好施工方式和时间的计划，晨、昏和正午避免高噪音作业，尽最避免夜间施工。</w:t>
            </w:r>
          </w:p>
          <w:p>
            <w:pPr>
              <w:pStyle w:val="46"/>
              <w:ind w:firstLine="480"/>
              <w:rPr>
                <w:rFonts w:cs="Times New Roman"/>
              </w:rPr>
            </w:pPr>
            <w:r>
              <w:rPr>
                <w:rFonts w:cs="Times New Roman"/>
              </w:rPr>
              <w:t>施工期间加强堆料场防护，加强施工人员的各类卫生管理，避免生活垃圾、生活污水的直接排放，减少污染，最大限度保护动物生境。</w:t>
            </w:r>
          </w:p>
          <w:p>
            <w:pPr>
              <w:pStyle w:val="46"/>
              <w:ind w:firstLine="480"/>
              <w:rPr>
                <w:rFonts w:cs="Times New Roman"/>
                <w:sz w:val="21"/>
                <w:szCs w:val="21"/>
              </w:rPr>
            </w:pPr>
            <w:r>
              <w:rPr>
                <w:rFonts w:cs="Times New Roman"/>
              </w:rPr>
              <w:t>加强野生动物保护的宣传教育，在光伏场征地范围和场内公路主要路口设置警示牌。</w:t>
            </w:r>
          </w:p>
          <w:p>
            <w:pPr>
              <w:pStyle w:val="24"/>
              <w:ind w:firstLine="482"/>
              <w:rPr>
                <w:rFonts w:cs="Times New Roman"/>
              </w:rPr>
            </w:pPr>
            <w:r>
              <w:rPr>
                <w:rFonts w:cs="Times New Roman"/>
              </w:rPr>
              <w:t xml:space="preserve">（3）临时工程用地设置要求及恢复措施 </w:t>
            </w:r>
          </w:p>
          <w:p>
            <w:pPr>
              <w:adjustRightInd w:val="0"/>
              <w:snapToGrid w:val="0"/>
              <w:spacing w:line="360" w:lineRule="auto"/>
              <w:ind w:firstLine="480" w:firstLineChars="200"/>
              <w:rPr>
                <w:kern w:val="0"/>
                <w:sz w:val="24"/>
              </w:rPr>
            </w:pPr>
            <w:r>
              <w:rPr>
                <w:sz w:val="24"/>
              </w:rPr>
              <w:t>项目施工结束后，项目临时占地应采取覆土及植被恢复措施。</w:t>
            </w:r>
            <w:r>
              <w:rPr>
                <w:kern w:val="0"/>
                <w:sz w:val="24"/>
              </w:rPr>
              <w:t>施工生产生活区、施工道路等临时工程选址的环保要求如下：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 xml:space="preserve"> 施工生产生活区布设在较为固定位置，做到便捷施工的同时，尽可能减少临时性用地，避免更大范围的破坏地表植被。</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 xml:space="preserve"> 施工道路应尽量利用原有</w:t>
            </w:r>
            <w:r>
              <w:rPr>
                <w:rFonts w:hint="eastAsia"/>
                <w:kern w:val="0"/>
                <w:sz w:val="24"/>
              </w:rPr>
              <w:t>道</w:t>
            </w:r>
            <w:r>
              <w:rPr>
                <w:kern w:val="0"/>
                <w:sz w:val="24"/>
              </w:rPr>
              <w:t>路，施工运输车辆按照指定运输道路行驶（避让居民点），禁止肆意碾压植被</w:t>
            </w:r>
            <w:r>
              <w:rPr>
                <w:rFonts w:hint="eastAsia"/>
                <w:kern w:val="0"/>
                <w:sz w:val="24"/>
              </w:rPr>
              <w:t>。</w:t>
            </w:r>
            <w:r>
              <w:rPr>
                <w:kern w:val="0"/>
                <w:sz w:val="24"/>
              </w:rPr>
              <w:t>同时注意做好路面洒水等防尘工作，减少扬尘影响。临时用地应尽量缩短使用时间，用后及时恢复土地原来的功能。</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 xml:space="preserve"> 严格控制各类临时工程用地的数量，其面积不应大于设计给定的面积，禁止随意的超标占地。</w:t>
            </w:r>
          </w:p>
          <w:p>
            <w:pPr>
              <w:adjustRightInd w:val="0"/>
              <w:snapToGrid w:val="0"/>
              <w:spacing w:line="360" w:lineRule="auto"/>
              <w:ind w:firstLine="480" w:firstLineChars="200"/>
              <w:rPr>
                <w:kern w:val="0"/>
                <w:sz w:val="24"/>
              </w:rPr>
            </w:pPr>
            <w:r>
              <w:rPr>
                <w:rFonts w:hint="eastAsia" w:ascii="宋体" w:hAnsi="宋体" w:cs="宋体"/>
                <w:kern w:val="0"/>
                <w:sz w:val="24"/>
              </w:rPr>
              <w:t>④</w:t>
            </w:r>
            <w:r>
              <w:rPr>
                <w:kern w:val="0"/>
                <w:sz w:val="24"/>
              </w:rPr>
              <w:t xml:space="preserve"> 根据工程区域地质条件及施工布置，统筹规划，尽量节约用地，合理布置施工临时设施，尽可能实现永临结合。 </w:t>
            </w:r>
          </w:p>
          <w:p>
            <w:pPr>
              <w:adjustRightInd w:val="0"/>
              <w:snapToGrid w:val="0"/>
              <w:spacing w:line="360" w:lineRule="auto"/>
              <w:ind w:firstLine="480" w:firstLineChars="200"/>
              <w:rPr>
                <w:kern w:val="0"/>
                <w:sz w:val="24"/>
              </w:rPr>
            </w:pPr>
            <w:r>
              <w:rPr>
                <w:kern w:val="0"/>
                <w:sz w:val="24"/>
              </w:rPr>
              <w:fldChar w:fldCharType="begin"/>
            </w:r>
            <w:r>
              <w:rPr>
                <w:kern w:val="0"/>
                <w:sz w:val="24"/>
              </w:rPr>
              <w:instrText xml:space="preserve"> </w:instrText>
            </w:r>
            <w:r>
              <w:rPr>
                <w:rFonts w:hint="eastAsia"/>
                <w:kern w:val="0"/>
                <w:sz w:val="24"/>
              </w:rPr>
              <w:instrText xml:space="preserve">= 5 \* GB3</w:instrText>
            </w:r>
            <w:r>
              <w:rPr>
                <w:kern w:val="0"/>
                <w:sz w:val="24"/>
              </w:rPr>
              <w:instrText xml:space="preserve"> </w:instrText>
            </w:r>
            <w:r>
              <w:rPr>
                <w:kern w:val="0"/>
                <w:sz w:val="24"/>
              </w:rPr>
              <w:fldChar w:fldCharType="separate"/>
            </w:r>
            <w:r>
              <w:rPr>
                <w:rFonts w:hint="eastAsia"/>
                <w:kern w:val="0"/>
                <w:sz w:val="24"/>
              </w:rPr>
              <w:t>⑤</w:t>
            </w:r>
            <w:r>
              <w:rPr>
                <w:kern w:val="0"/>
                <w:sz w:val="24"/>
              </w:rPr>
              <w:fldChar w:fldCharType="end"/>
            </w:r>
            <w:r>
              <w:rPr>
                <w:kern w:val="0"/>
                <w:sz w:val="24"/>
              </w:rPr>
              <w:t xml:space="preserve"> </w:t>
            </w:r>
            <w:r>
              <w:rPr>
                <w:rFonts w:hint="eastAsia"/>
                <w:kern w:val="0"/>
                <w:sz w:val="24"/>
              </w:rPr>
              <w:t>施工期加强监管工作，避免从河道内非法取沙。</w:t>
            </w:r>
          </w:p>
          <w:p>
            <w:pPr>
              <w:adjustRightInd w:val="0"/>
              <w:snapToGrid w:val="0"/>
              <w:spacing w:line="360" w:lineRule="auto"/>
              <w:ind w:firstLine="482" w:firstLineChars="200"/>
              <w:rPr>
                <w:b/>
                <w:snapToGrid w:val="0"/>
                <w:sz w:val="24"/>
                <w:szCs w:val="20"/>
              </w:rPr>
            </w:pPr>
            <w:r>
              <w:rPr>
                <w:rFonts w:hint="eastAsia"/>
                <w:b/>
                <w:snapToGrid w:val="0"/>
                <w:sz w:val="24"/>
                <w:szCs w:val="20"/>
              </w:rPr>
              <w:t>（</w:t>
            </w:r>
            <w:r>
              <w:rPr>
                <w:b/>
                <w:snapToGrid w:val="0"/>
                <w:sz w:val="24"/>
                <w:szCs w:val="20"/>
              </w:rPr>
              <w:t>4</w:t>
            </w:r>
            <w:r>
              <w:rPr>
                <w:rFonts w:hint="eastAsia"/>
                <w:b/>
                <w:snapToGrid w:val="0"/>
                <w:sz w:val="24"/>
                <w:szCs w:val="20"/>
              </w:rPr>
              <w:t>）生态治理要求及措施</w:t>
            </w:r>
          </w:p>
          <w:p>
            <w:pPr>
              <w:adjustRightInd w:val="0"/>
              <w:snapToGrid w:val="0"/>
              <w:spacing w:line="360" w:lineRule="auto"/>
              <w:ind w:firstLine="480" w:firstLineChars="200"/>
              <w:rPr>
                <w:kern w:val="0"/>
                <w:sz w:val="24"/>
              </w:rPr>
            </w:pPr>
            <w:r>
              <w:rPr>
                <w:rFonts w:hint="eastAsia"/>
                <w:kern w:val="0"/>
                <w:sz w:val="24"/>
              </w:rPr>
              <w:t>本项目生态治理工程按照生态治理工程规划及措施，根据植物生长习性选择适合植物生长的时间起苗、定植造林。施工完毕后清理地表施工垃圾，恢复施工生活区植被。</w:t>
            </w:r>
          </w:p>
          <w:p>
            <w:pPr>
              <w:adjustRightInd w:val="0"/>
              <w:snapToGrid w:val="0"/>
              <w:spacing w:line="360" w:lineRule="auto"/>
              <w:ind w:firstLine="480" w:firstLineChars="200"/>
              <w:rPr>
                <w:kern w:val="0"/>
                <w:sz w:val="24"/>
              </w:rPr>
            </w:pPr>
            <w:r>
              <w:rPr>
                <w:rFonts w:hint="eastAsia"/>
                <w:kern w:val="0"/>
                <w:sz w:val="24"/>
              </w:rPr>
              <w:t>本项目在光伏场区建成后，第一年的春季进行土地治理，完成人工牧草地修复、坡面灌木生态修复各项修复措施实施，覆土尽量用工程建设施工的剥离表土，地块一、二、三需外购覆土。采取施用有机肥、氮肥、磷肥的方式进行土壤改良，有机肥在植被建植前按量施入治理区，采用机械与人工结合，机械分散堆放，人工搂平整理，再将氮肥和磷肥按施入量均匀分散撒入修复地，有机肥、磷肥、氮肥全部施入修复地后，平台区采用机械浅层翻耕将表土与有机质充分拌合，完成后进行植被重建。人工牧草地修复治理以农耕为导向，牧草种子以豆科与禾本科相结合，禾本科牧草作为先锋植物，豆科植物给土壤提供肥效，植被建成后覆盖度30~60%以上。边坡土壤改良后人工撒播乔灌草种子，草种选择适合当地生长的一年生和多年生乡土植物，豆科和禾本科相结合，如碱草、羊草、燕麦草、碱茅、黄芩、甘草、达乌里胡枝子、柠条、驼绒藜等。</w:t>
            </w:r>
          </w:p>
          <w:p>
            <w:pPr>
              <w:adjustRightInd w:val="0"/>
              <w:snapToGrid w:val="0"/>
              <w:spacing w:line="360" w:lineRule="auto"/>
              <w:ind w:firstLine="480" w:firstLineChars="200"/>
              <w:rPr>
                <w:kern w:val="0"/>
                <w:sz w:val="24"/>
              </w:rPr>
            </w:pPr>
            <w:r>
              <w:rPr>
                <w:rFonts w:hint="eastAsia"/>
                <w:kern w:val="0"/>
                <w:sz w:val="24"/>
              </w:rPr>
              <w:t>第二年进行补育措施，完成植被管护工作。植被恢复治理区播撒草籽后，封育管理，并对治理区域进行养护管理。伏天气温高，雨水少时要拉水灌溉抗旱；汛期，要做防汛工作。沙化严重的沙地首先需要进行固沙，施基肥、保证土壤中的肥力可供种植的植被成活。为保证植被成活率，需对植被进行浇水灌溉。</w:t>
            </w:r>
          </w:p>
          <w:p>
            <w:pPr>
              <w:adjustRightInd w:val="0"/>
              <w:snapToGrid w:val="0"/>
              <w:spacing w:line="360" w:lineRule="auto"/>
              <w:rPr>
                <w:b/>
                <w:kern w:val="0"/>
                <w:sz w:val="24"/>
              </w:rPr>
            </w:pPr>
            <w:r>
              <w:rPr>
                <w:rFonts w:hint="eastAsia"/>
                <w:b/>
                <w:kern w:val="0"/>
                <w:sz w:val="24"/>
              </w:rPr>
              <w:t>表5</w:t>
            </w:r>
            <w:r>
              <w:rPr>
                <w:b/>
                <w:kern w:val="0"/>
                <w:sz w:val="24"/>
              </w:rPr>
              <w:t xml:space="preserve">.1                     </w:t>
            </w:r>
            <w:r>
              <w:rPr>
                <w:rFonts w:hint="eastAsia"/>
                <w:b/>
                <w:kern w:val="0"/>
                <w:sz w:val="24"/>
              </w:rPr>
              <w:t>生态恢复措施一览表</w:t>
            </w:r>
          </w:p>
          <w:tbl>
            <w:tblPr>
              <w:tblStyle w:val="16"/>
              <w:tblW w:w="809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706"/>
              <w:gridCol w:w="709"/>
              <w:gridCol w:w="1134"/>
              <w:gridCol w:w="1843"/>
              <w:gridCol w:w="184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序号</w:t>
                  </w:r>
                </w:p>
              </w:tc>
              <w:tc>
                <w:tcPr>
                  <w:tcW w:w="706"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工程内容</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土地类型</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采取措施及工程</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治理目标</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恢复物种</w:t>
                  </w:r>
                </w:p>
              </w:tc>
              <w:tc>
                <w:tcPr>
                  <w:tcW w:w="1275"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tcBorders>
                    <w:tl2br w:val="nil"/>
                    <w:tr2bl w:val="nil"/>
                  </w:tcBorders>
                  <w:shd w:val="clear" w:color="auto" w:fill="auto"/>
                  <w:vAlign w:val="center"/>
                </w:tcPr>
                <w:p>
                  <w:pPr>
                    <w:widowControl/>
                    <w:spacing w:line="280" w:lineRule="exact"/>
                    <w:jc w:val="center"/>
                    <w:rPr>
                      <w:szCs w:val="21"/>
                    </w:rPr>
                  </w:pPr>
                  <w:r>
                    <w:rPr>
                      <w:kern w:val="0"/>
                      <w:szCs w:val="21"/>
                      <w:lang w:bidi="ar"/>
                    </w:rPr>
                    <w:t>1</w:t>
                  </w:r>
                </w:p>
              </w:tc>
              <w:tc>
                <w:tcPr>
                  <w:tcW w:w="706" w:type="dxa"/>
                  <w:tcBorders>
                    <w:tl2br w:val="nil"/>
                    <w:tr2bl w:val="nil"/>
                  </w:tcBorders>
                  <w:shd w:val="clear" w:color="auto" w:fill="auto"/>
                  <w:vAlign w:val="center"/>
                </w:tcPr>
                <w:p>
                  <w:pPr>
                    <w:widowControl/>
                    <w:spacing w:line="280" w:lineRule="exact"/>
                    <w:jc w:val="center"/>
                    <w:textAlignment w:val="center"/>
                    <w:rPr>
                      <w:szCs w:val="21"/>
                    </w:rPr>
                  </w:pPr>
                  <w:r>
                    <w:rPr>
                      <w:szCs w:val="21"/>
                    </w:rPr>
                    <w:t>地块</w:t>
                  </w:r>
                  <w:r>
                    <w:rPr>
                      <w:rFonts w:hint="eastAsia"/>
                      <w:szCs w:val="21"/>
                    </w:rPr>
                    <w:t>1</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采矿用地</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覆土、施肥、人工播种</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将表面土地覆土、施肥、平整，植被覆盖度30</w:t>
                  </w:r>
                  <w:r>
                    <w:rPr>
                      <w:rFonts w:hint="eastAsia" w:ascii="宋体" w:hAnsi="宋体"/>
                      <w:kern w:val="0"/>
                      <w:szCs w:val="21"/>
                      <w:lang w:bidi="ar"/>
                    </w:rPr>
                    <w:t>～</w:t>
                  </w:r>
                  <w:r>
                    <w:rPr>
                      <w:kern w:val="0"/>
                      <w:szCs w:val="21"/>
                      <w:lang w:bidi="ar"/>
                    </w:rPr>
                    <w:t>60％</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碱草、羊草、燕麦草、碱茅、黄芩、甘草、达乌里胡枝子</w:t>
                  </w:r>
                </w:p>
              </w:tc>
              <w:tc>
                <w:tcPr>
                  <w:tcW w:w="1275"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光伏工程竣工后当年或次年</w:t>
                  </w:r>
                  <w:r>
                    <w:rPr>
                      <w:rFonts w:hint="eastAsia"/>
                      <w:kern w:val="0"/>
                      <w:szCs w:val="21"/>
                      <w:lang w:bidi="ar"/>
                    </w:rPr>
                    <w:t>生长</w:t>
                  </w:r>
                  <w:r>
                    <w:rPr>
                      <w:kern w:val="0"/>
                      <w:szCs w:val="21"/>
                      <w:lang w:bidi="ar"/>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vMerge w:val="restart"/>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2</w:t>
                  </w:r>
                </w:p>
              </w:tc>
              <w:tc>
                <w:tcPr>
                  <w:tcW w:w="706" w:type="dxa"/>
                  <w:tcBorders>
                    <w:tl2br w:val="nil"/>
                    <w:tr2bl w:val="nil"/>
                  </w:tcBorders>
                  <w:shd w:val="clear" w:color="auto" w:fill="auto"/>
                  <w:vAlign w:val="center"/>
                </w:tcPr>
                <w:p>
                  <w:pPr>
                    <w:widowControl/>
                    <w:spacing w:line="280" w:lineRule="exact"/>
                    <w:jc w:val="center"/>
                    <w:textAlignment w:val="center"/>
                    <w:rPr>
                      <w:szCs w:val="21"/>
                    </w:rPr>
                  </w:pPr>
                  <w:r>
                    <w:rPr>
                      <w:szCs w:val="21"/>
                    </w:rPr>
                    <w:t>地块2</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采矿用地</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覆土、施肥、人工播种</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将表面土地覆土、施肥、平整，植被覆盖度30</w:t>
                  </w:r>
                  <w:r>
                    <w:rPr>
                      <w:rFonts w:hint="eastAsia" w:ascii="宋体" w:hAnsi="宋体"/>
                      <w:kern w:val="0"/>
                      <w:szCs w:val="21"/>
                      <w:lang w:bidi="ar"/>
                    </w:rPr>
                    <w:t>～</w:t>
                  </w:r>
                  <w:r>
                    <w:rPr>
                      <w:kern w:val="0"/>
                      <w:szCs w:val="21"/>
                      <w:lang w:bidi="ar"/>
                    </w:rPr>
                    <w:t>60％</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碱草、羊草、燕麦草、碱茅、黄芩、甘草、达乌里胡枝子边坡灌木选取柠条、胡枝子、岩黄芪、驼绒藜等</w:t>
                  </w:r>
                </w:p>
              </w:tc>
              <w:tc>
                <w:tcPr>
                  <w:tcW w:w="1275"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竣工后当年或次年</w:t>
                  </w:r>
                  <w:r>
                    <w:rPr>
                      <w:rFonts w:hint="eastAsia"/>
                      <w:kern w:val="0"/>
                      <w:szCs w:val="21"/>
                      <w:lang w:bidi="ar"/>
                    </w:rPr>
                    <w:t>生长</w:t>
                  </w:r>
                  <w:r>
                    <w:rPr>
                      <w:kern w:val="0"/>
                      <w:szCs w:val="21"/>
                      <w:lang w:bidi="ar"/>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84" w:type="dxa"/>
                  <w:vMerge w:val="continue"/>
                  <w:tcBorders>
                    <w:tl2br w:val="nil"/>
                    <w:tr2bl w:val="nil"/>
                  </w:tcBorders>
                  <w:shd w:val="clear" w:color="auto" w:fill="auto"/>
                  <w:vAlign w:val="center"/>
                </w:tcPr>
                <w:p>
                  <w:pPr>
                    <w:widowControl/>
                    <w:spacing w:line="280" w:lineRule="exact"/>
                    <w:jc w:val="center"/>
                    <w:rPr>
                      <w:szCs w:val="21"/>
                    </w:rPr>
                  </w:pPr>
                </w:p>
              </w:tc>
              <w:tc>
                <w:tcPr>
                  <w:tcW w:w="706" w:type="dxa"/>
                  <w:vMerge w:val="restart"/>
                  <w:tcBorders>
                    <w:tl2br w:val="nil"/>
                    <w:tr2bl w:val="nil"/>
                  </w:tcBorders>
                  <w:shd w:val="clear" w:color="auto" w:fill="auto"/>
                  <w:vAlign w:val="center"/>
                </w:tcPr>
                <w:p>
                  <w:pPr>
                    <w:widowControl/>
                    <w:spacing w:line="280" w:lineRule="exact"/>
                    <w:jc w:val="center"/>
                    <w:rPr>
                      <w:szCs w:val="21"/>
                    </w:rPr>
                  </w:pPr>
                  <w:r>
                    <w:rPr>
                      <w:szCs w:val="21"/>
                    </w:rPr>
                    <w:t>地块3</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草地</w:t>
                  </w:r>
                </w:p>
              </w:tc>
              <w:tc>
                <w:tcPr>
                  <w:tcW w:w="1134" w:type="dxa"/>
                  <w:vMerge w:val="restart"/>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表土剥离土地整治</w:t>
                  </w:r>
                </w:p>
                <w:p>
                  <w:pPr>
                    <w:spacing w:line="280" w:lineRule="exact"/>
                    <w:jc w:val="center"/>
                    <w:textAlignment w:val="center"/>
                    <w:rPr>
                      <w:szCs w:val="21"/>
                    </w:rPr>
                  </w:pPr>
                  <w:r>
                    <w:rPr>
                      <w:rFonts w:hint="eastAsia"/>
                      <w:szCs w:val="21"/>
                    </w:rPr>
                    <w:t>部分覆土、施肥、人工播种</w:t>
                  </w:r>
                </w:p>
              </w:tc>
              <w:tc>
                <w:tcPr>
                  <w:tcW w:w="1843" w:type="dxa"/>
                  <w:vMerge w:val="restart"/>
                  <w:tcBorders>
                    <w:tl2br w:val="nil"/>
                    <w:tr2bl w:val="nil"/>
                  </w:tcBorders>
                  <w:shd w:val="clear" w:color="auto" w:fill="auto"/>
                  <w:vAlign w:val="center"/>
                </w:tcPr>
                <w:p>
                  <w:pPr>
                    <w:spacing w:line="280" w:lineRule="exact"/>
                    <w:jc w:val="center"/>
                    <w:textAlignment w:val="center"/>
                    <w:rPr>
                      <w:szCs w:val="21"/>
                    </w:rPr>
                  </w:pPr>
                  <w:r>
                    <w:rPr>
                      <w:kern w:val="0"/>
                      <w:szCs w:val="21"/>
                      <w:lang w:bidi="ar"/>
                    </w:rPr>
                    <w:t>表土回覆，表面土地平整，恢复植被至原有水平，部分</w:t>
                  </w:r>
                  <w:r>
                    <w:rPr>
                      <w:rFonts w:hint="eastAsia"/>
                      <w:kern w:val="0"/>
                      <w:szCs w:val="21"/>
                      <w:lang w:bidi="ar"/>
                    </w:rPr>
                    <w:t>覆土，施肥、平整，植被覆盖度30～60％</w:t>
                  </w:r>
                </w:p>
              </w:tc>
              <w:tc>
                <w:tcPr>
                  <w:tcW w:w="1843" w:type="dxa"/>
                  <w:vMerge w:val="restart"/>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碱草、羊草、燕麦草、碱茅、黄芩、甘草、达乌里胡枝子</w:t>
                  </w:r>
                </w:p>
              </w:tc>
              <w:tc>
                <w:tcPr>
                  <w:tcW w:w="1275" w:type="dxa"/>
                  <w:vMerge w:val="restart"/>
                  <w:tcBorders>
                    <w:tl2br w:val="nil"/>
                    <w:tr2bl w:val="nil"/>
                  </w:tcBorders>
                  <w:shd w:val="clear" w:color="auto" w:fill="auto"/>
                  <w:vAlign w:val="center"/>
                </w:tcPr>
                <w:p>
                  <w:pPr>
                    <w:spacing w:line="280" w:lineRule="exact"/>
                    <w:jc w:val="center"/>
                    <w:textAlignment w:val="center"/>
                    <w:rPr>
                      <w:szCs w:val="21"/>
                    </w:rPr>
                  </w:pPr>
                  <w:r>
                    <w:rPr>
                      <w:kern w:val="0"/>
                      <w:szCs w:val="21"/>
                      <w:lang w:bidi="ar"/>
                    </w:rPr>
                    <w:t>竣工后当年或次年</w:t>
                  </w:r>
                  <w:r>
                    <w:rPr>
                      <w:rFonts w:hint="eastAsia"/>
                      <w:kern w:val="0"/>
                      <w:szCs w:val="21"/>
                      <w:lang w:bidi="ar"/>
                    </w:rPr>
                    <w:t>生长</w:t>
                  </w:r>
                  <w:r>
                    <w:rPr>
                      <w:kern w:val="0"/>
                      <w:szCs w:val="21"/>
                      <w:lang w:bidi="ar"/>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vMerge w:val="continue"/>
                  <w:tcBorders>
                    <w:tl2br w:val="nil"/>
                    <w:tr2bl w:val="nil"/>
                  </w:tcBorders>
                  <w:shd w:val="clear" w:color="auto" w:fill="auto"/>
                  <w:vAlign w:val="center"/>
                </w:tcPr>
                <w:p>
                  <w:pPr>
                    <w:widowControl/>
                    <w:spacing w:line="280" w:lineRule="exact"/>
                    <w:jc w:val="center"/>
                    <w:rPr>
                      <w:szCs w:val="21"/>
                    </w:rPr>
                  </w:pPr>
                </w:p>
              </w:tc>
              <w:tc>
                <w:tcPr>
                  <w:tcW w:w="706" w:type="dxa"/>
                  <w:vMerge w:val="continue"/>
                  <w:tcBorders>
                    <w:tl2br w:val="nil"/>
                    <w:tr2bl w:val="nil"/>
                  </w:tcBorders>
                  <w:shd w:val="clear" w:color="auto" w:fill="auto"/>
                  <w:vAlign w:val="center"/>
                </w:tcPr>
                <w:p>
                  <w:pPr>
                    <w:widowControl/>
                    <w:spacing w:line="280" w:lineRule="exact"/>
                    <w:jc w:val="center"/>
                    <w:rPr>
                      <w:szCs w:val="21"/>
                    </w:rPr>
                  </w:pP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灌木</w:t>
                  </w:r>
                </w:p>
                <w:p>
                  <w:pPr>
                    <w:widowControl/>
                    <w:spacing w:line="280" w:lineRule="exact"/>
                    <w:jc w:val="center"/>
                    <w:textAlignment w:val="center"/>
                    <w:rPr>
                      <w:kern w:val="0"/>
                      <w:szCs w:val="21"/>
                      <w:lang w:bidi="ar"/>
                    </w:rPr>
                  </w:pPr>
                  <w:r>
                    <w:rPr>
                      <w:rFonts w:hint="eastAsia"/>
                      <w:kern w:val="0"/>
                      <w:szCs w:val="21"/>
                      <w:lang w:bidi="ar"/>
                    </w:rPr>
                    <w:t>林地</w:t>
                  </w:r>
                </w:p>
              </w:tc>
              <w:tc>
                <w:tcPr>
                  <w:tcW w:w="1134" w:type="dxa"/>
                  <w:vMerge w:val="continue"/>
                  <w:tcBorders>
                    <w:tl2br w:val="nil"/>
                    <w:tr2bl w:val="nil"/>
                  </w:tcBorders>
                  <w:shd w:val="clear" w:color="auto" w:fill="auto"/>
                  <w:vAlign w:val="center"/>
                </w:tcPr>
                <w:p>
                  <w:pPr>
                    <w:widowControl/>
                    <w:spacing w:line="280" w:lineRule="exact"/>
                    <w:jc w:val="center"/>
                    <w:textAlignment w:val="center"/>
                    <w:rPr>
                      <w:szCs w:val="21"/>
                    </w:rPr>
                  </w:pPr>
                </w:p>
              </w:tc>
              <w:tc>
                <w:tcPr>
                  <w:tcW w:w="1843" w:type="dxa"/>
                  <w:vMerge w:val="continue"/>
                  <w:tcBorders>
                    <w:tl2br w:val="nil"/>
                    <w:tr2bl w:val="nil"/>
                  </w:tcBorders>
                  <w:shd w:val="clear" w:color="auto" w:fill="auto"/>
                  <w:vAlign w:val="center"/>
                </w:tcPr>
                <w:p>
                  <w:pPr>
                    <w:widowControl/>
                    <w:spacing w:line="280" w:lineRule="exact"/>
                    <w:jc w:val="center"/>
                    <w:textAlignment w:val="center"/>
                    <w:rPr>
                      <w:szCs w:val="21"/>
                    </w:rPr>
                  </w:pPr>
                </w:p>
              </w:tc>
              <w:tc>
                <w:tcPr>
                  <w:tcW w:w="1843" w:type="dxa"/>
                  <w:vMerge w:val="continue"/>
                  <w:tcBorders>
                    <w:tl2br w:val="nil"/>
                    <w:tr2bl w:val="nil"/>
                  </w:tcBorders>
                  <w:shd w:val="clear" w:color="auto" w:fill="auto"/>
                  <w:vAlign w:val="center"/>
                </w:tcPr>
                <w:p>
                  <w:pPr>
                    <w:widowControl/>
                    <w:spacing w:line="280" w:lineRule="exact"/>
                    <w:jc w:val="center"/>
                    <w:textAlignment w:val="center"/>
                    <w:rPr>
                      <w:szCs w:val="21"/>
                    </w:rPr>
                  </w:pPr>
                </w:p>
              </w:tc>
              <w:tc>
                <w:tcPr>
                  <w:tcW w:w="1275" w:type="dxa"/>
                  <w:vMerge w:val="continue"/>
                  <w:tcBorders>
                    <w:tl2br w:val="nil"/>
                    <w:tr2bl w:val="nil"/>
                  </w:tcBorders>
                  <w:shd w:val="clear" w:color="auto" w:fill="auto"/>
                  <w:vAlign w:val="center"/>
                </w:tcPr>
                <w:p>
                  <w:pPr>
                    <w:widowControl/>
                    <w:spacing w:line="280" w:lineRule="exact"/>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vMerge w:val="continue"/>
                  <w:tcBorders>
                    <w:tl2br w:val="nil"/>
                    <w:tr2bl w:val="nil"/>
                  </w:tcBorders>
                  <w:shd w:val="clear" w:color="auto" w:fill="auto"/>
                  <w:vAlign w:val="center"/>
                </w:tcPr>
                <w:p>
                  <w:pPr>
                    <w:widowControl/>
                    <w:spacing w:line="280" w:lineRule="exact"/>
                    <w:jc w:val="center"/>
                    <w:rPr>
                      <w:szCs w:val="21"/>
                    </w:rPr>
                  </w:pPr>
                </w:p>
              </w:tc>
              <w:tc>
                <w:tcPr>
                  <w:tcW w:w="706" w:type="dxa"/>
                  <w:tcBorders>
                    <w:tl2br w:val="nil"/>
                    <w:tr2bl w:val="nil"/>
                  </w:tcBorders>
                  <w:shd w:val="clear" w:color="auto" w:fill="auto"/>
                  <w:vAlign w:val="center"/>
                </w:tcPr>
                <w:p>
                  <w:pPr>
                    <w:widowControl/>
                    <w:spacing w:line="280" w:lineRule="exact"/>
                    <w:jc w:val="center"/>
                    <w:textAlignment w:val="center"/>
                    <w:rPr>
                      <w:szCs w:val="21"/>
                    </w:rPr>
                  </w:pPr>
                  <w:r>
                    <w:rPr>
                      <w:szCs w:val="21"/>
                    </w:rPr>
                    <w:t>地块4</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裸地</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土地整治</w:t>
                  </w:r>
                  <w:r>
                    <w:rPr>
                      <w:rFonts w:hint="eastAsia"/>
                      <w:szCs w:val="21"/>
                    </w:rPr>
                    <w:t>、施肥、人工播种</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将表面土地平整，恢复植被至原有水平，</w:t>
                  </w:r>
                  <w:r>
                    <w:rPr>
                      <w:rFonts w:hint="eastAsia"/>
                      <w:kern w:val="0"/>
                      <w:szCs w:val="21"/>
                      <w:lang w:bidi="ar"/>
                    </w:rPr>
                    <w:t>施肥、</w:t>
                  </w:r>
                  <w:r>
                    <w:rPr>
                      <w:kern w:val="0"/>
                      <w:szCs w:val="21"/>
                      <w:lang w:bidi="ar"/>
                    </w:rPr>
                    <w:t>植被覆盖度40％左右</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碱草、羊草、燕麦草、碱茅、黄芩、甘草、达乌里胡枝子</w:t>
                  </w:r>
                </w:p>
              </w:tc>
              <w:tc>
                <w:tcPr>
                  <w:tcW w:w="1275"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竣工后当年或次年</w:t>
                  </w:r>
                  <w:r>
                    <w:rPr>
                      <w:rFonts w:hint="eastAsia"/>
                      <w:kern w:val="0"/>
                      <w:szCs w:val="21"/>
                      <w:lang w:bidi="ar"/>
                    </w:rPr>
                    <w:t>生长</w:t>
                  </w:r>
                  <w:r>
                    <w:rPr>
                      <w:kern w:val="0"/>
                      <w:szCs w:val="21"/>
                      <w:lang w:bidi="ar"/>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vMerge w:val="continue"/>
                  <w:tcBorders>
                    <w:tl2br w:val="nil"/>
                    <w:tr2bl w:val="nil"/>
                  </w:tcBorders>
                  <w:shd w:val="clear" w:color="auto" w:fill="auto"/>
                  <w:vAlign w:val="center"/>
                </w:tcPr>
                <w:p>
                  <w:pPr>
                    <w:widowControl/>
                    <w:spacing w:line="280" w:lineRule="exact"/>
                    <w:jc w:val="center"/>
                    <w:rPr>
                      <w:szCs w:val="21"/>
                    </w:rPr>
                  </w:pPr>
                </w:p>
              </w:tc>
              <w:tc>
                <w:tcPr>
                  <w:tcW w:w="706" w:type="dxa"/>
                  <w:tcBorders>
                    <w:tl2br w:val="nil"/>
                    <w:tr2bl w:val="nil"/>
                  </w:tcBorders>
                  <w:shd w:val="clear" w:color="auto" w:fill="auto"/>
                  <w:vAlign w:val="center"/>
                </w:tcPr>
                <w:p>
                  <w:pPr>
                    <w:widowControl/>
                    <w:spacing w:line="280" w:lineRule="exact"/>
                    <w:jc w:val="center"/>
                    <w:rPr>
                      <w:szCs w:val="21"/>
                    </w:rPr>
                  </w:pPr>
                  <w:r>
                    <w:rPr>
                      <w:szCs w:val="21"/>
                    </w:rPr>
                    <w:t>地块5</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天然牧草地</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表土剥离、土地整治、</w:t>
                  </w:r>
                  <w:r>
                    <w:rPr>
                      <w:rFonts w:hint="eastAsia"/>
                      <w:szCs w:val="21"/>
                    </w:rPr>
                    <w:t>施肥、人工播种</w:t>
                  </w:r>
                </w:p>
                <w:p>
                  <w:pPr>
                    <w:widowControl/>
                    <w:spacing w:line="280" w:lineRule="exact"/>
                    <w:jc w:val="center"/>
                    <w:textAlignment w:val="center"/>
                    <w:rPr>
                      <w:szCs w:val="21"/>
                    </w:rPr>
                  </w:pP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表土回覆，表面土地平整，恢复植被至原有水平，</w:t>
                  </w:r>
                  <w:r>
                    <w:rPr>
                      <w:rFonts w:hint="eastAsia"/>
                      <w:kern w:val="0"/>
                      <w:szCs w:val="21"/>
                      <w:lang w:bidi="ar"/>
                    </w:rPr>
                    <w:t>施肥、平整，植被覆盖度30～60％</w:t>
                  </w:r>
                </w:p>
              </w:tc>
              <w:tc>
                <w:tcPr>
                  <w:tcW w:w="1843"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碱草、羊草、燕麦草、碱茅、黄芩、甘草、达乌里胡枝子</w:t>
                  </w:r>
                </w:p>
              </w:tc>
              <w:tc>
                <w:tcPr>
                  <w:tcW w:w="1275" w:type="dxa"/>
                  <w:tcBorders>
                    <w:tl2br w:val="nil"/>
                    <w:tr2bl w:val="nil"/>
                  </w:tcBorders>
                  <w:shd w:val="clear" w:color="auto" w:fill="auto"/>
                  <w:vAlign w:val="center"/>
                </w:tcPr>
                <w:p>
                  <w:pPr>
                    <w:widowControl/>
                    <w:spacing w:line="280" w:lineRule="exact"/>
                    <w:jc w:val="center"/>
                    <w:textAlignment w:val="center"/>
                    <w:rPr>
                      <w:szCs w:val="21"/>
                    </w:rPr>
                  </w:pPr>
                  <w:r>
                    <w:rPr>
                      <w:kern w:val="0"/>
                      <w:szCs w:val="21"/>
                      <w:lang w:bidi="ar"/>
                    </w:rPr>
                    <w:t>竣工后当年或次年</w:t>
                  </w:r>
                  <w:r>
                    <w:rPr>
                      <w:rFonts w:hint="eastAsia"/>
                      <w:kern w:val="0"/>
                      <w:szCs w:val="21"/>
                      <w:lang w:bidi="ar"/>
                    </w:rPr>
                    <w:t>生长</w:t>
                  </w:r>
                  <w:r>
                    <w:rPr>
                      <w:kern w:val="0"/>
                      <w:szCs w:val="21"/>
                      <w:lang w:bidi="ar"/>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vMerge w:val="continue"/>
                  <w:tcBorders>
                    <w:tl2br w:val="nil"/>
                    <w:tr2bl w:val="nil"/>
                  </w:tcBorders>
                  <w:shd w:val="clear" w:color="auto" w:fill="auto"/>
                  <w:vAlign w:val="center"/>
                </w:tcPr>
                <w:p>
                  <w:pPr>
                    <w:widowControl/>
                    <w:spacing w:line="280" w:lineRule="exact"/>
                    <w:jc w:val="center"/>
                    <w:rPr>
                      <w:szCs w:val="21"/>
                    </w:rPr>
                  </w:pPr>
                </w:p>
              </w:tc>
              <w:tc>
                <w:tcPr>
                  <w:tcW w:w="706" w:type="dxa"/>
                  <w:tcBorders>
                    <w:tl2br w:val="nil"/>
                    <w:tr2bl w:val="nil"/>
                  </w:tcBorders>
                  <w:shd w:val="clear" w:color="auto" w:fill="auto"/>
                  <w:vAlign w:val="center"/>
                </w:tcPr>
                <w:p>
                  <w:pPr>
                    <w:widowControl/>
                    <w:spacing w:line="280" w:lineRule="exact"/>
                    <w:jc w:val="center"/>
                    <w:rPr>
                      <w:szCs w:val="21"/>
                    </w:rPr>
                  </w:pPr>
                  <w:r>
                    <w:rPr>
                      <w:szCs w:val="21"/>
                    </w:rPr>
                    <w:t>地块6</w:t>
                  </w:r>
                </w:p>
              </w:tc>
              <w:tc>
                <w:tcPr>
                  <w:tcW w:w="709"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天然牧草地</w:t>
                  </w:r>
                </w:p>
              </w:tc>
              <w:tc>
                <w:tcPr>
                  <w:tcW w:w="1134" w:type="dxa"/>
                  <w:tcBorders>
                    <w:tl2br w:val="nil"/>
                    <w:tr2bl w:val="nil"/>
                  </w:tcBorders>
                  <w:shd w:val="clear" w:color="auto" w:fill="auto"/>
                  <w:vAlign w:val="center"/>
                </w:tcPr>
                <w:p>
                  <w:pPr>
                    <w:widowControl/>
                    <w:spacing w:line="280" w:lineRule="exact"/>
                    <w:jc w:val="center"/>
                    <w:textAlignment w:val="center"/>
                    <w:rPr>
                      <w:szCs w:val="21"/>
                    </w:rPr>
                  </w:pPr>
                  <w:r>
                    <w:rPr>
                      <w:rFonts w:hint="eastAsia"/>
                      <w:kern w:val="0"/>
                      <w:szCs w:val="21"/>
                      <w:lang w:bidi="ar"/>
                    </w:rPr>
                    <w:t>表土剥离、土地整治、</w:t>
                  </w:r>
                  <w:r>
                    <w:rPr>
                      <w:rFonts w:hint="eastAsia"/>
                      <w:szCs w:val="21"/>
                    </w:rPr>
                    <w:t>施肥、人工播种</w:t>
                  </w:r>
                </w:p>
                <w:p>
                  <w:pPr>
                    <w:widowControl/>
                    <w:spacing w:line="280" w:lineRule="exact"/>
                    <w:jc w:val="center"/>
                    <w:textAlignment w:val="center"/>
                    <w:rPr>
                      <w:kern w:val="0"/>
                      <w:szCs w:val="21"/>
                      <w:lang w:bidi="ar"/>
                    </w:rPr>
                  </w:pPr>
                </w:p>
              </w:tc>
              <w:tc>
                <w:tcPr>
                  <w:tcW w:w="1843"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kern w:val="0"/>
                      <w:szCs w:val="21"/>
                      <w:lang w:bidi="ar"/>
                    </w:rPr>
                    <w:t>表土回覆，表面土地平整，恢复植被至原有水平，</w:t>
                  </w:r>
                  <w:r>
                    <w:rPr>
                      <w:rFonts w:hint="eastAsia"/>
                      <w:kern w:val="0"/>
                      <w:szCs w:val="21"/>
                      <w:lang w:bidi="ar"/>
                    </w:rPr>
                    <w:t>施肥、平整，植被覆盖度30～60％</w:t>
                  </w:r>
                </w:p>
              </w:tc>
              <w:tc>
                <w:tcPr>
                  <w:tcW w:w="1843"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rFonts w:hint="eastAsia"/>
                      <w:kern w:val="0"/>
                      <w:szCs w:val="21"/>
                      <w:lang w:bidi="ar"/>
                    </w:rPr>
                    <w:t>碱草、羊草、燕麦草、碱茅、黄芩、甘草、达乌里胡枝子</w:t>
                  </w:r>
                </w:p>
              </w:tc>
              <w:tc>
                <w:tcPr>
                  <w:tcW w:w="1275" w:type="dxa"/>
                  <w:tcBorders>
                    <w:tl2br w:val="nil"/>
                    <w:tr2bl w:val="nil"/>
                  </w:tcBorders>
                  <w:shd w:val="clear" w:color="auto" w:fill="auto"/>
                  <w:vAlign w:val="center"/>
                </w:tcPr>
                <w:p>
                  <w:pPr>
                    <w:widowControl/>
                    <w:spacing w:line="280" w:lineRule="exact"/>
                    <w:jc w:val="center"/>
                    <w:textAlignment w:val="center"/>
                    <w:rPr>
                      <w:kern w:val="0"/>
                      <w:szCs w:val="21"/>
                      <w:lang w:bidi="ar"/>
                    </w:rPr>
                  </w:pPr>
                  <w:r>
                    <w:rPr>
                      <w:kern w:val="0"/>
                      <w:szCs w:val="21"/>
                      <w:lang w:bidi="ar"/>
                    </w:rPr>
                    <w:t>竣工后当年或次年</w:t>
                  </w:r>
                  <w:r>
                    <w:rPr>
                      <w:rFonts w:hint="eastAsia"/>
                      <w:kern w:val="0"/>
                      <w:szCs w:val="21"/>
                      <w:lang w:bidi="ar"/>
                    </w:rPr>
                    <w:t>生长</w:t>
                  </w:r>
                  <w:r>
                    <w:rPr>
                      <w:kern w:val="0"/>
                      <w:szCs w:val="21"/>
                      <w:lang w:bidi="ar"/>
                    </w:rPr>
                    <w:t>季</w:t>
                  </w:r>
                </w:p>
              </w:tc>
            </w:tr>
          </w:tbl>
          <w:p>
            <w:pPr>
              <w:adjustRightInd w:val="0"/>
              <w:snapToGrid w:val="0"/>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08" w:type="dxa"/>
            <w:bottom w:w="113" w:type="dxa"/>
            <w:right w:w="108" w:type="dxa"/>
          </w:tblCellMar>
        </w:tblPrEx>
        <w:trPr>
          <w:trHeight w:val="161" w:hRule="atLeast"/>
          <w:jc w:val="center"/>
        </w:trPr>
        <w:tc>
          <w:tcPr>
            <w:tcW w:w="753" w:type="dxa"/>
            <w:tcMar>
              <w:left w:w="28" w:type="dxa"/>
              <w:right w:w="28" w:type="dxa"/>
            </w:tcMar>
            <w:vAlign w:val="center"/>
          </w:tcPr>
          <w:p>
            <w:pPr>
              <w:adjustRightInd w:val="0"/>
              <w:snapToGrid w:val="0"/>
              <w:jc w:val="center"/>
              <w:rPr>
                <w:bCs/>
                <w:spacing w:val="10"/>
                <w:szCs w:val="21"/>
              </w:rPr>
            </w:pPr>
            <w:r>
              <w:rPr>
                <w:bCs/>
                <w:spacing w:val="10"/>
                <w:sz w:val="24"/>
                <w:szCs w:val="21"/>
              </w:rPr>
              <w:t>运营期生态环境保护措施</w:t>
            </w:r>
          </w:p>
        </w:tc>
        <w:tc>
          <w:tcPr>
            <w:tcW w:w="8457" w:type="dxa"/>
          </w:tcPr>
          <w:p>
            <w:pPr>
              <w:pStyle w:val="44"/>
              <w:spacing w:before="120"/>
              <w:rPr>
                <w:rFonts w:cs="Times New Roman"/>
                <w:color w:val="auto"/>
              </w:rPr>
            </w:pPr>
            <w:r>
              <w:rPr>
                <w:rFonts w:cs="Times New Roman"/>
                <w:color w:val="auto"/>
              </w:rPr>
              <w:t>1、水污染防治措施</w:t>
            </w:r>
          </w:p>
          <w:p>
            <w:pPr>
              <w:pStyle w:val="46"/>
              <w:ind w:firstLine="480"/>
              <w:rPr>
                <w:rFonts w:cs="Times New Roman"/>
              </w:rPr>
            </w:pPr>
            <w:r>
              <w:rPr>
                <w:rFonts w:cs="Times New Roman"/>
              </w:rPr>
              <w:t>光伏场运行期</w:t>
            </w:r>
            <w:r>
              <w:rPr>
                <w:rFonts w:hint="eastAsia" w:cs="Times New Roman"/>
              </w:rPr>
              <w:t>废水主要为光伏板冲洗废水</w:t>
            </w:r>
            <w:r>
              <w:rPr>
                <w:rFonts w:ascii="Calibri" w:hAnsi="Calibri" w:cs="Calibri"/>
              </w:rPr>
              <w:t>，</w:t>
            </w:r>
            <w:r>
              <w:rPr>
                <w:rFonts w:hint="eastAsia" w:cs="Times New Roman"/>
              </w:rPr>
              <w:t>其排水中污染物含悬浮物，</w:t>
            </w:r>
            <w:r>
              <w:rPr>
                <w:rFonts w:ascii="Calibri" w:hAnsi="Calibri" w:cs="Calibri"/>
              </w:rPr>
              <w:t>无有害物质，</w:t>
            </w:r>
            <w:r>
              <w:rPr>
                <w:rFonts w:hint="eastAsia" w:ascii="Calibri" w:hAnsi="Calibri" w:cs="Calibri"/>
              </w:rPr>
              <w:t>因此</w:t>
            </w:r>
            <w:r>
              <w:rPr>
                <w:rFonts w:hint="eastAsia" w:cs="Times New Roman"/>
              </w:rPr>
              <w:t>直接排至光伏板下地面浇灌植被</w:t>
            </w:r>
            <w:r>
              <w:rPr>
                <w:rFonts w:ascii="Calibri" w:hAnsi="Calibri" w:cs="Calibri"/>
              </w:rPr>
              <w:t>，不进行收集。</w:t>
            </w:r>
          </w:p>
          <w:p>
            <w:pPr>
              <w:widowControl/>
              <w:autoSpaceDE w:val="0"/>
              <w:snapToGrid w:val="0"/>
              <w:spacing w:line="360" w:lineRule="auto"/>
              <w:ind w:firstLine="480" w:firstLineChars="200"/>
              <w:rPr>
                <w:sz w:val="24"/>
              </w:rPr>
            </w:pPr>
            <w:r>
              <w:rPr>
                <w:rFonts w:hint="eastAsia"/>
                <w:sz w:val="24"/>
              </w:rPr>
              <w:t>升压站内设</w:t>
            </w:r>
            <w:r>
              <w:rPr>
                <w:sz w:val="24"/>
              </w:rPr>
              <w:t>一体化</w:t>
            </w:r>
            <w:r>
              <w:rPr>
                <w:rFonts w:hint="eastAsia"/>
                <w:sz w:val="24"/>
              </w:rPr>
              <w:t>生活污水</w:t>
            </w:r>
            <w:r>
              <w:rPr>
                <w:sz w:val="24"/>
              </w:rPr>
              <w:t>处理设施，</w:t>
            </w:r>
            <w:r>
              <w:rPr>
                <w:rFonts w:hint="eastAsia"/>
                <w:sz w:val="24"/>
              </w:rPr>
              <w:t>运行</w:t>
            </w:r>
            <w:r>
              <w:rPr>
                <w:sz w:val="24"/>
              </w:rPr>
              <w:t>人员生活污水经一体化处理设施处理后，</w:t>
            </w:r>
            <w:r>
              <w:rPr>
                <w:rFonts w:hint="eastAsia"/>
                <w:sz w:val="24"/>
              </w:rPr>
              <w:t>用于站区绿化或抑尘</w:t>
            </w:r>
            <w:r>
              <w:rPr>
                <w:sz w:val="24"/>
              </w:rPr>
              <w:t>，不外排。</w:t>
            </w:r>
          </w:p>
          <w:p>
            <w:pPr>
              <w:pStyle w:val="44"/>
              <w:spacing w:before="120"/>
              <w:rPr>
                <w:rFonts w:cs="Times New Roman"/>
                <w:color w:val="auto"/>
              </w:rPr>
            </w:pPr>
            <w:r>
              <w:rPr>
                <w:rFonts w:cs="Times New Roman"/>
                <w:color w:val="auto"/>
              </w:rPr>
              <w:t>2、声环境保护措施</w:t>
            </w:r>
          </w:p>
          <w:p>
            <w:pPr>
              <w:widowControl/>
              <w:autoSpaceDE w:val="0"/>
              <w:snapToGrid w:val="0"/>
              <w:spacing w:line="360" w:lineRule="auto"/>
              <w:ind w:firstLine="480" w:firstLineChars="200"/>
              <w:rPr>
                <w:sz w:val="24"/>
              </w:rPr>
            </w:pPr>
            <w:r>
              <w:rPr>
                <w:sz w:val="24"/>
              </w:rPr>
              <w:t>（1）项目设计时应合理布局场区，合理布置</w:t>
            </w:r>
            <w:r>
              <w:rPr>
                <w:rFonts w:hint="eastAsia"/>
                <w:sz w:val="24"/>
              </w:rPr>
              <w:t>光伏组件和箱变位置</w:t>
            </w:r>
            <w:r>
              <w:rPr>
                <w:sz w:val="24"/>
              </w:rPr>
              <w:t>。</w:t>
            </w:r>
          </w:p>
          <w:p>
            <w:pPr>
              <w:widowControl/>
              <w:autoSpaceDE w:val="0"/>
              <w:snapToGrid w:val="0"/>
              <w:spacing w:line="360" w:lineRule="auto"/>
              <w:ind w:firstLine="480" w:firstLineChars="200"/>
              <w:rPr>
                <w:sz w:val="24"/>
              </w:rPr>
            </w:pPr>
            <w:r>
              <w:rPr>
                <w:sz w:val="24"/>
              </w:rPr>
              <w:t>（2）</w:t>
            </w:r>
            <w:r>
              <w:rPr>
                <w:rFonts w:hint="eastAsia"/>
                <w:sz w:val="24"/>
              </w:rPr>
              <w:t>箱变</w:t>
            </w:r>
            <w:r>
              <w:rPr>
                <w:sz w:val="24"/>
              </w:rPr>
              <w:t>采购时应注意选型，选用低噪声</w:t>
            </w:r>
            <w:r>
              <w:rPr>
                <w:rFonts w:hint="eastAsia"/>
                <w:sz w:val="24"/>
              </w:rPr>
              <w:t>设备</w:t>
            </w:r>
            <w:r>
              <w:rPr>
                <w:sz w:val="24"/>
              </w:rPr>
              <w:t>。</w:t>
            </w:r>
          </w:p>
          <w:p>
            <w:pPr>
              <w:widowControl/>
              <w:autoSpaceDE w:val="0"/>
              <w:snapToGrid w:val="0"/>
              <w:spacing w:line="360" w:lineRule="auto"/>
              <w:ind w:firstLine="480" w:firstLineChars="200"/>
              <w:rPr>
                <w:sz w:val="24"/>
              </w:rPr>
            </w:pPr>
            <w:r>
              <w:rPr>
                <w:sz w:val="24"/>
              </w:rPr>
              <w:t>（3）加强</w:t>
            </w:r>
            <w:r>
              <w:rPr>
                <w:rFonts w:hint="eastAsia"/>
                <w:sz w:val="24"/>
              </w:rPr>
              <w:t>箱变等电气设备</w:t>
            </w:r>
            <w:r>
              <w:rPr>
                <w:sz w:val="24"/>
              </w:rPr>
              <w:t>的日常维护，当发生故障时，应立即停机检查。</w:t>
            </w:r>
          </w:p>
          <w:p>
            <w:pPr>
              <w:widowControl/>
              <w:autoSpaceDE w:val="0"/>
              <w:snapToGrid w:val="0"/>
              <w:spacing w:line="360" w:lineRule="auto"/>
              <w:ind w:firstLine="480" w:firstLineChars="200"/>
              <w:rPr>
                <w:sz w:val="24"/>
              </w:rPr>
            </w:pPr>
            <w:r>
              <w:rPr>
                <w:sz w:val="24"/>
              </w:rPr>
              <w:t>（4）选用低噪声</w:t>
            </w:r>
            <w:r>
              <w:rPr>
                <w:rFonts w:hint="eastAsia"/>
                <w:sz w:val="24"/>
              </w:rPr>
              <w:t>设备</w:t>
            </w:r>
            <w:r>
              <w:rPr>
                <w:sz w:val="24"/>
              </w:rPr>
              <w:t>等，并加强维护管理，确保设备在正常状态下运行。</w:t>
            </w:r>
          </w:p>
          <w:p>
            <w:pPr>
              <w:widowControl/>
              <w:autoSpaceDE w:val="0"/>
              <w:snapToGrid w:val="0"/>
              <w:spacing w:line="360" w:lineRule="auto"/>
              <w:ind w:firstLine="480" w:firstLineChars="200"/>
              <w:rPr>
                <w:sz w:val="24"/>
              </w:rPr>
            </w:pPr>
            <w:r>
              <w:rPr>
                <w:sz w:val="24"/>
              </w:rPr>
              <w:t>（5）检修道路两侧加强植被恢复，定期检查与保养路面，对受损路面要及时维修与修复，使路面保持良好状态，减缓因道路破损而增加噪声影响。加强车辆管理，路过</w:t>
            </w:r>
            <w:r>
              <w:rPr>
                <w:rFonts w:hint="eastAsia"/>
                <w:sz w:val="24"/>
              </w:rPr>
              <w:t>居民点时</w:t>
            </w:r>
            <w:r>
              <w:rPr>
                <w:sz w:val="24"/>
              </w:rPr>
              <w:t>车辆控制车速、严禁鸣笛，严禁超载超速。</w:t>
            </w:r>
          </w:p>
          <w:p>
            <w:pPr>
              <w:pStyle w:val="46"/>
              <w:ind w:firstLine="480"/>
              <w:rPr>
                <w:rFonts w:cs="Times New Roman"/>
              </w:rPr>
            </w:pPr>
            <w:r>
              <w:rPr>
                <w:rFonts w:cs="Times New Roman"/>
              </w:rPr>
              <w:t>（6）对噪声源</w:t>
            </w:r>
            <w:r>
              <w:rPr>
                <w:rFonts w:hint="eastAsia" w:cs="Times New Roman"/>
              </w:rPr>
              <w:t>强高的设备</w:t>
            </w:r>
            <w:r>
              <w:rPr>
                <w:rFonts w:cs="Times New Roman"/>
              </w:rPr>
              <w:t>采取减振降噪措施。</w:t>
            </w:r>
          </w:p>
          <w:p>
            <w:pPr>
              <w:pStyle w:val="46"/>
              <w:ind w:firstLine="480"/>
              <w:rPr>
                <w:rFonts w:cs="Times New Roman"/>
                <w:szCs w:val="21"/>
              </w:rPr>
            </w:pPr>
            <w:r>
              <w:rPr>
                <w:rFonts w:hint="eastAsia" w:cs="Times New Roman"/>
                <w:szCs w:val="21"/>
              </w:rPr>
              <w:t>通过采取上述措施后，场界、</w:t>
            </w:r>
            <w:r>
              <w:rPr>
                <w:rFonts w:hint="eastAsia"/>
              </w:rPr>
              <w:t>站界</w:t>
            </w:r>
            <w:r>
              <w:rPr>
                <w:rFonts w:hint="eastAsia" w:cs="Times New Roman"/>
                <w:szCs w:val="21"/>
              </w:rPr>
              <w:t>环境噪声满足《工业企业厂界环境噪声排放标准》(GB12348-2008)厂界外2类排放限值要求。</w:t>
            </w:r>
            <w:r>
              <w:rPr>
                <w:rFonts w:hint="eastAsia" w:cs="Times New Roman"/>
              </w:rPr>
              <w:t>光伏场周围2</w:t>
            </w:r>
            <w:r>
              <w:rPr>
                <w:rFonts w:cs="Times New Roman"/>
              </w:rPr>
              <w:t>00m范围内有</w:t>
            </w:r>
            <w:r>
              <w:rPr>
                <w:rFonts w:hint="eastAsia" w:cs="Times New Roman"/>
              </w:rPr>
              <w:t>3处声环境保护目标，升压站四周无声环境保护目标，采取以上措施后，</w:t>
            </w:r>
            <w:r>
              <w:rPr>
                <w:rFonts w:hint="eastAsia" w:cs="Times New Roman"/>
                <w:szCs w:val="21"/>
              </w:rPr>
              <w:t>声环境保护目标能够满足《声环境质量标准》（GB3096-2008）中的</w:t>
            </w:r>
            <w:r>
              <w:rPr>
                <w:rFonts w:cs="Times New Roman"/>
                <w:szCs w:val="21"/>
              </w:rPr>
              <w:t>1</w:t>
            </w:r>
            <w:r>
              <w:rPr>
                <w:rFonts w:hint="eastAsia" w:cs="Times New Roman"/>
                <w:szCs w:val="21"/>
              </w:rPr>
              <w:t>类标准（昼间</w:t>
            </w:r>
            <w:r>
              <w:rPr>
                <w:rFonts w:cs="Times New Roman"/>
                <w:szCs w:val="21"/>
              </w:rPr>
              <w:t>55</w:t>
            </w:r>
            <w:r>
              <w:rPr>
                <w:rFonts w:hint="eastAsia" w:cs="Times New Roman"/>
                <w:szCs w:val="21"/>
              </w:rPr>
              <w:t>dB（A），夜间</w:t>
            </w:r>
            <w:r>
              <w:rPr>
                <w:rFonts w:cs="Times New Roman"/>
                <w:szCs w:val="21"/>
              </w:rPr>
              <w:t>45dB（A）</w:t>
            </w:r>
            <w:r>
              <w:rPr>
                <w:rFonts w:hint="eastAsia" w:cs="Times New Roman"/>
                <w:szCs w:val="21"/>
              </w:rPr>
              <w:t>）。</w:t>
            </w:r>
          </w:p>
          <w:p>
            <w:pPr>
              <w:pStyle w:val="44"/>
              <w:spacing w:before="120"/>
              <w:rPr>
                <w:rFonts w:cs="Times New Roman"/>
                <w:color w:val="auto"/>
              </w:rPr>
            </w:pPr>
            <w:r>
              <w:rPr>
                <w:rFonts w:cs="Times New Roman"/>
                <w:color w:val="auto"/>
              </w:rPr>
              <w:t>3、固体废物治理措施</w:t>
            </w:r>
          </w:p>
          <w:p>
            <w:pPr>
              <w:pStyle w:val="46"/>
              <w:ind w:firstLine="480"/>
              <w:rPr>
                <w:rFonts w:cs="Times New Roman"/>
              </w:rPr>
            </w:pPr>
            <w:r>
              <w:rPr>
                <w:rFonts w:cs="Times New Roman"/>
              </w:rPr>
              <w:t>本项目对固体废物建立相应的管理体系和管理制度，对固体废物实行全过程管理，根据《中华人民共和国固体废物污染环境防治法》进行分别管理，明确各类废物的处置制度，保证危险废物的安全监控，防止污染事故的发生。</w:t>
            </w:r>
          </w:p>
          <w:p>
            <w:pPr>
              <w:pStyle w:val="24"/>
              <w:ind w:firstLine="482"/>
              <w:rPr>
                <w:rFonts w:cs="Times New Roman"/>
              </w:rPr>
            </w:pPr>
            <w:r>
              <w:rPr>
                <w:rFonts w:cs="Times New Roman"/>
              </w:rPr>
              <w:t>（1）废旧蓄电池</w:t>
            </w:r>
          </w:p>
          <w:p>
            <w:pPr>
              <w:pStyle w:val="46"/>
              <w:ind w:firstLine="480"/>
              <w:rPr>
                <w:rFonts w:cs="Times New Roman"/>
              </w:rPr>
            </w:pPr>
            <w:r>
              <w:rPr>
                <w:rFonts w:hint="eastAsia" w:cs="Times New Roman"/>
              </w:rPr>
              <w:t>光伏场</w:t>
            </w:r>
            <w:r>
              <w:rPr>
                <w:rFonts w:cs="Times New Roman"/>
              </w:rPr>
              <w:t>及升压站运营中会产生少量废铅酸蓄电池，根据国家危险废物名录，废蓄电池属危险废物（HW31其他废物，废物代码900-052-31）</w:t>
            </w:r>
            <w:r>
              <w:rPr>
                <w:rFonts w:hint="eastAsia" w:cs="Times New Roman"/>
              </w:rPr>
              <w:t>。废旧蓄电池在更换时</w:t>
            </w:r>
            <w:r>
              <w:rPr>
                <w:rFonts w:cs="Times New Roman"/>
              </w:rPr>
              <w:t>由有资质的单位进行回收处置</w:t>
            </w:r>
            <w:r>
              <w:rPr>
                <w:rFonts w:hint="eastAsia" w:cs="Times New Roman"/>
              </w:rPr>
              <w:t>，不在站内暂存</w:t>
            </w:r>
            <w:r>
              <w:rPr>
                <w:rFonts w:cs="Times New Roman"/>
              </w:rPr>
              <w:t>。</w:t>
            </w:r>
          </w:p>
          <w:p>
            <w:pPr>
              <w:pStyle w:val="24"/>
              <w:ind w:firstLine="482"/>
              <w:rPr>
                <w:rFonts w:cs="Times New Roman"/>
              </w:rPr>
            </w:pPr>
            <w:r>
              <w:rPr>
                <w:rFonts w:cs="Times New Roman"/>
              </w:rPr>
              <w:t>（2）</w:t>
            </w:r>
            <w:r>
              <w:rPr>
                <w:rFonts w:hint="eastAsia" w:cs="Times New Roman"/>
              </w:rPr>
              <w:t>储能废电池</w:t>
            </w:r>
          </w:p>
          <w:p>
            <w:pPr>
              <w:pStyle w:val="46"/>
              <w:ind w:firstLine="480"/>
              <w:rPr>
                <w:rFonts w:cs="Times New Roman"/>
              </w:rPr>
            </w:pPr>
            <w:r>
              <w:rPr>
                <w:rFonts w:hint="eastAsia" w:cs="Times New Roman"/>
              </w:rPr>
              <w:t>储能装置运行过程中产生的废旧磷酸铁锂电池，更换周期为1</w:t>
            </w:r>
            <w:r>
              <w:rPr>
                <w:rFonts w:cs="Times New Roman"/>
              </w:rPr>
              <w:t>0年，</w:t>
            </w:r>
            <w:r>
              <w:rPr>
                <w:rFonts w:hint="eastAsia" w:cs="Times New Roman"/>
              </w:rPr>
              <w:t>在更换时由厂家直接回收处置，不在站内暂存。</w:t>
            </w:r>
          </w:p>
          <w:p>
            <w:pPr>
              <w:pStyle w:val="24"/>
              <w:ind w:firstLine="482"/>
              <w:rPr>
                <w:rFonts w:cs="Times New Roman"/>
              </w:rPr>
            </w:pPr>
            <w:r>
              <w:rPr>
                <w:rFonts w:cs="Times New Roman"/>
              </w:rPr>
              <w:t>（3）主变事故油</w:t>
            </w:r>
          </w:p>
          <w:p>
            <w:pPr>
              <w:pStyle w:val="46"/>
              <w:ind w:firstLine="480"/>
              <w:rPr>
                <w:rFonts w:cs="Times New Roman"/>
              </w:rPr>
            </w:pPr>
            <w:r>
              <w:rPr>
                <w:rFonts w:cs="Times New Roman"/>
              </w:rPr>
              <w:t>升压站内</w:t>
            </w:r>
            <w:r>
              <w:rPr>
                <w:rFonts w:hint="eastAsia" w:cs="Times New Roman"/>
              </w:rPr>
              <w:t>设有</w:t>
            </w:r>
            <w:r>
              <w:rPr>
                <w:rFonts w:cs="Times New Roman"/>
              </w:rPr>
              <w:t>事故油池。主变压器发生突发事故时，主变事故油排至事故油池，</w:t>
            </w:r>
            <w:r>
              <w:rPr>
                <w:rFonts w:hint="eastAsia" w:cs="Times New Roman"/>
              </w:rPr>
              <w:t>由</w:t>
            </w:r>
            <w:r>
              <w:rPr>
                <w:rFonts w:cs="Times New Roman"/>
              </w:rPr>
              <w:t>有资质</w:t>
            </w:r>
            <w:r>
              <w:rPr>
                <w:rFonts w:hint="eastAsia" w:cs="Times New Roman"/>
              </w:rPr>
              <w:t>的</w:t>
            </w:r>
            <w:r>
              <w:rPr>
                <w:rFonts w:cs="Times New Roman"/>
              </w:rPr>
              <w:t>单位进行回收处置。</w:t>
            </w:r>
          </w:p>
          <w:p>
            <w:pPr>
              <w:pStyle w:val="24"/>
              <w:ind w:firstLine="482"/>
              <w:rPr>
                <w:rFonts w:cs="Times New Roman"/>
              </w:rPr>
            </w:pPr>
            <w:r>
              <w:rPr>
                <w:rFonts w:cs="Times New Roman"/>
              </w:rPr>
              <w:t>（4）光伏场箱变事故油</w:t>
            </w:r>
          </w:p>
          <w:p>
            <w:pPr>
              <w:pStyle w:val="46"/>
              <w:ind w:firstLine="480"/>
              <w:rPr>
                <w:rFonts w:cs="Times New Roman"/>
              </w:rPr>
            </w:pPr>
            <w:r>
              <w:rPr>
                <w:rFonts w:cs="Times New Roman"/>
              </w:rPr>
              <w:t>箱式变压器事故油泄漏于箱式变压器内下方的事故油池内，箱式变压器油为石油类HW08废矿物油，属于危险废物，</w:t>
            </w:r>
            <w:r>
              <w:rPr>
                <w:rFonts w:hint="eastAsia" w:cs="Times New Roman"/>
              </w:rPr>
              <w:t>由</w:t>
            </w:r>
            <w:r>
              <w:rPr>
                <w:rFonts w:cs="Times New Roman"/>
              </w:rPr>
              <w:t>有资质的单位处置。</w:t>
            </w:r>
          </w:p>
          <w:p>
            <w:pPr>
              <w:pStyle w:val="24"/>
              <w:ind w:firstLine="482"/>
              <w:rPr>
                <w:rFonts w:cs="Times New Roman"/>
              </w:rPr>
            </w:pPr>
            <w:r>
              <w:rPr>
                <w:rFonts w:hint="eastAsia" w:cs="Times New Roman"/>
              </w:rPr>
              <w:t>（5）废旧光伏板</w:t>
            </w:r>
          </w:p>
          <w:p>
            <w:pPr>
              <w:pStyle w:val="46"/>
              <w:ind w:firstLine="480"/>
              <w:rPr>
                <w:rFonts w:cs="Times New Roman"/>
              </w:rPr>
            </w:pPr>
            <w:r>
              <w:rPr>
                <w:rFonts w:hint="eastAsia" w:cs="Times New Roman"/>
              </w:rPr>
              <w:t>更换后的废旧太阳能光伏电池板及时由厂家回收清运，不在项目区内暂存。</w:t>
            </w:r>
          </w:p>
          <w:p>
            <w:pPr>
              <w:pStyle w:val="24"/>
              <w:ind w:firstLine="482"/>
              <w:rPr>
                <w:rFonts w:cs="Times New Roman"/>
              </w:rPr>
            </w:pPr>
            <w:r>
              <w:rPr>
                <w:rFonts w:cs="Times New Roman"/>
              </w:rPr>
              <w:t>（6）</w:t>
            </w:r>
            <w:r>
              <w:rPr>
                <w:rFonts w:hint="eastAsia" w:cs="Times New Roman"/>
              </w:rPr>
              <w:t>检修废油</w:t>
            </w:r>
          </w:p>
          <w:p>
            <w:pPr>
              <w:pStyle w:val="24"/>
              <w:ind w:firstLine="480"/>
              <w:rPr>
                <w:rFonts w:cs="Times New Roman"/>
                <w:b w:val="0"/>
              </w:rPr>
            </w:pPr>
            <w:r>
              <w:rPr>
                <w:rFonts w:hint="eastAsia" w:cs="Times New Roman"/>
                <w:b w:val="0"/>
              </w:rPr>
              <w:t>升压站设有危废暂存间，检修废油暂存危废暂存间，交有资质单位处理。</w:t>
            </w:r>
          </w:p>
          <w:p>
            <w:pPr>
              <w:pStyle w:val="24"/>
              <w:ind w:firstLine="482"/>
              <w:rPr>
                <w:rFonts w:cs="Times New Roman"/>
              </w:rPr>
            </w:pPr>
            <w:r>
              <w:rPr>
                <w:rFonts w:cs="Times New Roman"/>
              </w:rPr>
              <w:t>（7）生活垃圾</w:t>
            </w:r>
          </w:p>
          <w:p>
            <w:pPr>
              <w:pStyle w:val="46"/>
              <w:ind w:firstLine="480"/>
              <w:rPr>
                <w:rFonts w:cs="Times New Roman"/>
              </w:rPr>
            </w:pPr>
            <w:r>
              <w:rPr>
                <w:rFonts w:cs="Times New Roman"/>
              </w:rPr>
              <w:t>升压站内设有垃圾箱，生活垃圾经收集后</w:t>
            </w:r>
            <w:r>
              <w:rPr>
                <w:rFonts w:hint="eastAsia" w:cs="Times New Roman"/>
              </w:rPr>
              <w:t>，由当地环卫部门定期统一回收处置</w:t>
            </w:r>
            <w:r>
              <w:rPr>
                <w:rFonts w:cs="Times New Roman"/>
              </w:rPr>
              <w:t>。</w:t>
            </w:r>
          </w:p>
          <w:p>
            <w:pPr>
              <w:pStyle w:val="46"/>
              <w:ind w:firstLine="482"/>
              <w:rPr>
                <w:rFonts w:cs="Times New Roman"/>
                <w:b/>
              </w:rPr>
            </w:pPr>
            <w:r>
              <w:rPr>
                <w:rFonts w:hint="eastAsia" w:cs="Times New Roman"/>
                <w:b/>
              </w:rPr>
              <w:t>（</w:t>
            </w:r>
            <w:r>
              <w:rPr>
                <w:rFonts w:cs="Times New Roman"/>
                <w:b/>
              </w:rPr>
              <w:t>8</w:t>
            </w:r>
            <w:r>
              <w:rPr>
                <w:rFonts w:hint="eastAsia" w:cs="Times New Roman"/>
                <w:b/>
              </w:rPr>
              <w:t>）生态治理工程</w:t>
            </w:r>
          </w:p>
          <w:p>
            <w:pPr>
              <w:pStyle w:val="46"/>
              <w:ind w:firstLine="480"/>
              <w:rPr>
                <w:rFonts w:cs="Times New Roman"/>
              </w:rPr>
            </w:pPr>
            <w:r>
              <w:rPr>
                <w:rFonts w:hint="eastAsia" w:cs="Times New Roman"/>
              </w:rPr>
              <w:t>生态治理工程养护期间会产生废化肥、种子包装袋，草叶、树叶、树枝等固体废物，均属一般固体废物，集中收集后由当地环卫部门定期统一回收处置。</w:t>
            </w:r>
          </w:p>
          <w:p>
            <w:pPr>
              <w:autoSpaceDE w:val="0"/>
              <w:snapToGrid w:val="0"/>
              <w:spacing w:line="360" w:lineRule="auto"/>
              <w:outlineLvl w:val="2"/>
              <w:rPr>
                <w:b/>
                <w:bCs/>
                <w:sz w:val="28"/>
                <w:szCs w:val="28"/>
              </w:rPr>
            </w:pPr>
            <w:r>
              <w:rPr>
                <w:b/>
                <w:bCs/>
                <w:sz w:val="28"/>
                <w:szCs w:val="28"/>
              </w:rPr>
              <w:t>4、生态环境保护措施</w:t>
            </w:r>
          </w:p>
          <w:p>
            <w:pPr>
              <w:pStyle w:val="46"/>
              <w:ind w:firstLine="480"/>
              <w:rPr>
                <w:rFonts w:cs="Times New Roman"/>
              </w:rPr>
            </w:pPr>
            <w:r>
              <w:rPr>
                <w:rFonts w:cs="Times New Roman"/>
              </w:rPr>
              <w:t>运营期对生态系统的保护主要从加强环境管理和环境监测方面实施。</w:t>
            </w:r>
          </w:p>
          <w:p>
            <w:pPr>
              <w:pStyle w:val="46"/>
              <w:ind w:firstLine="480"/>
              <w:rPr>
                <w:rFonts w:cs="Times New Roman"/>
              </w:rPr>
            </w:pPr>
            <w:r>
              <w:rPr>
                <w:rFonts w:cs="Times New Roman"/>
              </w:rPr>
              <w:t>（1）加强各项</w:t>
            </w:r>
            <w:r>
              <w:rPr>
                <w:rFonts w:hint="eastAsia" w:cs="Times New Roman"/>
              </w:rPr>
              <w:t>环保和</w:t>
            </w:r>
            <w:r>
              <w:rPr>
                <w:rFonts w:cs="Times New Roman"/>
              </w:rPr>
              <w:t>水保措施的管护，加强</w:t>
            </w:r>
            <w:r>
              <w:rPr>
                <w:rFonts w:hint="eastAsia" w:cs="Times New Roman"/>
              </w:rPr>
              <w:t>光伏场及</w:t>
            </w:r>
            <w:r>
              <w:rPr>
                <w:rFonts w:cs="Times New Roman"/>
              </w:rPr>
              <w:t>升压站管理，尽量减少人为践踏等对植被的破坏，不进行其它影响生态恢复的活动。</w:t>
            </w:r>
          </w:p>
          <w:p>
            <w:pPr>
              <w:pStyle w:val="46"/>
              <w:ind w:firstLine="480"/>
              <w:rPr>
                <w:rFonts w:cs="Times New Roman"/>
              </w:rPr>
            </w:pPr>
            <w:r>
              <w:rPr>
                <w:rFonts w:cs="Times New Roman"/>
              </w:rPr>
              <w:t>（2）妥善处理生活垃圾，不得随意丢弃。</w:t>
            </w:r>
          </w:p>
          <w:p>
            <w:pPr>
              <w:pStyle w:val="46"/>
              <w:ind w:firstLine="480"/>
              <w:rPr>
                <w:rFonts w:cs="Times New Roman"/>
              </w:rPr>
            </w:pPr>
            <w:r>
              <w:rPr>
                <w:rFonts w:cs="Times New Roman"/>
              </w:rPr>
              <w:t>（3）光伏场运行产生的检修垃圾不得随意放置和丢弃。</w:t>
            </w:r>
          </w:p>
          <w:p>
            <w:pPr>
              <w:pStyle w:val="46"/>
              <w:ind w:firstLine="480"/>
              <w:rPr>
                <w:rFonts w:cs="Times New Roman"/>
              </w:rPr>
            </w:pPr>
            <w:r>
              <w:rPr>
                <w:rFonts w:cs="Times New Roman"/>
              </w:rPr>
              <w:t>（4）对升压站管理区域进行生态建设和维护。</w:t>
            </w:r>
          </w:p>
          <w:p>
            <w:pPr>
              <w:pStyle w:val="46"/>
              <w:ind w:firstLine="480"/>
              <w:rPr>
                <w:rFonts w:cs="Times New Roman"/>
              </w:rPr>
            </w:pPr>
            <w:r>
              <w:rPr>
                <w:rFonts w:cs="Times New Roman"/>
              </w:rPr>
              <w:t>（5）严格控制检修车辆的行驶路线，不得在道路外的区域任意行驶，汽车行驶过程中应避免长时间及多次鸣笛，避免对野生动物产生惊扰。</w:t>
            </w:r>
          </w:p>
          <w:p>
            <w:pPr>
              <w:pStyle w:val="46"/>
              <w:ind w:firstLine="480"/>
              <w:rPr>
                <w:rFonts w:cs="Times New Roman"/>
              </w:rPr>
            </w:pPr>
            <w:r>
              <w:rPr>
                <w:rFonts w:cs="Times New Roman"/>
              </w:rPr>
              <w:t>（6）加强员工的生态环境保护意识教育，不定期对其进行生态环境保护培训。</w:t>
            </w:r>
          </w:p>
          <w:p>
            <w:pPr>
              <w:autoSpaceDE w:val="0"/>
              <w:snapToGrid w:val="0"/>
              <w:spacing w:line="360" w:lineRule="auto"/>
              <w:outlineLvl w:val="2"/>
              <w:rPr>
                <w:b/>
                <w:bCs/>
                <w:sz w:val="28"/>
                <w:szCs w:val="28"/>
              </w:rPr>
            </w:pPr>
            <w:r>
              <w:rPr>
                <w:b/>
                <w:bCs/>
                <w:sz w:val="28"/>
                <w:szCs w:val="28"/>
              </w:rPr>
              <w:t>5、生态治理养护措施</w:t>
            </w:r>
          </w:p>
          <w:p>
            <w:pPr>
              <w:pStyle w:val="46"/>
              <w:ind w:firstLine="480"/>
              <w:rPr>
                <w:rFonts w:cs="Times New Roman"/>
              </w:rPr>
            </w:pPr>
            <w:r>
              <w:rPr>
                <w:rFonts w:hint="eastAsia" w:cs="Times New Roman"/>
              </w:rPr>
              <w:t>土壤有机质含量低且无植被生长，可增施有机肥增加土壤有机质，改善土壤肥力、提供植物生长所需的营养。植被恢复治理区播撒草籽后，封育管理，并对治理区域进行养护管理。伏天气温高，雨水少时要拉水灌溉抗旱；汛期，要做防汛工作，对土壤冲刷严重区域及时整平并覆客土绿化。具体养护管理措施如下：</w:t>
            </w:r>
          </w:p>
          <w:p>
            <w:pPr>
              <w:pStyle w:val="46"/>
              <w:ind w:firstLine="480"/>
              <w:rPr>
                <w:rFonts w:cs="Times New Roman"/>
              </w:rPr>
            </w:pPr>
            <w:r>
              <w:rPr>
                <w:rFonts w:hint="eastAsia" w:cs="Times New Roman"/>
              </w:rPr>
              <w:t>（1）补植：栽培成活率不合格的地段，应及时进行重新播撒草籽。</w:t>
            </w:r>
          </w:p>
          <w:p>
            <w:pPr>
              <w:pStyle w:val="46"/>
              <w:ind w:firstLine="480"/>
              <w:rPr>
                <w:rFonts w:cs="Times New Roman"/>
              </w:rPr>
            </w:pPr>
            <w:r>
              <w:rPr>
                <w:rFonts w:hint="eastAsia" w:cs="Times New Roman"/>
              </w:rPr>
              <w:t>（2）施肥、浇水：灌溉时间视天气的变化进行控制。如久干无雨，土壤干燥（土壤泛白开裂）浇水灌溉，浇水灌溉宜在早晨或傍晚进行。施肥是促进植被生长的有效手段，施肥须等植物根系损伤恢复并开始生长后进行。</w:t>
            </w:r>
          </w:p>
          <w:p>
            <w:pPr>
              <w:pStyle w:val="46"/>
              <w:ind w:firstLine="480"/>
              <w:rPr>
                <w:rFonts w:cs="Times New Roman"/>
              </w:rPr>
            </w:pPr>
            <w:r>
              <w:rPr>
                <w:rFonts w:cs="Times New Roman"/>
              </w:rPr>
              <w:t>（</w:t>
            </w:r>
            <w:r>
              <w:rPr>
                <w:rFonts w:hint="eastAsia" w:cs="Times New Roman"/>
              </w:rPr>
              <w:t>3）病虫害防治：必须密切注意对植被观察，一旦出现病虫害症状，立即对症下药，严防病虫害蔓延。</w:t>
            </w:r>
          </w:p>
          <w:p>
            <w:pPr>
              <w:pStyle w:val="46"/>
              <w:ind w:firstLine="480"/>
              <w:rPr>
                <w:rFonts w:cs="Times New Roman"/>
              </w:rPr>
            </w:pPr>
            <w:r>
              <w:rPr>
                <w:rFonts w:hint="eastAsia" w:cs="Times New Roman"/>
              </w:rPr>
              <w:t>（4）采用水车浇水方式进行养护，水源为附近固定水源点。</w:t>
            </w:r>
          </w:p>
          <w:p>
            <w:pPr>
              <w:autoSpaceDE w:val="0"/>
              <w:spacing w:line="360" w:lineRule="auto"/>
              <w:outlineLvl w:val="2"/>
              <w:rPr>
                <w:b/>
                <w:bCs/>
                <w:sz w:val="28"/>
                <w:szCs w:val="28"/>
              </w:rPr>
            </w:pPr>
            <w:r>
              <w:rPr>
                <w:b/>
                <w:bCs/>
                <w:sz w:val="28"/>
                <w:szCs w:val="28"/>
              </w:rPr>
              <w:t>5、风险防范措施</w:t>
            </w:r>
          </w:p>
          <w:p>
            <w:pPr>
              <w:pStyle w:val="24"/>
              <w:ind w:firstLine="482"/>
            </w:pPr>
            <w:r>
              <w:rPr>
                <w:rFonts w:hint="eastAsia"/>
              </w:rPr>
              <w:t>（1）事故油泄露风险防范措施</w:t>
            </w:r>
          </w:p>
          <w:p>
            <w:pPr>
              <w:pStyle w:val="46"/>
              <w:ind w:firstLine="480"/>
              <w:rPr>
                <w:rFonts w:cs="Times New Roman"/>
              </w:rPr>
            </w:pPr>
            <w:r>
              <w:rPr>
                <w:rFonts w:hint="eastAsia" w:cs="Times New Roman"/>
              </w:rPr>
              <w:t>升压站</w:t>
            </w:r>
            <w:r>
              <w:rPr>
                <w:rFonts w:cs="Times New Roman"/>
              </w:rPr>
              <w:t>的主变压器正常运行时不产生</w:t>
            </w:r>
            <w:r>
              <w:rPr>
                <w:rFonts w:hint="eastAsia" w:cs="Times New Roman"/>
              </w:rPr>
              <w:t>废</w:t>
            </w:r>
            <w:r>
              <w:rPr>
                <w:rFonts w:cs="Times New Roman"/>
              </w:rPr>
              <w:t>油。当变压器发生事故时，变压器油将排入事故油池内。事故油由有资质的单位回收处置。</w:t>
            </w:r>
          </w:p>
          <w:p>
            <w:pPr>
              <w:pStyle w:val="46"/>
              <w:ind w:firstLine="480"/>
              <w:rPr>
                <w:rFonts w:cs="Times New Roman"/>
              </w:rPr>
            </w:pPr>
            <w:r>
              <w:rPr>
                <w:rFonts w:cs="Times New Roman"/>
              </w:rPr>
              <w:t>运行期应对事故油池的完好情况进行检查，确保无渗漏、无溢流。</w:t>
            </w:r>
          </w:p>
          <w:p>
            <w:pPr>
              <w:pStyle w:val="24"/>
              <w:ind w:firstLine="482"/>
            </w:pPr>
            <w:r>
              <w:rPr>
                <w:rFonts w:hint="eastAsia"/>
              </w:rPr>
              <w:t>（2）火灾防范措施</w:t>
            </w:r>
          </w:p>
          <w:p>
            <w:pPr>
              <w:pStyle w:val="46"/>
              <w:ind w:firstLine="480"/>
              <w:rPr>
                <w:rFonts w:cs="Times New Roman"/>
              </w:rPr>
            </w:pPr>
            <w:r>
              <w:rPr>
                <w:rFonts w:hint="eastAsia" w:cs="Times New Roman"/>
              </w:rPr>
              <w:t>为防止变压器及其它带油电气发生火灾，在主变压器旁设置推车及手提式干粉灭火器、消防沙箱、消防铲等灭火器材。</w:t>
            </w:r>
          </w:p>
          <w:p>
            <w:pPr>
              <w:pStyle w:val="24"/>
              <w:ind w:firstLine="482"/>
            </w:pPr>
            <w:r>
              <w:t>（</w:t>
            </w:r>
            <w:r>
              <w:rPr>
                <w:rFonts w:hint="eastAsia"/>
              </w:rPr>
              <w:t>3）</w:t>
            </w:r>
            <w:r>
              <w:t>检修废油临时存放措施</w:t>
            </w:r>
          </w:p>
          <w:p>
            <w:pPr>
              <w:pStyle w:val="46"/>
              <w:ind w:firstLine="480"/>
              <w:rPr>
                <w:rFonts w:cs="Times New Roman"/>
              </w:rPr>
            </w:pPr>
            <w:r>
              <w:rPr>
                <w:rFonts w:cs="Times New Roman"/>
              </w:rPr>
              <w:t>升压站内设有危废暂存间，危废暂存间</w:t>
            </w:r>
            <w:r>
              <w:rPr>
                <w:rFonts w:hint="eastAsia" w:cs="Times New Roman"/>
              </w:rPr>
              <w:t>设置依据《危险废物贮存污染控制标准》（GB 18597—2023），《危险废物收集 贮存 运输技术规范》（HJ 2025-2012）《危险废物处置工程技术导则》（HJ 2042-2014）。</w:t>
            </w:r>
            <w:r>
              <w:rPr>
                <w:rFonts w:cs="Times New Roman"/>
              </w:rPr>
              <w:t>临时存放检修废油，交由有资质的单位处理。</w:t>
            </w:r>
          </w:p>
          <w:p>
            <w:pPr>
              <w:pStyle w:val="46"/>
              <w:ind w:firstLine="482"/>
              <w:rPr>
                <w:rFonts w:cs="Times New Roman"/>
                <w:b/>
              </w:rPr>
            </w:pPr>
            <w:r>
              <w:rPr>
                <w:rFonts w:hint="eastAsia" w:cs="Times New Roman"/>
                <w:b/>
              </w:rPr>
              <w:t>（</w:t>
            </w:r>
            <w:r>
              <w:rPr>
                <w:rFonts w:cs="Times New Roman"/>
                <w:b/>
              </w:rPr>
              <w:t>4</w:t>
            </w:r>
            <w:r>
              <w:rPr>
                <w:rFonts w:hint="eastAsia" w:cs="Times New Roman"/>
                <w:b/>
              </w:rPr>
              <w:t>）地质灾害防范措施</w:t>
            </w:r>
          </w:p>
          <w:p>
            <w:pPr>
              <w:pStyle w:val="46"/>
              <w:ind w:firstLine="480"/>
              <w:rPr>
                <w:rFonts w:cs="Times New Roman"/>
              </w:rPr>
            </w:pPr>
            <w:r>
              <w:rPr>
                <w:rFonts w:hint="eastAsia" w:cs="Times New Roman"/>
              </w:rPr>
              <w:t>本工程已完成《地质灾害危险性评估报告》并取得评审意见。</w:t>
            </w:r>
          </w:p>
          <w:p>
            <w:pPr>
              <w:pStyle w:val="46"/>
              <w:ind w:firstLine="480"/>
              <w:rPr>
                <w:rFonts w:cs="Times New Roman"/>
              </w:rPr>
            </w:pPr>
            <w:r>
              <w:rPr>
                <w:rFonts w:hint="eastAsia" w:cs="Times New Roman"/>
              </w:rPr>
              <w:t>在工程建设过程中，尽量减少大面积挖填方，建议对排土场边坡进行稳定性评估，对不稳定的斜坡采用削坡处理，同时采用截排水工程防治措施。光伏发电厂投产后，要实时监测边坡位移与地下水位。拟建工程建设会增加排土场的荷载，加剧回填场地的不均匀沉降，但是光伏发电板荷载较小，引发沉降量总体不大，因此，建议对基础持力层加强压实减少不均匀沉降。建议采取生物措施，对排土场边坡进行绿化，种植灌木为主的植被，可以保持水土，防风固沙，防止坡面泥流，防止形成局部冲沟破坏边坡稳定。</w:t>
            </w:r>
          </w:p>
          <w:p>
            <w:pPr>
              <w:pStyle w:val="46"/>
              <w:ind w:firstLine="480"/>
              <w:rPr>
                <w:rFonts w:cs="Times New Roman"/>
              </w:rPr>
            </w:pPr>
            <w:r>
              <w:rPr>
                <w:rFonts w:hint="eastAsia" w:cs="Times New Roman"/>
              </w:rPr>
              <w:t>预测评估认为：工程建设引发滑坡，崩塌，泥石流，岩溶塌陷，采空塌陷，地面沉降，地裂缝地质灾害的可能性小，危险性小；工程建设遭受滑坡，崩塌，泥石流，岩溶塌陷，采空塌陷，地面沉降，地裂缝地质灾害的可能性小，危险性小。在评估区2号地块，工程建设可能引发、加剧不稳定斜坡地质灾害，预测其危害程度中等，危险性中等；建设工程可能遭受不稳定斜坡地质灾害，预测其危害程度中等，危险性中等。</w:t>
            </w:r>
          </w:p>
          <w:p>
            <w:pPr>
              <w:pStyle w:val="46"/>
              <w:ind w:firstLine="480"/>
              <w:rPr>
                <w:rFonts w:cs="Times New Roman"/>
              </w:rPr>
            </w:pPr>
            <w:r>
              <w:rPr>
                <w:rFonts w:hint="eastAsia" w:cs="Times New Roman"/>
              </w:rPr>
              <w:t>严格贯彻落实地质灾害以防为主、防治结合的方针，严格按照规范、规程进行设计和施工。施工期间，若发现场地有地质灾害迹象，应及时查明原因并进行整治，控制其进一步发展，避免发生地质灾害。进行工程建设的同时要注意对现有地质环境的保护。</w:t>
            </w:r>
          </w:p>
          <w:p>
            <w:pPr>
              <w:pStyle w:val="46"/>
              <w:ind w:firstLine="482"/>
              <w:rPr>
                <w:rFonts w:cs="Times New Roman"/>
                <w:b/>
              </w:rPr>
            </w:pPr>
            <w:r>
              <w:rPr>
                <w:rFonts w:cs="Times New Roman"/>
                <w:b/>
              </w:rPr>
              <w:t>（</w:t>
            </w:r>
            <w:r>
              <w:rPr>
                <w:rFonts w:hint="eastAsia" w:cs="Times New Roman"/>
                <w:b/>
              </w:rPr>
              <w:t>5）其他</w:t>
            </w:r>
          </w:p>
          <w:p>
            <w:pPr>
              <w:pStyle w:val="46"/>
              <w:ind w:firstLine="480"/>
              <w:rPr>
                <w:rFonts w:cs="Times New Roman"/>
              </w:rPr>
            </w:pPr>
            <w:r>
              <w:rPr>
                <w:rFonts w:hint="eastAsia" w:cs="Times New Roman"/>
              </w:rPr>
              <w:t>本工程《防洪影响评价》与《地质稳定性评价》报告正在编制中，施工及运营过程中需严格落实《地质灾害危险性评估报告》、《防洪影响评价报告》、《地质稳定性评价报告》中提出的各项防治措施。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08" w:type="dxa"/>
            <w:bottom w:w="113" w:type="dxa"/>
            <w:right w:w="108" w:type="dxa"/>
          </w:tblCellMar>
        </w:tblPrEx>
        <w:trPr>
          <w:trHeight w:val="11217" w:hRule="atLeast"/>
          <w:jc w:val="center"/>
        </w:trPr>
        <w:tc>
          <w:tcPr>
            <w:tcW w:w="753" w:type="dxa"/>
            <w:vAlign w:val="center"/>
          </w:tcPr>
          <w:p>
            <w:pPr>
              <w:adjustRightInd w:val="0"/>
              <w:snapToGrid w:val="0"/>
              <w:jc w:val="center"/>
              <w:rPr>
                <w:bCs/>
                <w:spacing w:val="10"/>
                <w:szCs w:val="21"/>
              </w:rPr>
            </w:pPr>
            <w:r>
              <w:rPr>
                <w:bCs/>
                <w:sz w:val="24"/>
                <w:szCs w:val="21"/>
              </w:rPr>
              <w:t>其他</w:t>
            </w:r>
          </w:p>
        </w:tc>
        <w:tc>
          <w:tcPr>
            <w:tcW w:w="8457" w:type="dxa"/>
          </w:tcPr>
          <w:p>
            <w:pPr>
              <w:pStyle w:val="44"/>
              <w:spacing w:before="120"/>
              <w:rPr>
                <w:rFonts w:cs="Times New Roman"/>
                <w:color w:val="auto"/>
              </w:rPr>
            </w:pPr>
            <w:r>
              <w:rPr>
                <w:rFonts w:cs="Times New Roman"/>
                <w:color w:val="auto"/>
              </w:rPr>
              <w:t>1、环境管理与监测计划</w:t>
            </w:r>
          </w:p>
          <w:p>
            <w:pPr>
              <w:pStyle w:val="46"/>
              <w:ind w:firstLine="480"/>
              <w:rPr>
                <w:rFonts w:cs="Times New Roman"/>
              </w:rPr>
            </w:pPr>
            <w:r>
              <w:rPr>
                <w:rFonts w:cs="Times New Roman"/>
              </w:rPr>
              <w:t>本工程的建设期会对光伏场周边区域环境造成一定的影响。施工期和运行期应加强环境管理，执行环境管理和监测计划，掌握项目工程建设前后、运行前后实际产生的环境影响变化情况，确保各项环保防治措施的有效落实，并根据管理、监测中发现的信息及时解决相关问题，尽可能降低、减少工程建设及工程运行对环境带来的负面影响，力争做到经济、社会、环境效益的统一和可持续发展。</w:t>
            </w:r>
          </w:p>
          <w:p>
            <w:pPr>
              <w:pStyle w:val="44"/>
              <w:spacing w:before="120"/>
              <w:rPr>
                <w:rFonts w:cs="Times New Roman"/>
                <w:color w:val="auto"/>
              </w:rPr>
            </w:pPr>
            <w:r>
              <w:rPr>
                <w:rFonts w:cs="Times New Roman"/>
                <w:color w:val="auto"/>
              </w:rPr>
              <w:t>2、施工期的环境管理和监督</w:t>
            </w:r>
          </w:p>
          <w:p>
            <w:pPr>
              <w:pStyle w:val="46"/>
              <w:ind w:firstLine="480"/>
              <w:rPr>
                <w:rFonts w:cs="Times New Roman"/>
              </w:rPr>
            </w:pPr>
            <w:r>
              <w:rPr>
                <w:rFonts w:cs="Times New Roman"/>
              </w:rPr>
              <w:t>施工招标中对投标单位提出建设期间的环保要求。在施工设计文件中详细说明建设期应注意的环保问题，严格要求施工单位按设计文件施工，特别是按环保设计要求施工。建设期环境管理的职责和任务如下：</w:t>
            </w:r>
          </w:p>
          <w:p>
            <w:pPr>
              <w:pStyle w:val="46"/>
              <w:ind w:firstLine="480"/>
              <w:rPr>
                <w:rFonts w:cs="Times New Roman"/>
              </w:rPr>
            </w:pPr>
            <w:r>
              <w:rPr>
                <w:rFonts w:cs="Times New Roman"/>
              </w:rPr>
              <w:t>（1）贯彻执行国家、地方的各项环保方针、政策、法规和各项规章制度。</w:t>
            </w:r>
          </w:p>
          <w:p>
            <w:pPr>
              <w:pStyle w:val="46"/>
              <w:ind w:firstLine="480"/>
              <w:rPr>
                <w:rFonts w:cs="Times New Roman"/>
              </w:rPr>
            </w:pPr>
            <w:r>
              <w:rPr>
                <w:rFonts w:cs="Times New Roman"/>
              </w:rPr>
              <w:t>（2）制定本工程施工中的环境保护计划，负责工程施工过程中各项环境保护措施实施的监督和日常管理。</w:t>
            </w:r>
          </w:p>
          <w:p>
            <w:pPr>
              <w:pStyle w:val="46"/>
              <w:ind w:firstLine="480"/>
              <w:rPr>
                <w:rFonts w:cs="Times New Roman"/>
              </w:rPr>
            </w:pPr>
            <w:r>
              <w:rPr>
                <w:rFonts w:cs="Times New Roman"/>
              </w:rPr>
              <w:t>（3）组织和开展对施工人员进行施工活动中应遵循的环保法规、知识的培训，提高全体员工文明施工的认识。加强人员教育，严格控制施工范围。施工结束后对施工扰动区及时进行绿化。</w:t>
            </w:r>
          </w:p>
          <w:p>
            <w:pPr>
              <w:pStyle w:val="46"/>
              <w:ind w:firstLine="480"/>
              <w:rPr>
                <w:rFonts w:cs="Times New Roman"/>
              </w:rPr>
            </w:pPr>
            <w:r>
              <w:rPr>
                <w:rFonts w:cs="Times New Roman"/>
              </w:rPr>
              <w:t>（4）在施工计划中应适当</w:t>
            </w:r>
            <w:r>
              <w:rPr>
                <w:rFonts w:hint="eastAsia" w:cs="Times New Roman"/>
              </w:rPr>
              <w:t>规划</w:t>
            </w:r>
            <w:r>
              <w:rPr>
                <w:rFonts w:cs="Times New Roman"/>
              </w:rPr>
              <w:t>设备运输道路，以避免影响当地居民生活，施工中应考虑保护生态和避免水土流失，合理组织施工，不在</w:t>
            </w:r>
            <w:r>
              <w:rPr>
                <w:rFonts w:hint="eastAsia" w:cs="Times New Roman"/>
              </w:rPr>
              <w:t>场</w:t>
            </w:r>
            <w:r>
              <w:rPr>
                <w:rFonts w:cs="Times New Roman"/>
              </w:rPr>
              <w:t>外设置临时施工用地。</w:t>
            </w:r>
          </w:p>
          <w:p>
            <w:pPr>
              <w:pStyle w:val="46"/>
              <w:ind w:firstLine="480"/>
              <w:rPr>
                <w:rFonts w:cs="Times New Roman"/>
              </w:rPr>
            </w:pPr>
            <w:r>
              <w:rPr>
                <w:rFonts w:cs="Times New Roman"/>
              </w:rPr>
              <w:t>（5）做好施工中各种环境问题的收集、记录、建档和处理工作。</w:t>
            </w:r>
          </w:p>
          <w:p>
            <w:pPr>
              <w:pStyle w:val="46"/>
              <w:ind w:firstLine="480"/>
              <w:rPr>
                <w:rFonts w:cs="Times New Roman"/>
              </w:rPr>
            </w:pPr>
            <w:r>
              <w:rPr>
                <w:rFonts w:cs="Times New Roman"/>
              </w:rPr>
              <w:t>（6）监督施工单位，使设计、施工过程的各项环境保护措施与主体工程同步实施。</w:t>
            </w:r>
          </w:p>
          <w:p>
            <w:pPr>
              <w:pStyle w:val="46"/>
              <w:ind w:firstLine="480"/>
              <w:rPr>
                <w:rFonts w:cs="Times New Roman"/>
              </w:rPr>
            </w:pPr>
            <w:r>
              <w:rPr>
                <w:rFonts w:cs="Times New Roman"/>
              </w:rPr>
              <w:t>（7）</w:t>
            </w:r>
            <w:r>
              <w:rPr>
                <w:rFonts w:hint="eastAsia" w:cs="Times New Roman"/>
              </w:rPr>
              <w:t>审查生态治理工程施工单位的质量控制体系和措施，核实质量文件。依据工程承建合同文件、设计文件、技术规与质量检验标准，对施工前准备工作进行检查，对施工工序和资源投入进行监督，以单元工程为基础，对基础工程、隐蔽工程、分部分项工程的质量进行检查、签证和施工质量的评价。组织质量事故调查，分类评定质量事故等级，审批质量事故处理措施：关键部位、关键施工工序、关键施工时段必须实行旁站监理。</w:t>
            </w:r>
          </w:p>
          <w:p>
            <w:pPr>
              <w:pStyle w:val="46"/>
              <w:ind w:firstLine="480"/>
              <w:rPr>
                <w:rFonts w:cs="Times New Roman"/>
              </w:rPr>
            </w:pPr>
            <w:r>
              <w:rPr>
                <w:rFonts w:cs="Times New Roman"/>
              </w:rPr>
              <w:t>（8）</w:t>
            </w:r>
            <w:r>
              <w:rPr>
                <w:rFonts w:hint="eastAsia" w:cs="Times New Roman"/>
              </w:rPr>
              <w:tab/>
            </w:r>
            <w:r>
              <w:rPr>
                <w:rFonts w:hint="eastAsia" w:cs="Times New Roman"/>
              </w:rPr>
              <w:t>生态治理工程完工验收主要工作：</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1 \* GB3</w:instrText>
            </w:r>
            <w:r>
              <w:rPr>
                <w:rFonts w:cs="Times New Roman"/>
              </w:rPr>
              <w:instrText xml:space="preserve"> </w:instrText>
            </w:r>
            <w:r>
              <w:rPr>
                <w:rFonts w:cs="Times New Roman"/>
              </w:rPr>
              <w:fldChar w:fldCharType="separate"/>
            </w:r>
            <w:r>
              <w:rPr>
                <w:rFonts w:hint="eastAsia" w:cs="Times New Roman"/>
              </w:rPr>
              <w:t>①</w:t>
            </w:r>
            <w:r>
              <w:rPr>
                <w:rFonts w:cs="Times New Roman"/>
              </w:rPr>
              <w:fldChar w:fldCharType="end"/>
            </w:r>
            <w:r>
              <w:rPr>
                <w:rFonts w:cs="Times New Roman"/>
              </w:rPr>
              <w:t xml:space="preserve"> </w:t>
            </w:r>
            <w:r>
              <w:rPr>
                <w:rFonts w:hint="eastAsia" w:cs="Times New Roman"/>
              </w:rPr>
              <w:t>检查工程是否按批准设计完成;</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2 \* GB3</w:instrText>
            </w:r>
            <w:r>
              <w:rPr>
                <w:rFonts w:cs="Times New Roman"/>
              </w:rPr>
              <w:instrText xml:space="preserve"> </w:instrText>
            </w:r>
            <w:r>
              <w:rPr>
                <w:rFonts w:cs="Times New Roman"/>
              </w:rPr>
              <w:fldChar w:fldCharType="separate"/>
            </w:r>
            <w:r>
              <w:rPr>
                <w:rFonts w:hint="eastAsia" w:cs="Times New Roman"/>
              </w:rPr>
              <w:t>②</w:t>
            </w:r>
            <w:r>
              <w:rPr>
                <w:rFonts w:cs="Times New Roman"/>
              </w:rPr>
              <w:fldChar w:fldCharType="end"/>
            </w:r>
            <w:r>
              <w:rPr>
                <w:rFonts w:cs="Times New Roman"/>
              </w:rPr>
              <w:t xml:space="preserve"> </w:t>
            </w:r>
            <w:r>
              <w:rPr>
                <w:rFonts w:hint="eastAsia" w:cs="Times New Roman"/>
              </w:rPr>
              <w:t>检查工程质量、评定质量等级，对工程缺陷提出处理意见;</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3 \* GB3</w:instrText>
            </w:r>
            <w:r>
              <w:rPr>
                <w:rFonts w:cs="Times New Roman"/>
              </w:rPr>
              <w:instrText xml:space="preserve"> </w:instrText>
            </w:r>
            <w:r>
              <w:rPr>
                <w:rFonts w:cs="Times New Roman"/>
              </w:rPr>
              <w:fldChar w:fldCharType="separate"/>
            </w:r>
            <w:r>
              <w:rPr>
                <w:rFonts w:hint="eastAsia" w:cs="Times New Roman"/>
              </w:rPr>
              <w:t>③</w:t>
            </w:r>
            <w:r>
              <w:rPr>
                <w:rFonts w:cs="Times New Roman"/>
              </w:rPr>
              <w:fldChar w:fldCharType="end"/>
            </w:r>
            <w:r>
              <w:rPr>
                <w:rFonts w:cs="Times New Roman"/>
              </w:rPr>
              <w:t xml:space="preserve"> </w:t>
            </w:r>
            <w:r>
              <w:rPr>
                <w:rFonts w:hint="eastAsia" w:cs="Times New Roman"/>
              </w:rPr>
              <w:t>对验收遗留问题提出处理意见：</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4 \* GB3</w:instrText>
            </w:r>
            <w:r>
              <w:rPr>
                <w:rFonts w:cs="Times New Roman"/>
              </w:rPr>
              <w:instrText xml:space="preserve"> </w:instrText>
            </w:r>
            <w:r>
              <w:rPr>
                <w:rFonts w:cs="Times New Roman"/>
              </w:rPr>
              <w:fldChar w:fldCharType="separate"/>
            </w:r>
            <w:r>
              <w:rPr>
                <w:rFonts w:hint="eastAsia" w:cs="Times New Roman"/>
              </w:rPr>
              <w:t>④</w:t>
            </w:r>
            <w:r>
              <w:rPr>
                <w:rFonts w:cs="Times New Roman"/>
              </w:rPr>
              <w:fldChar w:fldCharType="end"/>
            </w:r>
            <w:r>
              <w:rPr>
                <w:rFonts w:cs="Times New Roman"/>
              </w:rPr>
              <w:t xml:space="preserve"> </w:t>
            </w:r>
            <w:r>
              <w:rPr>
                <w:rFonts w:hint="eastAsia" w:cs="Times New Roman"/>
              </w:rPr>
              <w:t>按照合同规定，施工单位向业主移交工程。</w:t>
            </w:r>
          </w:p>
          <w:p>
            <w:pPr>
              <w:pStyle w:val="44"/>
              <w:spacing w:before="120"/>
              <w:rPr>
                <w:rFonts w:cs="Times New Roman"/>
                <w:color w:val="auto"/>
              </w:rPr>
            </w:pPr>
            <w:r>
              <w:rPr>
                <w:rFonts w:cs="Times New Roman"/>
                <w:color w:val="auto"/>
              </w:rPr>
              <w:t>3、运行期的环境管理和监督</w:t>
            </w:r>
          </w:p>
          <w:p>
            <w:pPr>
              <w:pStyle w:val="46"/>
              <w:ind w:firstLine="480"/>
              <w:rPr>
                <w:rFonts w:cs="Times New Roman"/>
              </w:rPr>
            </w:pPr>
            <w:r>
              <w:rPr>
                <w:rFonts w:cs="Times New Roman"/>
              </w:rPr>
              <w:t>根据项目所在区域的环境特点及工程特点，本工程</w:t>
            </w:r>
            <w:r>
              <w:rPr>
                <w:rFonts w:hint="eastAsia" w:cs="Times New Roman"/>
              </w:rPr>
              <w:t>应设置</w:t>
            </w:r>
            <w:r>
              <w:rPr>
                <w:rFonts w:cs="Times New Roman"/>
              </w:rPr>
              <w:t>环境管理部门</w:t>
            </w:r>
            <w:r>
              <w:rPr>
                <w:rFonts w:hint="eastAsia" w:cs="Times New Roman"/>
              </w:rPr>
              <w:t>并</w:t>
            </w:r>
            <w:r>
              <w:rPr>
                <w:rFonts w:cs="Times New Roman"/>
              </w:rPr>
              <w:t>配备相应专业的管理人员。</w:t>
            </w:r>
          </w:p>
          <w:p>
            <w:pPr>
              <w:pStyle w:val="46"/>
              <w:ind w:firstLine="480"/>
              <w:rPr>
                <w:rFonts w:cs="Times New Roman"/>
              </w:rPr>
            </w:pPr>
            <w:r>
              <w:rPr>
                <w:rFonts w:cs="Times New Roman"/>
              </w:rPr>
              <w:t>环境管理部门的职能为：</w:t>
            </w:r>
          </w:p>
          <w:p>
            <w:pPr>
              <w:pStyle w:val="46"/>
              <w:ind w:firstLine="480"/>
              <w:rPr>
                <w:rFonts w:cs="Times New Roman"/>
              </w:rPr>
            </w:pPr>
            <w:r>
              <w:rPr>
                <w:rFonts w:cs="Times New Roman"/>
              </w:rPr>
              <w:t>（1）制定和实施各项环境监督管理计划；</w:t>
            </w:r>
          </w:p>
          <w:p>
            <w:pPr>
              <w:pStyle w:val="46"/>
              <w:ind w:firstLine="480"/>
              <w:rPr>
                <w:rFonts w:cs="Times New Roman"/>
              </w:rPr>
            </w:pPr>
            <w:r>
              <w:rPr>
                <w:rFonts w:cs="Times New Roman"/>
              </w:rPr>
              <w:t xml:space="preserve">（2）建立环境影响监测数据档案； </w:t>
            </w:r>
          </w:p>
          <w:p>
            <w:pPr>
              <w:pStyle w:val="46"/>
              <w:ind w:firstLine="480"/>
              <w:rPr>
                <w:rFonts w:cs="Times New Roman"/>
              </w:rPr>
            </w:pPr>
            <w:r>
              <w:rPr>
                <w:rFonts w:cs="Times New Roman"/>
              </w:rPr>
              <w:t>（3）检查各治理设施运行情况，及时处理出现的问题，保证其正常运行；</w:t>
            </w:r>
          </w:p>
          <w:p>
            <w:pPr>
              <w:pStyle w:val="46"/>
              <w:ind w:firstLine="480"/>
              <w:rPr>
                <w:rFonts w:cs="Times New Roman"/>
              </w:rPr>
            </w:pPr>
            <w:r>
              <w:rPr>
                <w:rFonts w:cs="Times New Roman"/>
              </w:rPr>
              <w:t>（4）协调配合上级环保主管部门所进行的环境调查、生态调查等工作。</w:t>
            </w:r>
          </w:p>
          <w:p>
            <w:pPr>
              <w:pStyle w:val="46"/>
              <w:ind w:firstLine="480"/>
              <w:rPr>
                <w:rFonts w:cs="Times New Roman"/>
              </w:rPr>
            </w:pPr>
            <w:r>
              <w:rPr>
                <w:rFonts w:hint="eastAsia" w:cs="Times New Roman"/>
              </w:rPr>
              <w:t>（</w:t>
            </w:r>
            <w:r>
              <w:rPr>
                <w:rFonts w:cs="Times New Roman"/>
              </w:rPr>
              <w:t>5</w:t>
            </w:r>
            <w:r>
              <w:rPr>
                <w:rFonts w:hint="eastAsia" w:cs="Times New Roman"/>
              </w:rPr>
              <w:t>）生态治理措施的后期养护、维护。</w:t>
            </w:r>
          </w:p>
          <w:p>
            <w:pPr>
              <w:pStyle w:val="46"/>
              <w:ind w:firstLine="480"/>
              <w:rPr>
                <w:rFonts w:cs="Times New Roman"/>
              </w:rPr>
            </w:pPr>
            <w:r>
              <w:rPr>
                <w:rFonts w:cs="Times New Roman"/>
              </w:rPr>
              <w:t>（</w:t>
            </w:r>
            <w:r>
              <w:rPr>
                <w:rFonts w:hint="eastAsia" w:cs="Times New Roman"/>
              </w:rPr>
              <w:t>6）生态治理工程</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1 \* GB3</w:instrText>
            </w:r>
            <w:r>
              <w:rPr>
                <w:rFonts w:cs="Times New Roman"/>
              </w:rPr>
              <w:instrText xml:space="preserve"> </w:instrText>
            </w:r>
            <w:r>
              <w:rPr>
                <w:rFonts w:cs="Times New Roman"/>
              </w:rPr>
              <w:fldChar w:fldCharType="separate"/>
            </w:r>
            <w:r>
              <w:rPr>
                <w:rFonts w:hint="eastAsia" w:cs="Times New Roman"/>
              </w:rPr>
              <w:t>①</w:t>
            </w:r>
            <w:r>
              <w:rPr>
                <w:rFonts w:cs="Times New Roman"/>
              </w:rPr>
              <w:fldChar w:fldCharType="end"/>
            </w:r>
            <w:r>
              <w:rPr>
                <w:rFonts w:cs="Times New Roman"/>
              </w:rPr>
              <w:t xml:space="preserve"> </w:t>
            </w:r>
            <w:r>
              <w:rPr>
                <w:rFonts w:hint="eastAsia" w:cs="Times New Roman"/>
              </w:rPr>
              <w:t>督促施工单位按时完成工程移交证书中所列的未完工程或工作项目，并为此办理支付签证。</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2 \* GB3</w:instrText>
            </w:r>
            <w:r>
              <w:rPr>
                <w:rFonts w:cs="Times New Roman"/>
              </w:rPr>
              <w:instrText xml:space="preserve"> </w:instrText>
            </w:r>
            <w:r>
              <w:rPr>
                <w:rFonts w:cs="Times New Roman"/>
              </w:rPr>
              <w:fldChar w:fldCharType="separate"/>
            </w:r>
            <w:r>
              <w:rPr>
                <w:rFonts w:hint="eastAsia" w:cs="Times New Roman"/>
              </w:rPr>
              <w:t>②</w:t>
            </w:r>
            <w:r>
              <w:rPr>
                <w:rFonts w:cs="Times New Roman"/>
              </w:rPr>
              <w:fldChar w:fldCharType="end"/>
            </w:r>
            <w:r>
              <w:rPr>
                <w:rFonts w:cs="Times New Roman"/>
              </w:rPr>
              <w:t xml:space="preserve"> </w:t>
            </w:r>
            <w:r>
              <w:rPr>
                <w:rFonts w:hint="eastAsia" w:cs="Times New Roman"/>
              </w:rPr>
              <w:t>要求并检查施工单位及时修复已完工程项目所发生的施工质量缺陷，直至对发生严重质量缺陷而无法修复的部位予以重建，并符合相关质量标准。</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3 \* GB3</w:instrText>
            </w:r>
            <w:r>
              <w:rPr>
                <w:rFonts w:cs="Times New Roman"/>
              </w:rPr>
              <w:instrText xml:space="preserve"> </w:instrText>
            </w:r>
            <w:r>
              <w:rPr>
                <w:rFonts w:cs="Times New Roman"/>
              </w:rPr>
              <w:fldChar w:fldCharType="separate"/>
            </w:r>
            <w:r>
              <w:rPr>
                <w:rFonts w:hint="eastAsia" w:cs="Times New Roman"/>
              </w:rPr>
              <w:t>③</w:t>
            </w:r>
            <w:r>
              <w:rPr>
                <w:rFonts w:cs="Times New Roman"/>
              </w:rPr>
              <w:fldChar w:fldCharType="end"/>
            </w:r>
            <w:r>
              <w:rPr>
                <w:rFonts w:cs="Times New Roman"/>
              </w:rPr>
              <w:t xml:space="preserve"> </w:t>
            </w:r>
            <w:r>
              <w:rPr>
                <w:rFonts w:hint="eastAsia" w:cs="Times New Roman"/>
              </w:rPr>
              <w:t>对工程运行状态的检查：主要是通过观察、检查埋设在建筑物及其地基上的各种仪器与观测标点,对建筑物的运行情况进行观测分析,掌握工程运行规律,发现工程质量问题，及时督促施工单位进行处理。对建筑物安全有重大怀疑或当发生比较严重的质量事故时，应及时上报业主，以便组织专门力量进行检查，确保工程安全和效益的正常发挥。</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4 \* GB3</w:instrText>
            </w:r>
            <w:r>
              <w:rPr>
                <w:rFonts w:cs="Times New Roman"/>
              </w:rPr>
              <w:instrText xml:space="preserve"> </w:instrText>
            </w:r>
            <w:r>
              <w:rPr>
                <w:rFonts w:cs="Times New Roman"/>
              </w:rPr>
              <w:fldChar w:fldCharType="separate"/>
            </w:r>
            <w:r>
              <w:rPr>
                <w:rFonts w:hint="eastAsia" w:cs="Times New Roman"/>
              </w:rPr>
              <w:t>④</w:t>
            </w:r>
            <w:r>
              <w:rPr>
                <w:rFonts w:cs="Times New Roman"/>
              </w:rPr>
              <w:fldChar w:fldCharType="end"/>
            </w:r>
            <w:r>
              <w:rPr>
                <w:rFonts w:cs="Times New Roman"/>
              </w:rPr>
              <w:t xml:space="preserve"> </w:t>
            </w:r>
            <w:r>
              <w:rPr>
                <w:rFonts w:hint="eastAsia" w:cs="Times New Roman"/>
              </w:rPr>
              <w:t>汛前、汛后检查：汛前、汛后协助业主组织设计、施工单位对工程进行全面检查，发现隐情及时呼促施工单位处理</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5 \* GB3</w:instrText>
            </w:r>
            <w:r>
              <w:rPr>
                <w:rFonts w:cs="Times New Roman"/>
              </w:rPr>
              <w:instrText xml:space="preserve"> </w:instrText>
            </w:r>
            <w:r>
              <w:rPr>
                <w:rFonts w:cs="Times New Roman"/>
              </w:rPr>
              <w:fldChar w:fldCharType="separate"/>
            </w:r>
            <w:r>
              <w:rPr>
                <w:rFonts w:hint="eastAsia" w:cs="Times New Roman"/>
              </w:rPr>
              <w:t>⑤</w:t>
            </w:r>
            <w:r>
              <w:rPr>
                <w:rFonts w:cs="Times New Roman"/>
              </w:rPr>
              <w:fldChar w:fldCharType="end"/>
            </w:r>
            <w:r>
              <w:rPr>
                <w:rFonts w:cs="Times New Roman"/>
              </w:rPr>
              <w:t xml:space="preserve"> </w:t>
            </w:r>
            <w:r>
              <w:rPr>
                <w:rFonts w:hint="eastAsia" w:cs="Times New Roman"/>
              </w:rPr>
              <w:t>如果因属于施工单位合同责任的原因，导致已完工程项目必须进行部分或全部工程设备的更换，或导致已完工程项目必须进行部分或全部重建，或合同文件规定的其他事项，则监理单位在与业主和施工单位协商后，作出相关工程项目保修期延长的决定，并为此颁发保修期延长证书。</w:t>
            </w:r>
          </w:p>
          <w:p>
            <w:pPr>
              <w:pStyle w:val="46"/>
              <w:ind w:firstLine="480"/>
              <w:rPr>
                <w:rFonts w:cs="Times New Roman"/>
              </w:rPr>
            </w:pPr>
            <w:r>
              <w:rPr>
                <w:rFonts w:cs="Times New Roman"/>
              </w:rPr>
              <w:fldChar w:fldCharType="begin"/>
            </w:r>
            <w:r>
              <w:rPr>
                <w:rFonts w:cs="Times New Roman"/>
              </w:rPr>
              <w:instrText xml:space="preserve"> </w:instrText>
            </w:r>
            <w:r>
              <w:rPr>
                <w:rFonts w:hint="eastAsia" w:cs="Times New Roman"/>
              </w:rPr>
              <w:instrText xml:space="preserve">= 6 \* GB3</w:instrText>
            </w:r>
            <w:r>
              <w:rPr>
                <w:rFonts w:cs="Times New Roman"/>
              </w:rPr>
              <w:instrText xml:space="preserve"> </w:instrText>
            </w:r>
            <w:r>
              <w:rPr>
                <w:rFonts w:cs="Times New Roman"/>
              </w:rPr>
              <w:fldChar w:fldCharType="separate"/>
            </w:r>
            <w:r>
              <w:rPr>
                <w:rFonts w:hint="eastAsia" w:cs="Times New Roman"/>
              </w:rPr>
              <w:t>⑥</w:t>
            </w:r>
            <w:r>
              <w:rPr>
                <w:rFonts w:cs="Times New Roman"/>
              </w:rPr>
              <w:fldChar w:fldCharType="end"/>
            </w:r>
            <w:r>
              <w:rPr>
                <w:rFonts w:cs="Times New Roman"/>
              </w:rPr>
              <w:t xml:space="preserve"> </w:t>
            </w:r>
            <w:r>
              <w:rPr>
                <w:rFonts w:hint="eastAsia" w:cs="Times New Roman"/>
              </w:rPr>
              <w:t>保修期满，并且施工单位已按合同文件规定完成其必须完成的工作，并通过检查验收，监理单位在接受施工单位保修期终止申请报告后应及时签发该工程项目的保修期终止证书。</w:t>
            </w:r>
          </w:p>
          <w:p>
            <w:pPr>
              <w:pStyle w:val="44"/>
              <w:spacing w:before="120"/>
              <w:rPr>
                <w:rFonts w:cs="Times New Roman"/>
                <w:color w:val="auto"/>
              </w:rPr>
            </w:pPr>
            <w:r>
              <w:rPr>
                <w:rFonts w:cs="Times New Roman"/>
                <w:color w:val="auto"/>
              </w:rPr>
              <w:t>4、环境监测计划</w:t>
            </w:r>
          </w:p>
          <w:p>
            <w:pPr>
              <w:pStyle w:val="46"/>
              <w:ind w:firstLine="480"/>
              <w:rPr>
                <w:rFonts w:cs="Times New Roman"/>
              </w:rPr>
            </w:pPr>
            <w:r>
              <w:rPr>
                <w:rFonts w:cs="Times New Roman"/>
              </w:rPr>
              <w:t>建设单位应及时组织竣工验收并进行验收监测。运行期可根据环保部门的要求，开展运行期的常规监测。</w:t>
            </w:r>
          </w:p>
          <w:p>
            <w:pPr>
              <w:pStyle w:val="24"/>
              <w:ind w:firstLine="482"/>
              <w:rPr>
                <w:rFonts w:cs="Times New Roman"/>
              </w:rPr>
            </w:pPr>
            <w:r>
              <w:rPr>
                <w:rFonts w:cs="Times New Roman"/>
              </w:rPr>
              <w:t>（1）噪声</w:t>
            </w:r>
          </w:p>
          <w:p>
            <w:pPr>
              <w:pStyle w:val="46"/>
              <w:ind w:firstLine="480"/>
              <w:rPr>
                <w:rFonts w:cs="Times New Roman"/>
              </w:rPr>
            </w:pPr>
            <w:r>
              <w:rPr>
                <w:rFonts w:cs="Times New Roman"/>
              </w:rPr>
              <w:t>监测点位：</w:t>
            </w:r>
            <w:r>
              <w:rPr>
                <w:rFonts w:hint="eastAsia" w:cs="Times New Roman"/>
              </w:rPr>
              <w:t>光伏场各地块场界</w:t>
            </w:r>
            <w:r>
              <w:rPr>
                <w:rFonts w:cs="Times New Roman"/>
              </w:rPr>
              <w:t>外、升压站站界外</w:t>
            </w:r>
            <w:r>
              <w:rPr>
                <w:rFonts w:hint="eastAsia" w:cs="Times New Roman"/>
              </w:rPr>
              <w:t>1m、地面1.2m高处，</w:t>
            </w:r>
            <w:r>
              <w:rPr>
                <w:rFonts w:cs="Times New Roman"/>
              </w:rPr>
              <w:t>四周各布设一个监测点，每个敏感点处布设一个监测点。</w:t>
            </w:r>
          </w:p>
          <w:p>
            <w:pPr>
              <w:pStyle w:val="46"/>
              <w:ind w:firstLine="480"/>
              <w:rPr>
                <w:rFonts w:cs="Times New Roman"/>
              </w:rPr>
            </w:pPr>
            <w:r>
              <w:rPr>
                <w:rFonts w:cs="Times New Roman"/>
              </w:rPr>
              <w:t>监测因子：等效连续A声级。</w:t>
            </w:r>
          </w:p>
          <w:p>
            <w:pPr>
              <w:pStyle w:val="46"/>
              <w:ind w:firstLine="480"/>
              <w:rPr>
                <w:rFonts w:cs="Times New Roman"/>
              </w:rPr>
            </w:pPr>
            <w:r>
              <w:rPr>
                <w:rFonts w:cs="Times New Roman"/>
              </w:rPr>
              <w:t>监测频次：连续监测1天，昼、夜各监测1次。</w:t>
            </w:r>
          </w:p>
          <w:p>
            <w:pPr>
              <w:rPr>
                <w:b/>
                <w:kern w:val="0"/>
                <w:sz w:val="24"/>
              </w:rPr>
            </w:pPr>
            <w:r>
              <w:rPr>
                <w:b/>
                <w:bCs/>
                <w:sz w:val="24"/>
              </w:rPr>
              <w:t>表</w:t>
            </w:r>
            <w:r>
              <w:rPr>
                <w:rFonts w:hint="eastAsia"/>
                <w:b/>
                <w:bCs/>
                <w:sz w:val="24"/>
              </w:rPr>
              <w:t xml:space="preserve">5.1 </w:t>
            </w:r>
            <w:r>
              <w:rPr>
                <w:b/>
                <w:bCs/>
                <w:sz w:val="24"/>
              </w:rPr>
              <w:t xml:space="preserve">              </w:t>
            </w:r>
            <w:r>
              <w:rPr>
                <w:rFonts w:hint="eastAsia"/>
                <w:b/>
                <w:bCs/>
                <w:sz w:val="24"/>
              </w:rPr>
              <w:t xml:space="preserve"> </w:t>
            </w:r>
            <w:r>
              <w:rPr>
                <w:b/>
                <w:bCs/>
                <w:sz w:val="24"/>
              </w:rPr>
              <w:t>项目实施后污染源监测</w:t>
            </w:r>
            <w:r>
              <w:rPr>
                <w:rFonts w:hint="eastAsia"/>
                <w:b/>
                <w:bCs/>
                <w:sz w:val="24"/>
              </w:rPr>
              <w:t>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413"/>
              <w:gridCol w:w="1414"/>
              <w:gridCol w:w="1131"/>
              <w:gridCol w:w="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Borders>
                    <w:top w:val="single" w:color="auto" w:sz="12" w:space="0"/>
                    <w:left w:val="single" w:color="auto" w:sz="12" w:space="0"/>
                    <w:bottom w:val="single" w:color="auto" w:sz="4" w:space="0"/>
                  </w:tcBorders>
                  <w:vAlign w:val="center"/>
                </w:tcPr>
                <w:p>
                  <w:pPr>
                    <w:pStyle w:val="46"/>
                    <w:ind w:firstLine="0" w:firstLineChars="0"/>
                    <w:jc w:val="center"/>
                    <w:rPr>
                      <w:rFonts w:cs="Times New Roman"/>
                    </w:rPr>
                  </w:pPr>
                  <w:r>
                    <w:rPr>
                      <w:rFonts w:hint="eastAsia"/>
                      <w:b/>
                      <w:bCs/>
                      <w:sz w:val="21"/>
                      <w:szCs w:val="21"/>
                      <w:lang w:val="zh-CN"/>
                    </w:rPr>
                    <w:t>类别</w:t>
                  </w:r>
                </w:p>
              </w:tc>
              <w:tc>
                <w:tcPr>
                  <w:tcW w:w="1413" w:type="dxa"/>
                  <w:tcBorders>
                    <w:top w:val="single" w:color="auto" w:sz="12" w:space="0"/>
                    <w:bottom w:val="single" w:color="auto" w:sz="4" w:space="0"/>
                  </w:tcBorders>
                  <w:vAlign w:val="center"/>
                </w:tcPr>
                <w:p>
                  <w:pPr>
                    <w:pStyle w:val="46"/>
                    <w:ind w:firstLine="0" w:firstLineChars="0"/>
                    <w:jc w:val="center"/>
                    <w:rPr>
                      <w:rFonts w:cs="Times New Roman"/>
                    </w:rPr>
                  </w:pPr>
                  <w:bookmarkStart w:id="40" w:name="_Toc144195730"/>
                  <w:bookmarkStart w:id="41" w:name="_Toc147367249"/>
                  <w:bookmarkStart w:id="42" w:name="_Toc147379755"/>
                  <w:r>
                    <w:rPr>
                      <w:b/>
                      <w:bCs/>
                      <w:sz w:val="21"/>
                      <w:szCs w:val="21"/>
                      <w:lang w:val="zh-CN"/>
                    </w:rPr>
                    <w:t>监测点位置</w:t>
                  </w:r>
                  <w:bookmarkEnd w:id="40"/>
                  <w:bookmarkEnd w:id="41"/>
                  <w:bookmarkEnd w:id="42"/>
                </w:p>
              </w:tc>
              <w:tc>
                <w:tcPr>
                  <w:tcW w:w="1414" w:type="dxa"/>
                  <w:tcBorders>
                    <w:top w:val="single" w:color="auto" w:sz="12" w:space="0"/>
                    <w:bottom w:val="single" w:color="auto" w:sz="4" w:space="0"/>
                  </w:tcBorders>
                  <w:vAlign w:val="center"/>
                </w:tcPr>
                <w:p>
                  <w:pPr>
                    <w:pStyle w:val="46"/>
                    <w:ind w:firstLine="0" w:firstLineChars="0"/>
                    <w:jc w:val="center"/>
                    <w:rPr>
                      <w:rFonts w:cs="Times New Roman"/>
                    </w:rPr>
                  </w:pPr>
                  <w:bookmarkStart w:id="43" w:name="_Toc144195731"/>
                  <w:bookmarkStart w:id="44" w:name="_Toc147367250"/>
                  <w:bookmarkStart w:id="45" w:name="_Toc147379756"/>
                  <w:r>
                    <w:rPr>
                      <w:b/>
                      <w:bCs/>
                      <w:sz w:val="21"/>
                      <w:szCs w:val="21"/>
                      <w:lang w:val="zh-CN"/>
                    </w:rPr>
                    <w:t>监测因子</w:t>
                  </w:r>
                  <w:bookmarkEnd w:id="43"/>
                  <w:bookmarkEnd w:id="44"/>
                  <w:bookmarkEnd w:id="45"/>
                </w:p>
              </w:tc>
              <w:tc>
                <w:tcPr>
                  <w:tcW w:w="1131" w:type="dxa"/>
                  <w:tcBorders>
                    <w:top w:val="single" w:color="auto" w:sz="12" w:space="0"/>
                    <w:bottom w:val="single" w:color="auto" w:sz="4" w:space="0"/>
                  </w:tcBorders>
                  <w:vAlign w:val="center"/>
                </w:tcPr>
                <w:p>
                  <w:pPr>
                    <w:pStyle w:val="46"/>
                    <w:ind w:firstLine="0" w:firstLineChars="0"/>
                    <w:jc w:val="center"/>
                    <w:rPr>
                      <w:rFonts w:cs="Times New Roman"/>
                    </w:rPr>
                  </w:pPr>
                  <w:bookmarkStart w:id="46" w:name="_Toc147367251"/>
                  <w:bookmarkStart w:id="47" w:name="_Toc144195732"/>
                  <w:bookmarkStart w:id="48" w:name="_Toc147379757"/>
                  <w:r>
                    <w:rPr>
                      <w:b/>
                      <w:bCs/>
                      <w:sz w:val="21"/>
                      <w:szCs w:val="21"/>
                      <w:lang w:val="zh-CN"/>
                    </w:rPr>
                    <w:t>监测频率</w:t>
                  </w:r>
                  <w:bookmarkEnd w:id="46"/>
                  <w:bookmarkEnd w:id="47"/>
                  <w:bookmarkEnd w:id="48"/>
                </w:p>
              </w:tc>
              <w:tc>
                <w:tcPr>
                  <w:tcW w:w="3569" w:type="dxa"/>
                  <w:tcBorders>
                    <w:top w:val="single" w:color="auto" w:sz="12" w:space="0"/>
                    <w:bottom w:val="single" w:color="auto" w:sz="4" w:space="0"/>
                    <w:right w:val="single" w:color="auto" w:sz="12" w:space="0"/>
                  </w:tcBorders>
                  <w:vAlign w:val="center"/>
                </w:tcPr>
                <w:p>
                  <w:pPr>
                    <w:pStyle w:val="46"/>
                    <w:ind w:firstLine="0" w:firstLineChars="0"/>
                    <w:jc w:val="center"/>
                    <w:rPr>
                      <w:rFonts w:cs="Times New Roman"/>
                    </w:rPr>
                  </w:pPr>
                  <w:bookmarkStart w:id="49" w:name="_Toc147367252"/>
                  <w:bookmarkStart w:id="50" w:name="_Toc144195733"/>
                  <w:bookmarkStart w:id="51" w:name="_Toc147379758"/>
                  <w:r>
                    <w:rPr>
                      <w:b/>
                      <w:bCs/>
                      <w:sz w:val="21"/>
                      <w:szCs w:val="21"/>
                      <w:lang w:val="zh-CN"/>
                    </w:rPr>
                    <w:t>排放标准</w:t>
                  </w:r>
                  <w:bookmarkEnd w:id="49"/>
                  <w:bookmarkEnd w:id="50"/>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tcBorders>
                    <w:left w:val="single" w:color="auto" w:sz="12" w:space="0"/>
                  </w:tcBorders>
                  <w:vAlign w:val="center"/>
                </w:tcPr>
                <w:p>
                  <w:pPr>
                    <w:pStyle w:val="46"/>
                    <w:ind w:firstLine="0" w:firstLineChars="0"/>
                    <w:jc w:val="center"/>
                    <w:rPr>
                      <w:rFonts w:cs="Times New Roman"/>
                    </w:rPr>
                  </w:pPr>
                  <w:r>
                    <w:rPr>
                      <w:sz w:val="21"/>
                      <w:szCs w:val="21"/>
                      <w:lang w:val="zh-CN"/>
                    </w:rPr>
                    <w:t>噪声</w:t>
                  </w:r>
                </w:p>
              </w:tc>
              <w:tc>
                <w:tcPr>
                  <w:tcW w:w="1413" w:type="dxa"/>
                  <w:vAlign w:val="center"/>
                </w:tcPr>
                <w:p>
                  <w:pPr>
                    <w:pStyle w:val="46"/>
                    <w:ind w:firstLine="0" w:firstLineChars="0"/>
                    <w:jc w:val="center"/>
                    <w:rPr>
                      <w:rFonts w:cs="Times New Roman"/>
                    </w:rPr>
                  </w:pPr>
                  <w:r>
                    <w:rPr>
                      <w:sz w:val="21"/>
                      <w:szCs w:val="21"/>
                      <w:lang w:val="zh-CN"/>
                    </w:rPr>
                    <w:t>光伏场</w:t>
                  </w:r>
                  <w:r>
                    <w:rPr>
                      <w:rFonts w:hint="eastAsia"/>
                      <w:sz w:val="21"/>
                      <w:szCs w:val="21"/>
                      <w:lang w:val="zh-CN"/>
                    </w:rPr>
                    <w:t>场界</w:t>
                  </w:r>
                </w:p>
              </w:tc>
              <w:tc>
                <w:tcPr>
                  <w:tcW w:w="1414" w:type="dxa"/>
                  <w:vAlign w:val="center"/>
                </w:tcPr>
                <w:p>
                  <w:pPr>
                    <w:pStyle w:val="46"/>
                    <w:ind w:firstLine="0" w:firstLineChars="0"/>
                    <w:jc w:val="center"/>
                    <w:rPr>
                      <w:rFonts w:cs="Times New Roman"/>
                    </w:rPr>
                  </w:pPr>
                  <w:r>
                    <w:rPr>
                      <w:sz w:val="21"/>
                      <w:szCs w:val="21"/>
                    </w:rPr>
                    <w:t>等效A声级</w:t>
                  </w:r>
                </w:p>
              </w:tc>
              <w:tc>
                <w:tcPr>
                  <w:tcW w:w="1131" w:type="dxa"/>
                  <w:vAlign w:val="center"/>
                </w:tcPr>
                <w:p>
                  <w:pPr>
                    <w:pStyle w:val="46"/>
                    <w:ind w:firstLine="0" w:firstLineChars="0"/>
                    <w:jc w:val="center"/>
                    <w:rPr>
                      <w:rFonts w:cs="Times New Roman"/>
                    </w:rPr>
                  </w:pPr>
                  <w:r>
                    <w:rPr>
                      <w:rFonts w:hint="eastAsia"/>
                      <w:sz w:val="21"/>
                      <w:szCs w:val="21"/>
                    </w:rPr>
                    <w:t>1次</w:t>
                  </w:r>
                </w:p>
              </w:tc>
              <w:tc>
                <w:tcPr>
                  <w:tcW w:w="3569" w:type="dxa"/>
                  <w:vMerge w:val="restart"/>
                  <w:tcBorders>
                    <w:right w:val="single" w:color="auto" w:sz="12" w:space="0"/>
                  </w:tcBorders>
                  <w:vAlign w:val="center"/>
                </w:tcPr>
                <w:p>
                  <w:pPr>
                    <w:pStyle w:val="46"/>
                    <w:ind w:firstLine="0" w:firstLineChars="0"/>
                    <w:jc w:val="center"/>
                    <w:rPr>
                      <w:rFonts w:cs="Times New Roman"/>
                    </w:rPr>
                  </w:pPr>
                  <w:r>
                    <w:rPr>
                      <w:sz w:val="21"/>
                      <w:szCs w:val="21"/>
                    </w:rPr>
                    <w:t>《工业企业厂界环境噪声排放标准》（GB12348-2008）中的</w:t>
                  </w:r>
                  <w:r>
                    <w:rPr>
                      <w:rFonts w:hint="eastAsia"/>
                      <w:sz w:val="21"/>
                      <w:szCs w:val="21"/>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continue"/>
                  <w:tcBorders>
                    <w:left w:val="single" w:color="auto" w:sz="12" w:space="0"/>
                    <w:bottom w:val="single" w:color="auto" w:sz="12" w:space="0"/>
                  </w:tcBorders>
                  <w:vAlign w:val="center"/>
                </w:tcPr>
                <w:p>
                  <w:pPr>
                    <w:pStyle w:val="46"/>
                    <w:ind w:firstLine="0" w:firstLineChars="0"/>
                    <w:jc w:val="center"/>
                    <w:rPr>
                      <w:sz w:val="21"/>
                      <w:szCs w:val="21"/>
                      <w:lang w:val="zh-CN"/>
                    </w:rPr>
                  </w:pPr>
                </w:p>
              </w:tc>
              <w:tc>
                <w:tcPr>
                  <w:tcW w:w="1413" w:type="dxa"/>
                  <w:tcBorders>
                    <w:bottom w:val="single" w:color="auto" w:sz="12" w:space="0"/>
                  </w:tcBorders>
                  <w:vAlign w:val="center"/>
                </w:tcPr>
                <w:p>
                  <w:pPr>
                    <w:pStyle w:val="46"/>
                    <w:ind w:firstLine="0" w:firstLineChars="0"/>
                    <w:jc w:val="center"/>
                    <w:rPr>
                      <w:sz w:val="21"/>
                      <w:szCs w:val="21"/>
                      <w:lang w:val="zh-CN"/>
                    </w:rPr>
                  </w:pPr>
                  <w:r>
                    <w:rPr>
                      <w:sz w:val="21"/>
                      <w:szCs w:val="21"/>
                      <w:lang w:val="zh-CN"/>
                    </w:rPr>
                    <w:t>升压站站界</w:t>
                  </w:r>
                </w:p>
              </w:tc>
              <w:tc>
                <w:tcPr>
                  <w:tcW w:w="1414" w:type="dxa"/>
                  <w:tcBorders>
                    <w:bottom w:val="single" w:color="auto" w:sz="12" w:space="0"/>
                  </w:tcBorders>
                  <w:vAlign w:val="center"/>
                </w:tcPr>
                <w:p>
                  <w:pPr>
                    <w:pStyle w:val="46"/>
                    <w:ind w:firstLine="0" w:firstLineChars="0"/>
                    <w:jc w:val="center"/>
                    <w:rPr>
                      <w:sz w:val="21"/>
                      <w:szCs w:val="21"/>
                    </w:rPr>
                  </w:pPr>
                  <w:r>
                    <w:rPr>
                      <w:sz w:val="21"/>
                      <w:szCs w:val="21"/>
                    </w:rPr>
                    <w:t>等效A声级</w:t>
                  </w:r>
                </w:p>
              </w:tc>
              <w:tc>
                <w:tcPr>
                  <w:tcW w:w="1131" w:type="dxa"/>
                  <w:tcBorders>
                    <w:bottom w:val="single" w:color="auto" w:sz="12" w:space="0"/>
                  </w:tcBorders>
                  <w:vAlign w:val="center"/>
                </w:tcPr>
                <w:p>
                  <w:pPr>
                    <w:pStyle w:val="46"/>
                    <w:ind w:firstLine="0" w:firstLineChars="0"/>
                    <w:jc w:val="center"/>
                    <w:rPr>
                      <w:sz w:val="21"/>
                      <w:szCs w:val="21"/>
                    </w:rPr>
                  </w:pPr>
                  <w:r>
                    <w:rPr>
                      <w:rFonts w:hint="eastAsia"/>
                      <w:sz w:val="21"/>
                      <w:szCs w:val="21"/>
                    </w:rPr>
                    <w:t>1次</w:t>
                  </w:r>
                </w:p>
              </w:tc>
              <w:tc>
                <w:tcPr>
                  <w:tcW w:w="3569" w:type="dxa"/>
                  <w:vMerge w:val="continue"/>
                  <w:tcBorders>
                    <w:bottom w:val="single" w:color="auto" w:sz="12" w:space="0"/>
                    <w:right w:val="single" w:color="auto" w:sz="12" w:space="0"/>
                  </w:tcBorders>
                  <w:vAlign w:val="center"/>
                </w:tcPr>
                <w:p>
                  <w:pPr>
                    <w:pStyle w:val="46"/>
                    <w:ind w:firstLine="0" w:firstLineChars="0"/>
                    <w:jc w:val="center"/>
                    <w:rPr>
                      <w:sz w:val="21"/>
                      <w:szCs w:val="21"/>
                    </w:rPr>
                  </w:pPr>
                </w:p>
              </w:tc>
            </w:tr>
          </w:tbl>
          <w:p>
            <w:pPr>
              <w:pStyle w:val="46"/>
              <w:ind w:firstLine="0" w:firstLineChars="0"/>
              <w:jc w:val="left"/>
              <w:rPr>
                <w:rFonts w:cs="Times New Roman"/>
              </w:rPr>
            </w:pPr>
          </w:p>
          <w:p>
            <w:pPr>
              <w:pStyle w:val="24"/>
              <w:ind w:firstLine="482"/>
              <w:rPr>
                <w:rFonts w:cs="Times New Roman"/>
              </w:rPr>
            </w:pPr>
            <w:r>
              <w:rPr>
                <w:rFonts w:hint="eastAsia" w:cs="Times New Roman"/>
              </w:rPr>
              <w:t>（2）生态</w:t>
            </w:r>
          </w:p>
          <w:p>
            <w:pPr>
              <w:pStyle w:val="22"/>
              <w:spacing w:before="0" w:beforeLines="0" w:after="120"/>
            </w:pPr>
            <w:r>
              <w:t xml:space="preserve">表5.2                    </w:t>
            </w:r>
            <w:r>
              <w:rPr>
                <w:rFonts w:hint="eastAsia"/>
              </w:rPr>
              <w:t>运营期生态调查计划</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2"/>
              <w:gridCol w:w="1969"/>
              <w:gridCol w:w="2651"/>
              <w:gridCol w:w="1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982" w:type="pct"/>
                  <w:vAlign w:val="center"/>
                </w:tcPr>
                <w:p>
                  <w:pPr>
                    <w:pStyle w:val="15"/>
                    <w:ind w:left="0" w:leftChars="0" w:firstLine="0" w:firstLineChars="0"/>
                    <w:jc w:val="center"/>
                  </w:pPr>
                  <w:r>
                    <w:rPr>
                      <w:rFonts w:ascii="宋体" w:hAnsi="宋体"/>
                    </w:rPr>
                    <w:t>监测项目</w:t>
                  </w:r>
                </w:p>
              </w:tc>
              <w:tc>
                <w:tcPr>
                  <w:tcW w:w="1199" w:type="pct"/>
                  <w:vAlign w:val="center"/>
                </w:tcPr>
                <w:p>
                  <w:pPr>
                    <w:pStyle w:val="15"/>
                    <w:ind w:left="0" w:leftChars="0" w:firstLine="0" w:firstLineChars="0"/>
                    <w:jc w:val="center"/>
                  </w:pPr>
                  <w:r>
                    <w:rPr>
                      <w:rFonts w:hint="eastAsia" w:ascii="宋体" w:hAnsi="宋体"/>
                    </w:rPr>
                    <w:t>调查</w:t>
                  </w:r>
                  <w:r>
                    <w:rPr>
                      <w:rFonts w:ascii="宋体" w:hAnsi="宋体"/>
                    </w:rPr>
                    <w:t>点位</w:t>
                  </w:r>
                </w:p>
              </w:tc>
              <w:tc>
                <w:tcPr>
                  <w:tcW w:w="1614" w:type="pct"/>
                  <w:vAlign w:val="center"/>
                </w:tcPr>
                <w:p>
                  <w:pPr>
                    <w:pStyle w:val="15"/>
                    <w:ind w:left="0" w:leftChars="0" w:firstLine="0" w:firstLineChars="0"/>
                    <w:jc w:val="center"/>
                  </w:pPr>
                  <w:r>
                    <w:rPr>
                      <w:rFonts w:ascii="宋体" w:hAnsi="宋体"/>
                    </w:rPr>
                    <w:t>监测指标</w:t>
                  </w:r>
                </w:p>
              </w:tc>
              <w:tc>
                <w:tcPr>
                  <w:tcW w:w="1205" w:type="pct"/>
                  <w:vAlign w:val="center"/>
                </w:tcPr>
                <w:p>
                  <w:pPr>
                    <w:pStyle w:val="15"/>
                    <w:ind w:left="0" w:leftChars="0" w:firstLine="0" w:firstLineChars="0"/>
                    <w:jc w:val="center"/>
                  </w:pPr>
                  <w:r>
                    <w:rPr>
                      <w:rFonts w:ascii="宋体" w:hAnsi="宋体"/>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982" w:type="pct"/>
                  <w:vAlign w:val="center"/>
                </w:tcPr>
                <w:p>
                  <w:pPr>
                    <w:widowControl/>
                    <w:jc w:val="center"/>
                  </w:pPr>
                  <w:r>
                    <w:rPr>
                      <w:rFonts w:ascii="宋体" w:hAnsi="宋体"/>
                      <w:kern w:val="0"/>
                    </w:rPr>
                    <w:t>植物群落</w:t>
                  </w:r>
                  <w:r>
                    <w:rPr>
                      <w:rFonts w:hint="eastAsia" w:ascii="宋体" w:hAnsi="宋体"/>
                      <w:kern w:val="0"/>
                    </w:rPr>
                    <w:t>调查</w:t>
                  </w:r>
                </w:p>
              </w:tc>
              <w:tc>
                <w:tcPr>
                  <w:tcW w:w="1199" w:type="pct"/>
                  <w:vMerge w:val="restart"/>
                  <w:vAlign w:val="center"/>
                </w:tcPr>
                <w:p>
                  <w:pPr>
                    <w:pStyle w:val="15"/>
                    <w:ind w:left="0" w:leftChars="0" w:firstLine="0" w:firstLineChars="0"/>
                    <w:jc w:val="center"/>
                  </w:pPr>
                  <w:r>
                    <w:rPr>
                      <w:rFonts w:hint="eastAsia" w:ascii="宋体" w:hAnsi="宋体"/>
                    </w:rPr>
                    <w:t>在场区范围内设置东西中</w:t>
                  </w:r>
                  <w:r>
                    <w:rPr>
                      <w:rFonts w:hint="eastAsia"/>
                    </w:rPr>
                    <w:t>3</w:t>
                  </w:r>
                  <w:r>
                    <w:rPr>
                      <w:rFonts w:hint="eastAsia" w:ascii="宋体" w:hAnsi="宋体"/>
                    </w:rPr>
                    <w:t>个监测点</w:t>
                  </w:r>
                </w:p>
              </w:tc>
              <w:tc>
                <w:tcPr>
                  <w:tcW w:w="1614" w:type="pct"/>
                  <w:vAlign w:val="center"/>
                </w:tcPr>
                <w:p>
                  <w:pPr>
                    <w:pStyle w:val="15"/>
                    <w:autoSpaceDE w:val="0"/>
                    <w:spacing w:after="0"/>
                    <w:ind w:left="0" w:leftChars="0" w:firstLine="0" w:firstLineChars="0"/>
                    <w:jc w:val="center"/>
                  </w:pPr>
                  <w:r>
                    <w:rPr>
                      <w:rFonts w:ascii="宋体" w:hAnsi="宋体"/>
                    </w:rPr>
                    <w:t>区系组成、数量、盖度、高度、多度、生物量等</w:t>
                  </w:r>
                </w:p>
              </w:tc>
              <w:tc>
                <w:tcPr>
                  <w:tcW w:w="1205" w:type="pct"/>
                  <w:vAlign w:val="center"/>
                </w:tcPr>
                <w:p>
                  <w:pPr>
                    <w:widowControl/>
                    <w:jc w:val="center"/>
                  </w:pPr>
                  <w:r>
                    <w:rPr>
                      <w:kern w:val="0"/>
                    </w:rPr>
                    <w:t>1</w:t>
                  </w:r>
                  <w:r>
                    <w:rPr>
                      <w:rFonts w:ascii="宋体" w:hAnsi="宋体"/>
                      <w:kern w:val="0"/>
                    </w:rPr>
                    <w:t>次</w:t>
                  </w:r>
                  <w:r>
                    <w:rPr>
                      <w:kern w:val="0"/>
                    </w:rPr>
                    <w:t>/</w:t>
                  </w:r>
                  <w:r>
                    <w:rPr>
                      <w:rFonts w:ascii="宋体" w:hAnsi="宋体"/>
                      <w:kern w:val="0"/>
                    </w:rPr>
                    <w:t>年，主要在每年的生长季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2" w:type="pct"/>
                  <w:vAlign w:val="center"/>
                </w:tcPr>
                <w:p>
                  <w:pPr>
                    <w:widowControl/>
                    <w:jc w:val="center"/>
                  </w:pPr>
                  <w:r>
                    <w:rPr>
                      <w:rFonts w:ascii="宋体" w:hAnsi="宋体"/>
                      <w:kern w:val="0"/>
                    </w:rPr>
                    <w:t>生态恢复措施</w:t>
                  </w:r>
                  <w:r>
                    <w:rPr>
                      <w:rFonts w:hint="eastAsia" w:ascii="宋体" w:hAnsi="宋体"/>
                      <w:kern w:val="0"/>
                    </w:rPr>
                    <w:t>调查</w:t>
                  </w:r>
                </w:p>
              </w:tc>
              <w:tc>
                <w:tcPr>
                  <w:tcW w:w="1199" w:type="pct"/>
                  <w:vMerge w:val="continue"/>
                  <w:vAlign w:val="center"/>
                </w:tcPr>
                <w:p>
                  <w:pPr>
                    <w:widowControl/>
                    <w:jc w:val="left"/>
                    <w:rPr>
                      <w:szCs w:val="21"/>
                    </w:rPr>
                  </w:pPr>
                </w:p>
              </w:tc>
              <w:tc>
                <w:tcPr>
                  <w:tcW w:w="1614" w:type="pct"/>
                  <w:vAlign w:val="center"/>
                </w:tcPr>
                <w:p>
                  <w:pPr>
                    <w:widowControl/>
                    <w:jc w:val="center"/>
                  </w:pPr>
                  <w:r>
                    <w:rPr>
                      <w:rFonts w:ascii="宋体" w:hAnsi="宋体"/>
                      <w:kern w:val="0"/>
                    </w:rPr>
                    <w:t>植被恢复效果</w:t>
                  </w:r>
                </w:p>
              </w:tc>
              <w:tc>
                <w:tcPr>
                  <w:tcW w:w="1205" w:type="pct"/>
                  <w:vAlign w:val="center"/>
                </w:tcPr>
                <w:p>
                  <w:pPr>
                    <w:widowControl/>
                    <w:jc w:val="center"/>
                  </w:pPr>
                  <w:r>
                    <w:rPr>
                      <w:kern w:val="0"/>
                    </w:rPr>
                    <w:t>1</w:t>
                  </w:r>
                  <w:r>
                    <w:rPr>
                      <w:rFonts w:ascii="宋体" w:hAnsi="宋体"/>
                      <w:kern w:val="0"/>
                    </w:rPr>
                    <w:t>次</w:t>
                  </w:r>
                  <w:r>
                    <w:rPr>
                      <w:kern w:val="0"/>
                    </w:rPr>
                    <w:t>/</w:t>
                  </w:r>
                  <w:r>
                    <w:rPr>
                      <w:rFonts w:ascii="宋体" w:hAnsi="宋体"/>
                      <w:kern w:val="0"/>
                    </w:rPr>
                    <w:t>年，主</w:t>
                  </w:r>
                </w:p>
                <w:p>
                  <w:pPr>
                    <w:widowControl/>
                    <w:jc w:val="center"/>
                  </w:pPr>
                  <w:r>
                    <w:rPr>
                      <w:rFonts w:ascii="宋体" w:hAnsi="宋体"/>
                      <w:kern w:val="0"/>
                    </w:rPr>
                    <w:t>要在每年的生长季</w:t>
                  </w:r>
                </w:p>
              </w:tc>
            </w:tr>
          </w:tbl>
          <w:p>
            <w:pPr>
              <w:pStyle w:val="24"/>
              <w:ind w:firstLine="482"/>
              <w:rPr>
                <w:rFonts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08" w:type="dxa"/>
            <w:bottom w:w="113" w:type="dxa"/>
            <w:right w:w="108" w:type="dxa"/>
          </w:tblCellMar>
        </w:tblPrEx>
        <w:trPr>
          <w:trHeight w:val="870" w:hRule="atLeast"/>
          <w:jc w:val="center"/>
        </w:trPr>
        <w:tc>
          <w:tcPr>
            <w:tcW w:w="753" w:type="dxa"/>
            <w:vAlign w:val="center"/>
          </w:tcPr>
          <w:p>
            <w:pPr>
              <w:adjustRightInd w:val="0"/>
              <w:snapToGrid w:val="0"/>
              <w:jc w:val="center"/>
              <w:rPr>
                <w:bCs/>
                <w:spacing w:val="10"/>
                <w:szCs w:val="21"/>
              </w:rPr>
            </w:pPr>
            <w:r>
              <w:rPr>
                <w:bCs/>
                <w:sz w:val="24"/>
                <w:szCs w:val="21"/>
              </w:rPr>
              <w:t>环保投资</w:t>
            </w:r>
          </w:p>
        </w:tc>
        <w:tc>
          <w:tcPr>
            <w:tcW w:w="8457" w:type="dxa"/>
          </w:tcPr>
          <w:p>
            <w:pPr>
              <w:spacing w:line="360" w:lineRule="auto"/>
              <w:rPr>
                <w:sz w:val="24"/>
              </w:rPr>
            </w:pPr>
          </w:p>
          <w:p>
            <w:pPr>
              <w:spacing w:line="360" w:lineRule="auto"/>
              <w:ind w:firstLine="480" w:firstLineChars="200"/>
              <w:rPr>
                <w:sz w:val="24"/>
              </w:rPr>
            </w:pPr>
            <w:r>
              <w:rPr>
                <w:sz w:val="24"/>
              </w:rPr>
              <w:t>本工程总投资100459.21万元，环境保护投资4355万元，占工程全部投资的4.3%。</w:t>
            </w:r>
          </w:p>
          <w:p>
            <w:pPr>
              <w:pStyle w:val="22"/>
              <w:spacing w:before="0" w:beforeLines="0" w:after="120"/>
            </w:pPr>
          </w:p>
          <w:p>
            <w:pPr>
              <w:pStyle w:val="22"/>
              <w:spacing w:before="0" w:beforeLines="0" w:after="120"/>
            </w:pPr>
          </w:p>
          <w:p>
            <w:pPr>
              <w:pStyle w:val="22"/>
              <w:spacing w:before="0" w:beforeLines="0" w:after="120"/>
            </w:pPr>
            <w:r>
              <w:t>表5.2                    环保措施投资一览表</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44"/>
              <w:gridCol w:w="567"/>
              <w:gridCol w:w="1133"/>
              <w:gridCol w:w="4918"/>
              <w:gridCol w:w="10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75" w:hRule="atLeast"/>
              </w:trPr>
              <w:tc>
                <w:tcPr>
                  <w:tcW w:w="331" w:type="pct"/>
                  <w:tcBorders>
                    <w:top w:val="single" w:color="auto" w:sz="12" w:space="0"/>
                    <w:left w:val="single" w:color="auto" w:sz="12" w:space="0"/>
                    <w:bottom w:val="single" w:color="auto" w:sz="6" w:space="0"/>
                    <w:right w:val="single" w:color="auto" w:sz="6" w:space="0"/>
                  </w:tcBorders>
                  <w:vAlign w:val="center"/>
                </w:tcPr>
                <w:p>
                  <w:pPr>
                    <w:jc w:val="center"/>
                    <w:rPr>
                      <w:b/>
                      <w:bCs/>
                    </w:rPr>
                  </w:pPr>
                  <w:bookmarkStart w:id="52" w:name="_Hlk308424860"/>
                  <w:r>
                    <w:rPr>
                      <w:rFonts w:hint="eastAsia"/>
                      <w:b/>
                      <w:bCs/>
                    </w:rPr>
                    <w:t>序号</w:t>
                  </w:r>
                  <w:bookmarkEnd w:id="52"/>
                </w:p>
              </w:tc>
              <w:tc>
                <w:tcPr>
                  <w:tcW w:w="345" w:type="pct"/>
                  <w:tcBorders>
                    <w:top w:val="single" w:color="auto" w:sz="12" w:space="0"/>
                    <w:left w:val="single" w:color="auto" w:sz="6" w:space="0"/>
                    <w:bottom w:val="single" w:color="auto" w:sz="6" w:space="0"/>
                    <w:right w:val="single" w:color="auto" w:sz="6" w:space="0"/>
                  </w:tcBorders>
                  <w:vAlign w:val="center"/>
                </w:tcPr>
                <w:p>
                  <w:pPr>
                    <w:jc w:val="center"/>
                    <w:rPr>
                      <w:b/>
                      <w:bCs/>
                    </w:rPr>
                  </w:pPr>
                  <w:r>
                    <w:rPr>
                      <w:rFonts w:hint="eastAsia"/>
                      <w:b/>
                      <w:bCs/>
                    </w:rPr>
                    <w:t>类别</w:t>
                  </w:r>
                </w:p>
              </w:tc>
              <w:tc>
                <w:tcPr>
                  <w:tcW w:w="3685" w:type="pct"/>
                  <w:gridSpan w:val="2"/>
                  <w:tcBorders>
                    <w:top w:val="single" w:color="auto" w:sz="12" w:space="0"/>
                    <w:left w:val="single" w:color="auto" w:sz="6" w:space="0"/>
                    <w:bottom w:val="single" w:color="auto" w:sz="6" w:space="0"/>
                    <w:right w:val="single" w:color="auto" w:sz="6" w:space="0"/>
                  </w:tcBorders>
                  <w:vAlign w:val="center"/>
                </w:tcPr>
                <w:p>
                  <w:pPr>
                    <w:jc w:val="center"/>
                    <w:rPr>
                      <w:b/>
                      <w:bCs/>
                    </w:rPr>
                  </w:pPr>
                  <w:r>
                    <w:rPr>
                      <w:rFonts w:hint="eastAsia"/>
                      <w:b/>
                      <w:bCs/>
                    </w:rPr>
                    <w:t>项</w:t>
                  </w:r>
                  <w:r>
                    <w:rPr>
                      <w:b/>
                      <w:bCs/>
                    </w:rPr>
                    <w:t xml:space="preserve">  </w:t>
                  </w:r>
                  <w:r>
                    <w:rPr>
                      <w:rFonts w:hint="eastAsia"/>
                      <w:b/>
                      <w:bCs/>
                    </w:rPr>
                    <w:t>目</w:t>
                  </w:r>
                </w:p>
              </w:tc>
              <w:tc>
                <w:tcPr>
                  <w:tcW w:w="639" w:type="pct"/>
                  <w:tcBorders>
                    <w:top w:val="single" w:color="auto" w:sz="12" w:space="0"/>
                    <w:left w:val="single" w:color="auto" w:sz="6" w:space="0"/>
                    <w:bottom w:val="single" w:color="auto" w:sz="6" w:space="0"/>
                    <w:right w:val="single" w:color="auto" w:sz="12" w:space="0"/>
                  </w:tcBorders>
                  <w:vAlign w:val="center"/>
                </w:tcPr>
                <w:p>
                  <w:pPr>
                    <w:jc w:val="center"/>
                    <w:rPr>
                      <w:b/>
                      <w:bCs/>
                    </w:rPr>
                  </w:pPr>
                  <w:r>
                    <w:rPr>
                      <w:rFonts w:hint="eastAsia"/>
                      <w:b/>
                      <w:bCs/>
                    </w:rPr>
                    <w:t>投资额</w:t>
                  </w:r>
                </w:p>
                <w:p>
                  <w:pPr>
                    <w:jc w:val="center"/>
                    <w:rPr>
                      <w:b/>
                      <w:bCs/>
                    </w:rPr>
                  </w:pPr>
                  <w:r>
                    <w:rPr>
                      <w:rFonts w:hint="eastAsia"/>
                      <w:b/>
                      <w:bCs/>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tcBorders>
                    <w:top w:val="single" w:color="auto" w:sz="6" w:space="0"/>
                    <w:left w:val="single" w:color="auto" w:sz="12" w:space="0"/>
                    <w:bottom w:val="single" w:color="auto" w:sz="6" w:space="0"/>
                    <w:right w:val="single" w:color="auto" w:sz="6" w:space="0"/>
                  </w:tcBorders>
                  <w:vAlign w:val="center"/>
                </w:tcPr>
                <w:p>
                  <w:pPr>
                    <w:jc w:val="center"/>
                  </w:pPr>
                  <w:r>
                    <w:t>1</w:t>
                  </w:r>
                </w:p>
              </w:tc>
              <w:tc>
                <w:tcPr>
                  <w:tcW w:w="34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废水防治</w:t>
                  </w:r>
                </w:p>
              </w:tc>
              <w:tc>
                <w:tcPr>
                  <w:tcW w:w="690"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施工处理设施，要求防渗，渗透系数小于</w:t>
                  </w:r>
                  <w:r>
                    <w:t>10</w:t>
                  </w:r>
                  <w:r>
                    <w:rPr>
                      <w:vertAlign w:val="superscript"/>
                    </w:rPr>
                    <w:t>-7</w:t>
                  </w:r>
                  <w:r>
                    <w:t>cm/s</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restart"/>
                  <w:tcBorders>
                    <w:top w:val="single" w:color="auto" w:sz="6" w:space="0"/>
                    <w:left w:val="single" w:color="auto" w:sz="12" w:space="0"/>
                    <w:bottom w:val="single" w:color="auto" w:sz="6" w:space="0"/>
                    <w:right w:val="single" w:color="auto" w:sz="6" w:space="0"/>
                  </w:tcBorders>
                  <w:vAlign w:val="center"/>
                </w:tcPr>
                <w:p>
                  <w:pPr>
                    <w:jc w:val="center"/>
                  </w:pPr>
                  <w:r>
                    <w:t>2</w:t>
                  </w:r>
                </w:p>
              </w:tc>
              <w:tc>
                <w:tcPr>
                  <w:tcW w:w="345" w:type="pct"/>
                  <w:vMerge w:val="restar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废气防治</w:t>
                  </w:r>
                </w:p>
              </w:tc>
              <w:tc>
                <w:tcPr>
                  <w:tcW w:w="690" w:type="pct"/>
                  <w:vMerge w:val="restar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物料遮挡苫布</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continue"/>
                  <w:tcBorders>
                    <w:top w:val="single" w:color="auto" w:sz="6" w:space="0"/>
                    <w:left w:val="single" w:color="auto" w:sz="12" w:space="0"/>
                    <w:bottom w:val="single" w:color="auto" w:sz="6" w:space="0"/>
                    <w:right w:val="single" w:color="auto" w:sz="6" w:space="0"/>
                  </w:tcBorders>
                  <w:vAlign w:val="center"/>
                </w:tcPr>
                <w:p>
                  <w:pPr>
                    <w:jc w:val="center"/>
                  </w:pPr>
                </w:p>
              </w:tc>
              <w:tc>
                <w:tcPr>
                  <w:tcW w:w="345" w:type="pct"/>
                  <w:vMerge w:val="continue"/>
                  <w:tcBorders>
                    <w:top w:val="single" w:color="auto" w:sz="6" w:space="0"/>
                    <w:left w:val="single" w:color="auto" w:sz="6" w:space="0"/>
                    <w:bottom w:val="single" w:color="auto" w:sz="6" w:space="0"/>
                    <w:right w:val="single" w:color="auto" w:sz="6" w:space="0"/>
                  </w:tcBorders>
                  <w:vAlign w:val="center"/>
                </w:tcPr>
                <w:p>
                  <w:pPr>
                    <w:jc w:val="center"/>
                  </w:pPr>
                </w:p>
              </w:tc>
              <w:tc>
                <w:tcPr>
                  <w:tcW w:w="690" w:type="pct"/>
                  <w:vMerge w:val="continue"/>
                  <w:tcBorders>
                    <w:top w:val="single" w:color="auto" w:sz="6" w:space="0"/>
                    <w:left w:val="single" w:color="auto" w:sz="6" w:space="0"/>
                    <w:bottom w:val="single" w:color="auto" w:sz="6" w:space="0"/>
                    <w:right w:val="single" w:color="auto" w:sz="6" w:space="0"/>
                  </w:tcBorders>
                  <w:vAlign w:val="center"/>
                </w:tcPr>
                <w:p>
                  <w:pPr>
                    <w:jc w:val="center"/>
                  </w:pP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洒水车</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restart"/>
                  <w:tcBorders>
                    <w:top w:val="single" w:color="auto" w:sz="6" w:space="0"/>
                    <w:left w:val="single" w:color="auto" w:sz="12" w:space="0"/>
                    <w:right w:val="single" w:color="auto" w:sz="6" w:space="0"/>
                  </w:tcBorders>
                  <w:vAlign w:val="center"/>
                </w:tcPr>
                <w:p>
                  <w:pPr>
                    <w:jc w:val="center"/>
                  </w:pPr>
                  <w:r>
                    <w:t>3</w:t>
                  </w:r>
                </w:p>
              </w:tc>
              <w:tc>
                <w:tcPr>
                  <w:tcW w:w="345" w:type="pct"/>
                  <w:vMerge w:val="restart"/>
                  <w:tcBorders>
                    <w:top w:val="single" w:color="auto" w:sz="6" w:space="0"/>
                    <w:left w:val="single" w:color="auto" w:sz="6" w:space="0"/>
                    <w:right w:val="single" w:color="auto" w:sz="6" w:space="0"/>
                  </w:tcBorders>
                  <w:vAlign w:val="center"/>
                </w:tcPr>
                <w:p>
                  <w:pPr>
                    <w:jc w:val="center"/>
                  </w:pPr>
                  <w:r>
                    <w:rPr>
                      <w:rFonts w:hint="eastAsia"/>
                    </w:rPr>
                    <w:t>固体废物防治</w:t>
                  </w:r>
                </w:p>
              </w:tc>
              <w:tc>
                <w:tcPr>
                  <w:tcW w:w="690"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生产垃圾、生活垃圾清运</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atLeast"/>
              </w:trPr>
              <w:tc>
                <w:tcPr>
                  <w:tcW w:w="331" w:type="pct"/>
                  <w:vMerge w:val="continue"/>
                  <w:tcBorders>
                    <w:left w:val="single" w:color="auto" w:sz="12" w:space="0"/>
                    <w:right w:val="single" w:color="auto" w:sz="6" w:space="0"/>
                  </w:tcBorders>
                  <w:vAlign w:val="center"/>
                </w:tcPr>
                <w:p>
                  <w:pPr>
                    <w:jc w:val="center"/>
                  </w:pPr>
                </w:p>
              </w:tc>
              <w:tc>
                <w:tcPr>
                  <w:tcW w:w="345" w:type="pct"/>
                  <w:vMerge w:val="continue"/>
                  <w:tcBorders>
                    <w:left w:val="single" w:color="auto" w:sz="6" w:space="0"/>
                    <w:right w:val="single" w:color="auto" w:sz="6" w:space="0"/>
                  </w:tcBorders>
                  <w:vAlign w:val="center"/>
                </w:tcPr>
                <w:p>
                  <w:pPr>
                    <w:jc w:val="center"/>
                  </w:pPr>
                </w:p>
              </w:tc>
              <w:tc>
                <w:tcPr>
                  <w:tcW w:w="690" w:type="pct"/>
                  <w:vMerge w:val="restart"/>
                  <w:tcBorders>
                    <w:top w:val="single" w:color="auto" w:sz="6" w:space="0"/>
                    <w:left w:val="single" w:color="auto" w:sz="6" w:space="0"/>
                    <w:right w:val="single" w:color="auto" w:sz="6" w:space="0"/>
                  </w:tcBorders>
                  <w:vAlign w:val="center"/>
                </w:tcPr>
                <w:p>
                  <w:pPr>
                    <w:jc w:val="center"/>
                  </w:pPr>
                  <w:r>
                    <w:rPr>
                      <w:rFonts w:hint="eastAsia"/>
                    </w:rPr>
                    <w:t>运营期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主变事故油池、箱变事故油池、一体化污水处理设施</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continue"/>
                  <w:tcBorders>
                    <w:left w:val="single" w:color="auto" w:sz="12" w:space="0"/>
                    <w:bottom w:val="single" w:color="auto" w:sz="6" w:space="0"/>
                    <w:right w:val="single" w:color="auto" w:sz="6" w:space="0"/>
                  </w:tcBorders>
                  <w:vAlign w:val="center"/>
                </w:tcPr>
                <w:p>
                  <w:pPr>
                    <w:jc w:val="center"/>
                  </w:pPr>
                </w:p>
              </w:tc>
              <w:tc>
                <w:tcPr>
                  <w:tcW w:w="345" w:type="pct"/>
                  <w:vMerge w:val="continue"/>
                  <w:tcBorders>
                    <w:left w:val="single" w:color="auto" w:sz="6" w:space="0"/>
                    <w:bottom w:val="single" w:color="auto" w:sz="6" w:space="0"/>
                    <w:right w:val="single" w:color="auto" w:sz="6" w:space="0"/>
                  </w:tcBorders>
                  <w:vAlign w:val="center"/>
                </w:tcPr>
                <w:p>
                  <w:pPr>
                    <w:jc w:val="center"/>
                  </w:pPr>
                </w:p>
              </w:tc>
              <w:tc>
                <w:tcPr>
                  <w:tcW w:w="690" w:type="pct"/>
                  <w:vMerge w:val="continue"/>
                  <w:tcBorders>
                    <w:left w:val="single" w:color="auto" w:sz="6" w:space="0"/>
                    <w:bottom w:val="single" w:color="auto" w:sz="6" w:space="0"/>
                    <w:right w:val="single" w:color="auto" w:sz="6" w:space="0"/>
                  </w:tcBorders>
                  <w:vAlign w:val="center"/>
                </w:tcPr>
                <w:p>
                  <w:pPr>
                    <w:jc w:val="center"/>
                  </w:pP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在升压站内设置危废间，渗透系数均≦10</w:t>
                  </w:r>
                  <w:r>
                    <w:rPr>
                      <w:rFonts w:hint="eastAsia"/>
                      <w:vertAlign w:val="superscript"/>
                    </w:rPr>
                    <w:t>-10</w:t>
                  </w:r>
                  <w:r>
                    <w:rPr>
                      <w:rFonts w:hint="eastAsia"/>
                    </w:rPr>
                    <w:t>cm/s</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rPr>
                      <w:rFonts w:hint="eastAsia"/>
                    </w:rPr>
                    <w:t>1</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restart"/>
                  <w:tcBorders>
                    <w:top w:val="single" w:color="auto" w:sz="6" w:space="0"/>
                    <w:left w:val="single" w:color="auto" w:sz="12" w:space="0"/>
                    <w:right w:val="single" w:color="auto" w:sz="6" w:space="0"/>
                  </w:tcBorders>
                  <w:vAlign w:val="center"/>
                </w:tcPr>
                <w:p>
                  <w:pPr>
                    <w:jc w:val="center"/>
                  </w:pPr>
                  <w:r>
                    <w:t>4</w:t>
                  </w:r>
                </w:p>
              </w:tc>
              <w:tc>
                <w:tcPr>
                  <w:tcW w:w="345" w:type="pct"/>
                  <w:vMerge w:val="restart"/>
                  <w:tcBorders>
                    <w:top w:val="single" w:color="auto" w:sz="6" w:space="0"/>
                    <w:left w:val="single" w:color="auto" w:sz="6" w:space="0"/>
                    <w:right w:val="single" w:color="auto" w:sz="6" w:space="0"/>
                  </w:tcBorders>
                  <w:vAlign w:val="center"/>
                </w:tcPr>
                <w:p>
                  <w:pPr>
                    <w:jc w:val="center"/>
                  </w:pPr>
                  <w:r>
                    <w:rPr>
                      <w:rFonts w:hint="eastAsia"/>
                    </w:rPr>
                    <w:t>噪声防治</w:t>
                  </w:r>
                </w:p>
              </w:tc>
              <w:tc>
                <w:tcPr>
                  <w:tcW w:w="690"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生产设备及运输设备噪声治理、防护等</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vMerge w:val="continue"/>
                  <w:tcBorders>
                    <w:left w:val="single" w:color="auto" w:sz="12" w:space="0"/>
                    <w:bottom w:val="single" w:color="auto" w:sz="6" w:space="0"/>
                    <w:right w:val="single" w:color="auto" w:sz="6" w:space="0"/>
                  </w:tcBorders>
                  <w:vAlign w:val="center"/>
                </w:tcPr>
                <w:p>
                  <w:pPr>
                    <w:jc w:val="center"/>
                  </w:pPr>
                </w:p>
              </w:tc>
              <w:tc>
                <w:tcPr>
                  <w:tcW w:w="345" w:type="pct"/>
                  <w:vMerge w:val="continue"/>
                  <w:tcBorders>
                    <w:left w:val="single" w:color="auto" w:sz="6" w:space="0"/>
                    <w:bottom w:val="single" w:color="auto" w:sz="6" w:space="0"/>
                    <w:right w:val="single" w:color="auto" w:sz="6" w:space="0"/>
                  </w:tcBorders>
                  <w:vAlign w:val="center"/>
                </w:tcPr>
                <w:p>
                  <w:pPr>
                    <w:jc w:val="center"/>
                  </w:pPr>
                </w:p>
              </w:tc>
              <w:tc>
                <w:tcPr>
                  <w:tcW w:w="690"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运营期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ascii="宋体" w:hAnsi="宋体"/>
                    </w:rPr>
                    <w:t>选用低噪设备，基础减振等措施</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331" w:type="pct"/>
                  <w:tcBorders>
                    <w:top w:val="single" w:color="auto" w:sz="6" w:space="0"/>
                    <w:left w:val="single" w:color="auto" w:sz="12" w:space="0"/>
                    <w:bottom w:val="single" w:color="auto" w:sz="6" w:space="0"/>
                    <w:right w:val="single" w:color="auto" w:sz="6" w:space="0"/>
                  </w:tcBorders>
                  <w:vAlign w:val="center"/>
                </w:tcPr>
                <w:p>
                  <w:pPr>
                    <w:jc w:val="center"/>
                  </w:pPr>
                  <w:r>
                    <w:t>5</w:t>
                  </w:r>
                </w:p>
              </w:tc>
              <w:tc>
                <w:tcPr>
                  <w:tcW w:w="34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生态保护</w:t>
                  </w:r>
                </w:p>
              </w:tc>
              <w:tc>
                <w:tcPr>
                  <w:tcW w:w="690"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施工期</w:t>
                  </w:r>
                </w:p>
              </w:tc>
              <w:tc>
                <w:tcPr>
                  <w:tcW w:w="2995"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包括植被恢复、生态治理，植被的种植、养护等</w:t>
                  </w:r>
                </w:p>
              </w:tc>
              <w:tc>
                <w:tcPr>
                  <w:tcW w:w="639" w:type="pct"/>
                  <w:tcBorders>
                    <w:top w:val="single" w:color="auto" w:sz="6" w:space="0"/>
                    <w:left w:val="single" w:color="auto" w:sz="6" w:space="0"/>
                    <w:bottom w:val="single" w:color="auto" w:sz="6" w:space="0"/>
                    <w:right w:val="single" w:color="auto" w:sz="12" w:space="0"/>
                  </w:tcBorders>
                  <w:vAlign w:val="center"/>
                </w:tcPr>
                <w:p>
                  <w:pPr>
                    <w:jc w:val="center"/>
                  </w:pPr>
                  <w:r>
                    <w:t>4200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0" w:hRule="atLeast"/>
              </w:trPr>
              <w:tc>
                <w:tcPr>
                  <w:tcW w:w="4361" w:type="pct"/>
                  <w:gridSpan w:val="4"/>
                  <w:tcBorders>
                    <w:top w:val="single" w:color="auto" w:sz="6" w:space="0"/>
                    <w:left w:val="single" w:color="auto" w:sz="12" w:space="0"/>
                    <w:bottom w:val="single" w:color="auto" w:sz="12" w:space="0"/>
                    <w:right w:val="single" w:color="auto" w:sz="6" w:space="0"/>
                  </w:tcBorders>
                  <w:vAlign w:val="center"/>
                </w:tcPr>
                <w:p>
                  <w:pPr>
                    <w:jc w:val="center"/>
                  </w:pPr>
                  <w:r>
                    <w:rPr>
                      <w:rFonts w:hint="eastAsia"/>
                    </w:rPr>
                    <w:t>合计</w:t>
                  </w:r>
                </w:p>
              </w:tc>
              <w:tc>
                <w:tcPr>
                  <w:tcW w:w="639" w:type="pct"/>
                  <w:tcBorders>
                    <w:top w:val="single" w:color="auto" w:sz="6" w:space="0"/>
                    <w:left w:val="single" w:color="auto" w:sz="6" w:space="0"/>
                    <w:bottom w:val="single" w:color="auto" w:sz="12" w:space="0"/>
                    <w:right w:val="single" w:color="auto" w:sz="12" w:space="0"/>
                  </w:tcBorders>
                  <w:vAlign w:val="center"/>
                </w:tcPr>
                <w:p>
                  <w:pPr>
                    <w:jc w:val="center"/>
                  </w:pPr>
                  <w:r>
                    <w:t>4355</w:t>
                  </w:r>
                </w:p>
              </w:tc>
            </w:tr>
          </w:tbl>
          <w:p>
            <w:pPr>
              <w:pStyle w:val="22"/>
              <w:spacing w:before="0" w:beforeLines="0" w:after="120"/>
            </w:pPr>
            <w:r>
              <w:t xml:space="preserve"> </w:t>
            </w: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p>
            <w:pPr>
              <w:pStyle w:val="22"/>
              <w:spacing w:before="0" w:beforeLines="0" w:after="120"/>
            </w:pPr>
          </w:p>
        </w:tc>
      </w:tr>
    </w:tbl>
    <w:p>
      <w:pPr>
        <w:sectPr>
          <w:pgSz w:w="11907" w:h="16840"/>
          <w:pgMar w:top="1440" w:right="1797" w:bottom="1440" w:left="1797" w:header="851" w:footer="1077" w:gutter="0"/>
          <w:cols w:space="720" w:num="1"/>
          <w:docGrid w:linePitch="312" w:charSpace="0"/>
        </w:sectPr>
      </w:pPr>
    </w:p>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sz w:val="30"/>
          <w:szCs w:val="30"/>
        </w:rPr>
        <w:t>六、生态环境保护措施监督检查清单</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108" w:type="dxa"/>
          <w:bottom w:w="28" w:type="dxa"/>
          <w:right w:w="108" w:type="dxa"/>
        </w:tblCellMar>
      </w:tblPr>
      <w:tblGrid>
        <w:gridCol w:w="1004"/>
        <w:gridCol w:w="3600"/>
        <w:gridCol w:w="2449"/>
        <w:gridCol w:w="3881"/>
        <w:gridCol w:w="32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vMerge w:val="restart"/>
            <w:tcBorders>
              <w:top w:val="single" w:color="auto" w:sz="4" w:space="0"/>
              <w:left w:val="single" w:color="auto" w:sz="4" w:space="0"/>
              <w:bottom w:val="single" w:color="auto" w:sz="4" w:space="0"/>
              <w:tl2br w:val="single" w:color="auto" w:sz="4" w:space="0"/>
            </w:tcBorders>
          </w:tcPr>
          <w:p>
            <w:pPr>
              <w:pStyle w:val="13"/>
              <w:adjustRightInd w:val="0"/>
              <w:snapToGrid w:val="0"/>
              <w:spacing w:before="0" w:beforeAutospacing="0" w:after="0" w:afterAutospacing="0"/>
              <w:ind w:firstLine="211" w:firstLineChars="100"/>
              <w:outlineLvl w:val="0"/>
              <w:rPr>
                <w:rFonts w:ascii="Times New Roman" w:hAnsi="Times New Roman"/>
                <w:b/>
                <w:kern w:val="2"/>
                <w:sz w:val="21"/>
                <w:szCs w:val="21"/>
              </w:rPr>
            </w:pPr>
            <w:r>
              <w:rPr>
                <w:rFonts w:ascii="Times New Roman" w:hAnsi="Times New Roman"/>
                <w:b/>
                <w:kern w:val="2"/>
                <w:sz w:val="21"/>
                <w:szCs w:val="21"/>
              </w:rPr>
              <w:t>内容</w:t>
            </w: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line="14" w:lineRule="auto"/>
              <w:outlineLvl w:val="0"/>
              <w:rPr>
                <w:rFonts w:ascii="Times New Roman" w:hAnsi="Times New Roman"/>
                <w:b/>
                <w:kern w:val="2"/>
                <w:sz w:val="21"/>
                <w:szCs w:val="21"/>
              </w:rPr>
            </w:pPr>
          </w:p>
          <w:p>
            <w:pPr>
              <w:pStyle w:val="13"/>
              <w:adjustRightInd w:val="0"/>
              <w:snapToGrid w:val="0"/>
              <w:spacing w:before="0" w:beforeAutospacing="0" w:after="0" w:afterAutospacing="0"/>
              <w:outlineLvl w:val="0"/>
              <w:rPr>
                <w:rFonts w:ascii="Times New Roman" w:hAnsi="Times New Roman"/>
                <w:b/>
                <w:kern w:val="2"/>
                <w:sz w:val="21"/>
                <w:szCs w:val="21"/>
              </w:rPr>
            </w:pPr>
          </w:p>
          <w:p>
            <w:pPr>
              <w:pStyle w:val="13"/>
              <w:adjustRightInd w:val="0"/>
              <w:snapToGrid w:val="0"/>
              <w:spacing w:before="0" w:beforeAutospacing="0" w:after="0" w:afterAutospacing="0"/>
              <w:outlineLvl w:val="0"/>
              <w:rPr>
                <w:rFonts w:ascii="Times New Roman" w:hAnsi="Times New Roman"/>
                <w:b/>
                <w:kern w:val="2"/>
                <w:sz w:val="21"/>
                <w:szCs w:val="21"/>
              </w:rPr>
            </w:pPr>
          </w:p>
          <w:p>
            <w:pPr>
              <w:pStyle w:val="13"/>
              <w:adjustRightInd w:val="0"/>
              <w:snapToGrid w:val="0"/>
              <w:spacing w:before="0" w:beforeAutospacing="0" w:after="0" w:afterAutospacing="0"/>
              <w:outlineLvl w:val="0"/>
              <w:rPr>
                <w:rFonts w:ascii="Times New Roman" w:hAnsi="Times New Roman"/>
                <w:b/>
                <w:kern w:val="2"/>
                <w:sz w:val="21"/>
                <w:szCs w:val="21"/>
              </w:rPr>
            </w:pPr>
            <w:r>
              <w:rPr>
                <w:rFonts w:ascii="Times New Roman" w:hAnsi="Times New Roman"/>
                <w:b/>
                <w:kern w:val="2"/>
                <w:sz w:val="21"/>
                <w:szCs w:val="21"/>
              </w:rPr>
              <w:t>要素</w:t>
            </w:r>
          </w:p>
        </w:tc>
        <w:tc>
          <w:tcPr>
            <w:tcW w:w="2134" w:type="pct"/>
            <w:gridSpan w:val="2"/>
            <w:tcBorders>
              <w:top w:val="single" w:color="auto" w:sz="4" w:space="0"/>
              <w:bottom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施工期</w:t>
            </w:r>
          </w:p>
        </w:tc>
        <w:tc>
          <w:tcPr>
            <w:tcW w:w="2512" w:type="pct"/>
            <w:gridSpan w:val="2"/>
            <w:tcBorders>
              <w:top w:val="single" w:color="auto" w:sz="4" w:space="0"/>
              <w:bottom w:val="single" w:color="auto" w:sz="4" w:space="0"/>
              <w:right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vMerge w:val="continue"/>
            <w:tcBorders>
              <w:top w:val="single" w:color="auto" w:sz="4" w:space="0"/>
              <w:left w:val="single" w:color="auto" w:sz="4" w:space="0"/>
              <w:bottom w:val="single" w:color="auto" w:sz="4" w:space="0"/>
            </w:tcBorders>
          </w:tcPr>
          <w:p>
            <w:pPr>
              <w:pStyle w:val="13"/>
              <w:adjustRightInd w:val="0"/>
              <w:snapToGrid w:val="0"/>
              <w:spacing w:before="0" w:beforeAutospacing="0" w:after="0" w:afterAutospacing="0"/>
              <w:ind w:firstLine="840"/>
              <w:jc w:val="center"/>
              <w:outlineLvl w:val="0"/>
              <w:rPr>
                <w:rFonts w:ascii="Times New Roman" w:hAnsi="Times New Roman"/>
                <w:b/>
                <w:kern w:val="2"/>
                <w:sz w:val="21"/>
                <w:szCs w:val="21"/>
              </w:rPr>
            </w:pPr>
          </w:p>
        </w:tc>
        <w:tc>
          <w:tcPr>
            <w:tcW w:w="1270" w:type="pct"/>
            <w:tcBorders>
              <w:top w:val="single" w:color="auto" w:sz="4" w:space="0"/>
              <w:bottom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环境保护措施</w:t>
            </w:r>
          </w:p>
        </w:tc>
        <w:tc>
          <w:tcPr>
            <w:tcW w:w="864" w:type="pct"/>
            <w:tcBorders>
              <w:top w:val="single" w:color="auto" w:sz="4" w:space="0"/>
              <w:bottom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验收要求</w:t>
            </w:r>
          </w:p>
        </w:tc>
        <w:tc>
          <w:tcPr>
            <w:tcW w:w="1369" w:type="pct"/>
            <w:tcBorders>
              <w:top w:val="single" w:color="auto" w:sz="4" w:space="0"/>
              <w:bottom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环境保护措施</w:t>
            </w:r>
          </w:p>
        </w:tc>
        <w:tc>
          <w:tcPr>
            <w:tcW w:w="1143" w:type="pct"/>
            <w:tcBorders>
              <w:top w:val="single" w:color="auto" w:sz="4" w:space="0"/>
              <w:bottom w:val="single" w:color="auto" w:sz="4" w:space="0"/>
              <w:right w:val="single" w:color="auto" w:sz="4" w:space="0"/>
            </w:tcBorders>
            <w:vAlign w:val="center"/>
          </w:tcPr>
          <w:p>
            <w:pPr>
              <w:pStyle w:val="13"/>
              <w:adjustRightInd w:val="0"/>
              <w:snapToGrid w:val="0"/>
              <w:spacing w:before="0" w:beforeAutospacing="0" w:after="0" w:afterAutospacing="0"/>
              <w:jc w:val="center"/>
              <w:outlineLvl w:val="0"/>
              <w:rPr>
                <w:rFonts w:ascii="Times New Roman" w:hAnsi="Times New Roman"/>
                <w:b/>
                <w:kern w:val="2"/>
                <w:sz w:val="21"/>
                <w:szCs w:val="21"/>
              </w:rPr>
            </w:pPr>
            <w:r>
              <w:rPr>
                <w:rFonts w:ascii="Times New Roman" w:hAnsi="Times New Roman"/>
                <w:b/>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陆生</w:t>
            </w:r>
          </w:p>
          <w:p>
            <w:pPr>
              <w:adjustRightInd w:val="0"/>
              <w:snapToGrid w:val="0"/>
              <w:jc w:val="center"/>
              <w:rPr>
                <w:szCs w:val="21"/>
              </w:rPr>
            </w:pPr>
            <w:r>
              <w:rPr>
                <w:szCs w:val="21"/>
              </w:rPr>
              <w:t>生态</w:t>
            </w:r>
          </w:p>
        </w:tc>
        <w:tc>
          <w:tcPr>
            <w:tcW w:w="1270"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临时占地在施工前，对表土进行分层剥离，分层堆放，施工结束后，分层回填。临时堆土以及建筑材料应集中堆放并苫盖。施工结束后平整施工扰动区、临时占地恢复植被。施工过程中尽量做到土方平衡。</w:t>
            </w:r>
          </w:p>
        </w:tc>
        <w:tc>
          <w:tcPr>
            <w:tcW w:w="864"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通过采取措施减少项目植被破坏及水土流失，验收时按要求项目临时占地已进行植被恢复。</w:t>
            </w:r>
          </w:p>
        </w:tc>
        <w:tc>
          <w:tcPr>
            <w:tcW w:w="1369"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光伏场加强各项环保和水保措施的管护，减少人为践踏等对</w:t>
            </w:r>
            <w:r>
              <w:rPr>
                <w:rFonts w:hint="eastAsia"/>
                <w:szCs w:val="21"/>
              </w:rPr>
              <w:t>植被</w:t>
            </w:r>
            <w:r>
              <w:rPr>
                <w:szCs w:val="21"/>
              </w:rPr>
              <w:t>的破坏，妥善处理生活垃圾。严格控制检修车辆的行驶路线，汽车行驶过程中应避免长时间及多次鸣笛，避免对野生动物产生惊扰。加强员工生态环境保护培训。</w:t>
            </w:r>
          </w:p>
        </w:tc>
        <w:tc>
          <w:tcPr>
            <w:tcW w:w="114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恢复植被，不再出现因施工扰动造成的地表裸露区域。落实环境保护措施。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水生</w:t>
            </w:r>
          </w:p>
          <w:p>
            <w:pPr>
              <w:adjustRightInd w:val="0"/>
              <w:snapToGrid w:val="0"/>
              <w:jc w:val="center"/>
              <w:rPr>
                <w:szCs w:val="21"/>
              </w:rPr>
            </w:pPr>
            <w:r>
              <w:rPr>
                <w:szCs w:val="21"/>
              </w:rPr>
              <w:t>生态</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地表水环境</w:t>
            </w:r>
          </w:p>
        </w:tc>
        <w:tc>
          <w:tcPr>
            <w:tcW w:w="1270"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避免雨季开挖作业，废水经收集、沉砂、澄清处理后回用，不外排。泥浆废水经沉砂池处理，加强施工机械的检修，避免跑、冒、滴、漏油；施工人员</w:t>
            </w:r>
            <w:r>
              <w:rPr>
                <w:rFonts w:hint="eastAsia"/>
                <w:szCs w:val="21"/>
              </w:rPr>
              <w:t>生活污水经施工区临时防渗化粪池收集后，由当地环卫部门定期清掏，不外排</w:t>
            </w:r>
            <w:r>
              <w:rPr>
                <w:szCs w:val="21"/>
              </w:rPr>
              <w:t>；落实文明施工原则，不漫排施工废水。</w:t>
            </w:r>
          </w:p>
        </w:tc>
        <w:tc>
          <w:tcPr>
            <w:tcW w:w="864"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合理处置，不外排，不会对周围环境造成影响。</w:t>
            </w:r>
          </w:p>
        </w:tc>
        <w:tc>
          <w:tcPr>
            <w:tcW w:w="1369"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光伏场运行期不产生废水。</w:t>
            </w:r>
            <w:r>
              <w:rPr>
                <w:rFonts w:hint="eastAsia"/>
                <w:szCs w:val="21"/>
              </w:rPr>
              <w:t>升压站运行</w:t>
            </w:r>
            <w:r>
              <w:rPr>
                <w:szCs w:val="21"/>
              </w:rPr>
              <w:t>人员生活污水经一体化处理设施处理后</w:t>
            </w:r>
            <w:r>
              <w:rPr>
                <w:rFonts w:hint="eastAsia"/>
                <w:szCs w:val="21"/>
              </w:rPr>
              <w:t>贮存于集水井中，用于升压站绿化，冬季由环卫车运走，不外排。</w:t>
            </w:r>
          </w:p>
        </w:tc>
        <w:tc>
          <w:tcPr>
            <w:tcW w:w="1143" w:type="pct"/>
            <w:tcBorders>
              <w:top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落实生活污水处理措施，不外排，不会对周围环境造成影响。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地下水及土壤环境</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声环境</w:t>
            </w:r>
          </w:p>
        </w:tc>
        <w:tc>
          <w:tcPr>
            <w:tcW w:w="1270"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采用噪声水平满足国家相应标准的施工机械设备；避免夜间施工作业，强噪声设备安置于单独的工棚内；加强施工管理，减少施工噪声对周围环境的影响；加强施工机械的维修、管理，保证施工机械运行良好；采取隔声、减震等措施减少噪声源强；运输车辆减速慢行、少鸣笛或不鸣笛；施工场地设置临时施工围挡设施，最大限度避免施工噪声扰民。</w:t>
            </w:r>
          </w:p>
        </w:tc>
        <w:tc>
          <w:tcPr>
            <w:tcW w:w="864" w:type="pct"/>
            <w:tcBorders>
              <w:top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确保厂界达到《建筑施工场界环境噪声排放限值》（GB12523-2011）要求。</w:t>
            </w:r>
          </w:p>
        </w:tc>
        <w:tc>
          <w:tcPr>
            <w:tcW w:w="1369"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合理布置光伏发电机组</w:t>
            </w:r>
            <w:r>
              <w:rPr>
                <w:rFonts w:hint="eastAsia"/>
                <w:szCs w:val="21"/>
              </w:rPr>
              <w:t>；选用低噪声箱变；加强电气设备日常维护；选用低噪声设备，并加强维护管理；检修道路两侧加强植被恢复，定期检查与保养路面；加强车辆管理，控制车速、严禁鸣笛，严禁超载超速。</w:t>
            </w:r>
          </w:p>
        </w:tc>
        <w:tc>
          <w:tcPr>
            <w:tcW w:w="1143"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光伏场</w:t>
            </w:r>
            <w:r>
              <w:rPr>
                <w:rFonts w:hint="eastAsia"/>
                <w:szCs w:val="21"/>
              </w:rPr>
              <w:t>场</w:t>
            </w:r>
            <w:r>
              <w:rPr>
                <w:rFonts w:hint="eastAsia"/>
              </w:rPr>
              <w:t>界、升压站站界</w:t>
            </w:r>
            <w:r>
              <w:rPr>
                <w:szCs w:val="21"/>
              </w:rPr>
              <w:t>处噪声值满足《工业企业厂界环境噪声排放标准》（GB12348-2008）中的2类标准的要求，场外敏感目标满足</w:t>
            </w:r>
            <w:r>
              <w:rPr>
                <w:rFonts w:hint="eastAsia"/>
                <w:szCs w:val="21"/>
              </w:rPr>
              <w:t>《声环境质量标准》（GB3096-2008）中的</w:t>
            </w:r>
            <w:r>
              <w:rPr>
                <w:szCs w:val="21"/>
              </w:rPr>
              <w:t>1类</w:t>
            </w:r>
            <w:r>
              <w:rPr>
                <w:rFonts w:hint="eastAsia"/>
                <w:szCs w:val="21"/>
              </w:rPr>
              <w:t>标准的要求</w:t>
            </w:r>
            <w:r>
              <w:rPr>
                <w:szCs w:val="21"/>
              </w:rPr>
              <w:t>。</w:t>
            </w:r>
          </w:p>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振动</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大气</w:t>
            </w:r>
          </w:p>
          <w:p>
            <w:pPr>
              <w:adjustRightInd w:val="0"/>
              <w:snapToGrid w:val="0"/>
              <w:jc w:val="center"/>
              <w:rPr>
                <w:szCs w:val="21"/>
              </w:rPr>
            </w:pPr>
            <w:r>
              <w:rPr>
                <w:szCs w:val="21"/>
              </w:rPr>
              <w:t>环境</w:t>
            </w:r>
          </w:p>
        </w:tc>
        <w:tc>
          <w:tcPr>
            <w:tcW w:w="1270" w:type="pct"/>
            <w:tcBorders>
              <w:top w:val="single" w:color="auto" w:sz="4" w:space="0"/>
              <w:bottom w:val="single" w:color="auto" w:sz="4" w:space="0"/>
            </w:tcBorders>
            <w:vAlign w:val="center"/>
          </w:tcPr>
          <w:p>
            <w:pPr>
              <w:adjustRightInd w:val="0"/>
              <w:snapToGrid w:val="0"/>
              <w:rPr>
                <w:szCs w:val="21"/>
              </w:rPr>
            </w:pPr>
            <w:r>
              <w:rPr>
                <w:rFonts w:hint="eastAsia"/>
                <w:szCs w:val="21"/>
              </w:rPr>
              <w:t>施工单位文明施工加强管理；使用商品混凝土，然后用罐装车运至施工点进行浇筑；车辆运输散体材料和废弃物时，必须密闭、包扎、覆盖，避免沿途漏撒；运载土方的车辆必须在规定的时间内，按指定路段行驶，控制扬尘污染；避免在大风天气下进行装卸作业；加强材料转运与使用的管理；对裸露施工面定期洒水，进出场地的车辆限制车速；施工开挖后的土石方及建筑材料就近堆放，采取拦挡、苫盖措施。使用含硫率低的清洁柴油。</w:t>
            </w:r>
          </w:p>
        </w:tc>
        <w:tc>
          <w:tcPr>
            <w:tcW w:w="864"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减少扬尘产生，减小对周围环境造成的影响。</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固体</w:t>
            </w:r>
          </w:p>
          <w:p>
            <w:pPr>
              <w:adjustRightInd w:val="0"/>
              <w:snapToGrid w:val="0"/>
              <w:jc w:val="center"/>
              <w:rPr>
                <w:szCs w:val="21"/>
              </w:rPr>
            </w:pPr>
            <w:r>
              <w:rPr>
                <w:szCs w:val="21"/>
              </w:rPr>
              <w:t>废物</w:t>
            </w:r>
          </w:p>
        </w:tc>
        <w:tc>
          <w:tcPr>
            <w:tcW w:w="1270" w:type="pct"/>
            <w:tcBorders>
              <w:top w:val="single" w:color="auto" w:sz="4" w:space="0"/>
              <w:bottom w:val="single" w:color="auto" w:sz="4" w:space="0"/>
            </w:tcBorders>
            <w:vAlign w:val="center"/>
          </w:tcPr>
          <w:p>
            <w:pPr>
              <w:pStyle w:val="46"/>
              <w:spacing w:line="240" w:lineRule="auto"/>
              <w:ind w:firstLine="420"/>
              <w:rPr>
                <w:rFonts w:cs="Times New Roman"/>
                <w:sz w:val="21"/>
                <w:szCs w:val="21"/>
              </w:rPr>
            </w:pPr>
            <w:r>
              <w:rPr>
                <w:rFonts w:cs="Times New Roman"/>
                <w:sz w:val="21"/>
                <w:szCs w:val="21"/>
              </w:rPr>
              <w:t>光伏场、升压站基础工程土石方全部在场内周转，用于场地平整和场地绿化；</w:t>
            </w:r>
            <w:r>
              <w:rPr>
                <w:rFonts w:hint="eastAsia" w:cs="Times New Roman"/>
                <w:sz w:val="21"/>
                <w:szCs w:val="21"/>
              </w:rPr>
              <w:t>生产</w:t>
            </w:r>
            <w:r>
              <w:rPr>
                <w:rFonts w:cs="Times New Roman"/>
                <w:sz w:val="21"/>
                <w:szCs w:val="21"/>
              </w:rPr>
              <w:t>垃圾回收利用，其他垃圾采用封闭式废土运输车及时清运，并送到当地环卫部门指定倾倒点处置。施工人员的生活垃圾堆放在垃圾箱，</w:t>
            </w:r>
            <w:r>
              <w:rPr>
                <w:rFonts w:hint="eastAsia" w:cs="Times New Roman"/>
                <w:sz w:val="21"/>
                <w:szCs w:val="21"/>
              </w:rPr>
              <w:t>由环卫部门定期统一回收处置</w:t>
            </w:r>
            <w:r>
              <w:rPr>
                <w:rFonts w:cs="Times New Roman"/>
                <w:sz w:val="21"/>
                <w:szCs w:val="21"/>
              </w:rPr>
              <w:t>。</w:t>
            </w:r>
          </w:p>
        </w:tc>
        <w:tc>
          <w:tcPr>
            <w:tcW w:w="864" w:type="pct"/>
            <w:tcBorders>
              <w:top w:val="single" w:color="auto" w:sz="4" w:space="0"/>
              <w:bottom w:val="single" w:color="auto" w:sz="4" w:space="0"/>
            </w:tcBorders>
            <w:vAlign w:val="center"/>
          </w:tcPr>
          <w:p>
            <w:pPr>
              <w:adjustRightInd w:val="0"/>
              <w:ind w:firstLine="420" w:firstLineChars="200"/>
              <w:rPr>
                <w:szCs w:val="21"/>
              </w:rPr>
            </w:pPr>
            <w:r>
              <w:rPr>
                <w:szCs w:val="21"/>
              </w:rPr>
              <w:t>运至指定地点合理处置。</w:t>
            </w:r>
          </w:p>
        </w:tc>
        <w:tc>
          <w:tcPr>
            <w:tcW w:w="1369" w:type="pct"/>
            <w:tcBorders>
              <w:top w:val="single" w:color="auto" w:sz="4" w:space="0"/>
              <w:bottom w:val="single" w:color="auto" w:sz="4" w:space="0"/>
            </w:tcBorders>
            <w:vAlign w:val="center"/>
          </w:tcPr>
          <w:p>
            <w:pPr>
              <w:pStyle w:val="24"/>
              <w:spacing w:line="240" w:lineRule="auto"/>
              <w:ind w:firstLine="420"/>
              <w:rPr>
                <w:rFonts w:cs="Times New Roman"/>
                <w:b w:val="0"/>
                <w:sz w:val="21"/>
                <w:szCs w:val="21"/>
              </w:rPr>
            </w:pPr>
            <w:r>
              <w:rPr>
                <w:rFonts w:cs="Times New Roman"/>
                <w:b w:val="0"/>
                <w:kern w:val="0"/>
                <w:sz w:val="21"/>
                <w:szCs w:val="21"/>
              </w:rPr>
              <w:t>生活垃圾经收集后</w:t>
            </w:r>
            <w:r>
              <w:rPr>
                <w:rFonts w:hint="eastAsia" w:cs="Times New Roman"/>
                <w:b w:val="0"/>
                <w:kern w:val="0"/>
                <w:sz w:val="21"/>
                <w:szCs w:val="21"/>
              </w:rPr>
              <w:t>，由当地环卫部门定期统一回收处置</w:t>
            </w:r>
            <w:r>
              <w:rPr>
                <w:rFonts w:cs="Times New Roman"/>
                <w:b w:val="0"/>
                <w:kern w:val="0"/>
                <w:sz w:val="21"/>
                <w:szCs w:val="21"/>
              </w:rPr>
              <w:t>；</w:t>
            </w:r>
            <w:r>
              <w:rPr>
                <w:rFonts w:cs="Times New Roman"/>
                <w:b w:val="0"/>
                <w:sz w:val="21"/>
                <w:szCs w:val="21"/>
              </w:rPr>
              <w:t>废旧蓄电池在</w:t>
            </w:r>
            <w:r>
              <w:rPr>
                <w:rFonts w:hint="eastAsia" w:cs="Times New Roman"/>
                <w:b w:val="0"/>
                <w:sz w:val="21"/>
                <w:szCs w:val="21"/>
              </w:rPr>
              <w:t>更换时</w:t>
            </w:r>
            <w:r>
              <w:rPr>
                <w:rFonts w:cs="Times New Roman"/>
                <w:b w:val="0"/>
                <w:sz w:val="21"/>
                <w:szCs w:val="21"/>
              </w:rPr>
              <w:t>，由有资质的单位进行回收处置</w:t>
            </w:r>
            <w:r>
              <w:rPr>
                <w:rFonts w:hint="eastAsia" w:cs="Times New Roman"/>
                <w:b w:val="0"/>
                <w:sz w:val="21"/>
                <w:szCs w:val="21"/>
              </w:rPr>
              <w:t>，不在站内暂存；</w:t>
            </w:r>
            <w:r>
              <w:rPr>
                <w:rFonts w:cs="Times New Roman"/>
                <w:b w:val="0"/>
                <w:sz w:val="21"/>
                <w:szCs w:val="21"/>
              </w:rPr>
              <w:t>箱式变压器事故</w:t>
            </w:r>
            <w:r>
              <w:rPr>
                <w:rFonts w:hint="eastAsia" w:cs="Times New Roman"/>
                <w:b w:val="0"/>
                <w:sz w:val="21"/>
                <w:szCs w:val="21"/>
              </w:rPr>
              <w:t>油</w:t>
            </w:r>
            <w:r>
              <w:rPr>
                <w:rFonts w:cs="Times New Roman"/>
                <w:b w:val="0"/>
                <w:sz w:val="21"/>
                <w:szCs w:val="21"/>
              </w:rPr>
              <w:t>泄漏于箱式变压器下方的事故油池内，</w:t>
            </w:r>
            <w:r>
              <w:rPr>
                <w:rFonts w:hint="eastAsia" w:cs="Times New Roman"/>
                <w:b w:val="0"/>
                <w:sz w:val="21"/>
                <w:szCs w:val="21"/>
              </w:rPr>
              <w:t>由有资质单位回收处置</w:t>
            </w:r>
            <w:r>
              <w:rPr>
                <w:rFonts w:cs="Times New Roman"/>
                <w:b w:val="0"/>
                <w:sz w:val="21"/>
                <w:szCs w:val="21"/>
              </w:rPr>
              <w:t>。</w:t>
            </w:r>
            <w:r>
              <w:rPr>
                <w:rFonts w:hint="eastAsia" w:cs="Times New Roman"/>
                <w:b w:val="0"/>
                <w:sz w:val="21"/>
                <w:szCs w:val="21"/>
              </w:rPr>
              <w:t>主变事故油经事故油池收集后，由有资质单位回收处置。</w:t>
            </w:r>
          </w:p>
        </w:tc>
        <w:tc>
          <w:tcPr>
            <w:tcW w:w="1143" w:type="pct"/>
            <w:tcBorders>
              <w:top w:val="single" w:color="auto" w:sz="4" w:space="0"/>
              <w:bottom w:val="single" w:color="auto" w:sz="4" w:space="0"/>
              <w:right w:val="single" w:color="auto" w:sz="4" w:space="0"/>
            </w:tcBorders>
            <w:vAlign w:val="center"/>
          </w:tcPr>
          <w:p>
            <w:pPr>
              <w:adjustRightInd w:val="0"/>
              <w:ind w:firstLine="420" w:firstLineChars="200"/>
              <w:rPr>
                <w:szCs w:val="21"/>
              </w:rPr>
            </w:pPr>
            <w:r>
              <w:rPr>
                <w:szCs w:val="21"/>
              </w:rPr>
              <w:t>项目产生的危险废物执行《危险废物贮存污染控制标准》（GB 18597—2023）的要求。</w:t>
            </w:r>
            <w:r>
              <w:rPr>
                <w:rFonts w:hint="eastAsia"/>
                <w:szCs w:val="21"/>
              </w:rPr>
              <w:t>固体废弃物得到有效处置。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317"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电磁</w:t>
            </w:r>
          </w:p>
          <w:p>
            <w:pPr>
              <w:adjustRightInd w:val="0"/>
              <w:snapToGrid w:val="0"/>
              <w:jc w:val="center"/>
              <w:rPr>
                <w:szCs w:val="21"/>
              </w:rPr>
            </w:pPr>
            <w:r>
              <w:rPr>
                <w:szCs w:val="21"/>
              </w:rPr>
              <w:t>环境</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80" w:hRule="atLeast"/>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环境</w:t>
            </w:r>
          </w:p>
          <w:p>
            <w:pPr>
              <w:adjustRightInd w:val="0"/>
              <w:snapToGrid w:val="0"/>
              <w:jc w:val="center"/>
              <w:rPr>
                <w:szCs w:val="21"/>
              </w:rPr>
            </w:pPr>
            <w:r>
              <w:rPr>
                <w:szCs w:val="21"/>
              </w:rPr>
              <w:t>风险</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rPr>
                <w:szCs w:val="21"/>
              </w:rPr>
            </w:pPr>
            <w:r>
              <w:rPr>
                <w:rFonts w:hint="eastAsia"/>
                <w:snapToGrid w:val="0"/>
                <w:szCs w:val="21"/>
              </w:rPr>
              <w:t>运行期应对事故油池的完好情况进行检查，确保无渗漏、无溢流。在主变压器旁设置推车及手提式干粉灭火器、消防沙箱、消防铲等灭火器材。</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落实环境风险防控措施。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环境</w:t>
            </w:r>
          </w:p>
          <w:p>
            <w:pPr>
              <w:adjustRightInd w:val="0"/>
              <w:snapToGrid w:val="0"/>
              <w:jc w:val="center"/>
              <w:rPr>
                <w:szCs w:val="21"/>
              </w:rPr>
            </w:pPr>
            <w:r>
              <w:rPr>
                <w:szCs w:val="21"/>
              </w:rPr>
              <w:t>监测</w:t>
            </w:r>
          </w:p>
        </w:tc>
        <w:tc>
          <w:tcPr>
            <w:tcW w:w="1270"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施工期环境管理和监督。</w:t>
            </w:r>
          </w:p>
        </w:tc>
        <w:tc>
          <w:tcPr>
            <w:tcW w:w="864"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设立专门环境管理机构，负责工程的日常环境管理工作。</w:t>
            </w:r>
          </w:p>
        </w:tc>
        <w:tc>
          <w:tcPr>
            <w:tcW w:w="1369" w:type="pct"/>
            <w:tcBorders>
              <w:top w:val="single" w:color="auto" w:sz="4" w:space="0"/>
              <w:bottom w:val="single" w:color="auto" w:sz="4" w:space="0"/>
            </w:tcBorders>
            <w:vAlign w:val="center"/>
          </w:tcPr>
          <w:p>
            <w:pPr>
              <w:adjustRightInd w:val="0"/>
              <w:snapToGrid w:val="0"/>
              <w:ind w:firstLine="420" w:firstLineChars="200"/>
              <w:rPr>
                <w:szCs w:val="21"/>
              </w:rPr>
            </w:pPr>
            <w:r>
              <w:rPr>
                <w:szCs w:val="21"/>
              </w:rPr>
              <w:t>运营期环境管理与监督计划。</w:t>
            </w:r>
          </w:p>
        </w:tc>
        <w:tc>
          <w:tcPr>
            <w:tcW w:w="1143" w:type="pct"/>
            <w:tcBorders>
              <w:top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szCs w:val="21"/>
              </w:rPr>
              <w:t>运营期项目环境管理和监测计划的落实。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jc w:val="center"/>
        </w:trPr>
        <w:tc>
          <w:tcPr>
            <w:tcW w:w="354" w:type="pct"/>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其他</w:t>
            </w:r>
          </w:p>
        </w:tc>
        <w:tc>
          <w:tcPr>
            <w:tcW w:w="1270"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864"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369" w:type="pct"/>
            <w:tcBorders>
              <w:top w:val="single" w:color="auto" w:sz="4" w:space="0"/>
              <w:bottom w:val="single" w:color="auto" w:sz="4" w:space="0"/>
            </w:tcBorders>
            <w:vAlign w:val="center"/>
          </w:tcPr>
          <w:p>
            <w:pPr>
              <w:adjustRightInd w:val="0"/>
              <w:snapToGrid w:val="0"/>
              <w:jc w:val="center"/>
              <w:rPr>
                <w:szCs w:val="21"/>
              </w:rPr>
            </w:pPr>
            <w:r>
              <w:rPr>
                <w:szCs w:val="21"/>
              </w:rPr>
              <w:t>—</w:t>
            </w:r>
          </w:p>
        </w:tc>
        <w:tc>
          <w:tcPr>
            <w:tcW w:w="1143"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r>
    </w:tbl>
    <w:p>
      <w:pPr>
        <w:sectPr>
          <w:pgSz w:w="16838" w:h="11906" w:orient="landscape"/>
          <w:pgMar w:top="1800" w:right="1440" w:bottom="1800" w:left="1440" w:header="851" w:footer="1077" w:gutter="0"/>
          <w:cols w:space="720" w:num="1"/>
          <w:docGrid w:linePitch="312" w:charSpace="0"/>
        </w:sectPr>
      </w:pPr>
    </w:p>
    <w:p>
      <w:pPr>
        <w:pStyle w:val="13"/>
        <w:adjustRightInd w:val="0"/>
        <w:snapToGrid w:val="0"/>
        <w:spacing w:before="0" w:beforeAutospacing="0" w:after="0" w:afterAutospacing="0" w:line="360" w:lineRule="auto"/>
        <w:jc w:val="center"/>
        <w:outlineLvl w:val="0"/>
        <w:rPr>
          <w:rFonts w:ascii="黑体" w:hAnsi="黑体" w:eastAsia="黑体"/>
          <w:snapToGrid w:val="0"/>
          <w:sz w:val="30"/>
          <w:szCs w:val="30"/>
        </w:rPr>
      </w:pPr>
      <w:r>
        <w:rPr>
          <w:rFonts w:ascii="黑体" w:hAnsi="黑体" w:eastAsia="黑体"/>
          <w:snapToGrid w:val="0"/>
          <w:sz w:val="30"/>
          <w:szCs w:val="30"/>
        </w:rPr>
        <w:t>七、结论</w:t>
      </w:r>
    </w:p>
    <w:tbl>
      <w:tblPr>
        <w:tblStyle w:val="1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3" w:hRule="atLeast"/>
          <w:jc w:val="center"/>
        </w:trPr>
        <w:tc>
          <w:tcPr>
            <w:tcW w:w="9289" w:type="dxa"/>
            <w:vAlign w:val="center"/>
          </w:tcPr>
          <w:p>
            <w:pPr>
              <w:pStyle w:val="44"/>
              <w:spacing w:before="120"/>
              <w:rPr>
                <w:rFonts w:cs="Times New Roman"/>
                <w:color w:val="auto"/>
              </w:rPr>
            </w:pPr>
            <w:r>
              <w:rPr>
                <w:rFonts w:cs="Times New Roman"/>
                <w:color w:val="auto"/>
              </w:rPr>
              <w:t>1、产业政策符合性分析</w:t>
            </w:r>
          </w:p>
          <w:p>
            <w:pPr>
              <w:pStyle w:val="46"/>
              <w:ind w:firstLine="480"/>
              <w:rPr>
                <w:rFonts w:cs="Times New Roman"/>
              </w:rPr>
            </w:pPr>
            <w:r>
              <w:rPr>
                <w:rFonts w:hint="eastAsia" w:cs="Times New Roman"/>
              </w:rPr>
              <w:t>本项目属光伏发电项目，光伏发电是可再生能源技术发展的重点，是电源结构调整、节能减排的有效措施之一，是我国《可再生能源产业发展指导目录》中明确的</w:t>
            </w:r>
            <w:r>
              <w:rPr>
                <w:rFonts w:ascii="宋体" w:hAnsi="宋体" w:cs="Times New Roman"/>
              </w:rPr>
              <w:t>“</w:t>
            </w:r>
            <w:r>
              <w:rPr>
                <w:rFonts w:hint="eastAsia" w:cs="Times New Roman"/>
              </w:rPr>
              <w:t>并网型太阳能光伏发电</w:t>
            </w:r>
            <w:r>
              <w:rPr>
                <w:rFonts w:ascii="宋体" w:hAnsi="宋体" w:cs="Times New Roman"/>
                <w:snapToGrid/>
              </w:rPr>
              <w:t>”</w:t>
            </w:r>
            <w:r>
              <w:rPr>
                <w:rFonts w:hint="eastAsia" w:cs="Times New Roman"/>
              </w:rPr>
              <w:t>，根据《产业结构调整指导目录（2021年修订）》中的规定，本项目属于允许类项目。因此本项目符合产业政策要求。</w:t>
            </w:r>
          </w:p>
          <w:p>
            <w:pPr>
              <w:pStyle w:val="44"/>
              <w:spacing w:before="120"/>
              <w:rPr>
                <w:rFonts w:cs="Times New Roman"/>
                <w:color w:val="auto"/>
              </w:rPr>
            </w:pPr>
            <w:r>
              <w:rPr>
                <w:rFonts w:cs="Times New Roman"/>
                <w:color w:val="auto"/>
              </w:rPr>
              <w:t>2、项目概况</w:t>
            </w:r>
          </w:p>
          <w:p>
            <w:pPr>
              <w:pStyle w:val="46"/>
              <w:ind w:firstLine="480"/>
              <w:rPr>
                <w:rFonts w:cs="Times New Roman"/>
              </w:rPr>
            </w:pPr>
            <w:r>
              <w:rPr>
                <w:rFonts w:hint="eastAsia" w:cs="Times New Roman"/>
              </w:rPr>
              <w:t>本项目规划建设容量为3GW光伏发电项目。本期建设1GW，同步配置150MW/300MWh储能装置，分为两个区域建设：磴口县85万千瓦子项目和乌拉特前旗15万千瓦子项目。本工程为乌拉特前旗15万千瓦子项目，建设容量150MW，同步配置22.5MW/45MWh储能装置。</w:t>
            </w:r>
          </w:p>
          <w:p>
            <w:pPr>
              <w:pStyle w:val="46"/>
              <w:ind w:firstLine="480"/>
              <w:rPr>
                <w:rFonts w:cs="Times New Roman"/>
              </w:rPr>
            </w:pPr>
            <w:r>
              <w:rPr>
                <w:rFonts w:hint="eastAsia" w:cs="Times New Roman"/>
              </w:rPr>
              <w:t>本期新建</w:t>
            </w:r>
            <w:r>
              <w:rPr>
                <w:rFonts w:cs="Times New Roman"/>
              </w:rPr>
              <w:t>1</w:t>
            </w:r>
            <w:r>
              <w:rPr>
                <w:rFonts w:hint="eastAsia" w:cs="Times New Roman"/>
              </w:rPr>
              <w:t>座220kV升压站，本期建设光伏容量接入升压站35kV侧。升压站规划建设1台180MVA主变压器（含储能容量），设220kV、35kV两级电压，220kV规划出线1回，35kV规划出线8回，本期一次建成</w:t>
            </w:r>
            <w:r>
              <w:rPr>
                <w:rFonts w:cs="Times New Roman"/>
              </w:rPr>
              <w:t>。</w:t>
            </w:r>
          </w:p>
          <w:p>
            <w:pPr>
              <w:pStyle w:val="44"/>
              <w:spacing w:before="120"/>
              <w:rPr>
                <w:rFonts w:cs="Times New Roman"/>
                <w:color w:val="auto"/>
              </w:rPr>
            </w:pPr>
            <w:r>
              <w:rPr>
                <w:rFonts w:cs="Times New Roman"/>
                <w:color w:val="auto"/>
              </w:rPr>
              <w:t>3、环境质量现状评价结论</w:t>
            </w:r>
          </w:p>
          <w:p>
            <w:pPr>
              <w:pStyle w:val="24"/>
              <w:ind w:firstLine="482"/>
              <w:rPr>
                <w:rFonts w:cs="Times New Roman"/>
              </w:rPr>
            </w:pPr>
            <w:r>
              <w:rPr>
                <w:rFonts w:cs="Times New Roman"/>
              </w:rPr>
              <w:t>（1）声环境质量现状评价结论</w:t>
            </w:r>
          </w:p>
          <w:p>
            <w:pPr>
              <w:pStyle w:val="46"/>
              <w:ind w:firstLine="480"/>
              <w:rPr>
                <w:rFonts w:cs="Times New Roman"/>
              </w:rPr>
            </w:pPr>
            <w:r>
              <w:rPr>
                <w:rFonts w:cs="Times New Roman"/>
              </w:rPr>
              <w:t>根据现状监测报告，</w:t>
            </w:r>
            <w:r>
              <w:rPr>
                <w:rFonts w:hint="eastAsia" w:cs="Times New Roman"/>
              </w:rPr>
              <w:t>光伏场场界四周监测点昼间声环境现状监测值在34.4～37.5dB（A）之间，夜间声环境现状监测值在33.4～35.8dB（A）之间，声环境现状监测值均满足《声环境质量标准》（GB3096-2008）的2类标准。</w:t>
            </w:r>
          </w:p>
          <w:p>
            <w:pPr>
              <w:pStyle w:val="46"/>
              <w:ind w:firstLine="480"/>
              <w:rPr>
                <w:rFonts w:cs="Times New Roman"/>
              </w:rPr>
            </w:pPr>
            <w:r>
              <w:rPr>
                <w:rFonts w:hint="eastAsia" w:cs="Times New Roman"/>
              </w:rPr>
              <w:t>光伏场附近敏感点昼间声环境现状监测值在34.3～37.6dB（A）之间，夜间声环境现状监测值在33.3～36.4dB（A）之间，声环境现状监测值均满足《声环境质量标准》（GB3096-2008）的</w:t>
            </w:r>
            <w:r>
              <w:rPr>
                <w:rFonts w:cs="Times New Roman"/>
              </w:rPr>
              <w:t>1</w:t>
            </w:r>
            <w:r>
              <w:rPr>
                <w:rFonts w:hint="eastAsia" w:cs="Times New Roman"/>
              </w:rPr>
              <w:t>类标准。</w:t>
            </w:r>
          </w:p>
          <w:p>
            <w:pPr>
              <w:pStyle w:val="46"/>
              <w:ind w:firstLine="480"/>
              <w:rPr>
                <w:rFonts w:cs="Times New Roman"/>
              </w:rPr>
            </w:pPr>
            <w:r>
              <w:rPr>
                <w:rFonts w:hint="eastAsia" w:cs="Times New Roman"/>
              </w:rPr>
              <w:t>升压站站界四周监测点昼间声环境现状监测值在35.4～36.4dB（A）之间，夜间在34.4~34.6dB（A）之间，声环境现状检测值均满足《声环境质量标准》（GB3096-2008）的2类标准。</w:t>
            </w:r>
          </w:p>
          <w:p>
            <w:pPr>
              <w:pStyle w:val="24"/>
              <w:ind w:firstLine="482"/>
              <w:rPr>
                <w:rFonts w:cs="Times New Roman"/>
              </w:rPr>
            </w:pPr>
            <w:r>
              <w:rPr>
                <w:rFonts w:cs="Times New Roman"/>
              </w:rPr>
              <w:t>（2）生态环境质量现状评价结论</w:t>
            </w:r>
          </w:p>
          <w:p>
            <w:pPr>
              <w:adjustRightInd w:val="0"/>
              <w:snapToGrid w:val="0"/>
              <w:spacing w:line="360" w:lineRule="auto"/>
              <w:ind w:firstLine="480"/>
              <w:rPr>
                <w:sz w:val="24"/>
              </w:rPr>
            </w:pPr>
            <w:r>
              <w:rPr>
                <w:sz w:val="24"/>
              </w:rPr>
              <w:t>评价区域内土地类型以</w:t>
            </w:r>
            <w:r>
              <w:rPr>
                <w:rFonts w:hint="eastAsia"/>
                <w:sz w:val="24"/>
              </w:rPr>
              <w:t>天然牧草地</w:t>
            </w:r>
            <w:r>
              <w:rPr>
                <w:sz w:val="24"/>
              </w:rPr>
              <w:t>和采矿用地为主</w:t>
            </w:r>
            <w:r>
              <w:rPr>
                <w:rFonts w:hint="eastAsia"/>
                <w:sz w:val="24"/>
              </w:rPr>
              <w:t>；植被类型主要以小针茅、骆驼蓬为主，评价范围内无国家和省级重点保护植物分布；</w:t>
            </w:r>
            <w:r>
              <w:rPr>
                <w:sz w:val="24"/>
              </w:rPr>
              <w:t>评价区内</w:t>
            </w:r>
            <w:r>
              <w:rPr>
                <w:rFonts w:hint="eastAsia"/>
                <w:sz w:val="24"/>
              </w:rPr>
              <w:t>野生动物组成比较简单，种类相对较少，评价区内常见的野生动物有啮齿类、爬行类和一些鸟类。无国家和自治区保护的珍惜濒危野生动物。</w:t>
            </w:r>
          </w:p>
          <w:p>
            <w:pPr>
              <w:pStyle w:val="44"/>
              <w:spacing w:before="120"/>
              <w:rPr>
                <w:rFonts w:cs="Times New Roman"/>
                <w:color w:val="auto"/>
              </w:rPr>
            </w:pPr>
            <w:r>
              <w:rPr>
                <w:rFonts w:cs="Times New Roman"/>
                <w:color w:val="auto"/>
              </w:rPr>
              <w:t>4、环境影响分析及防治措施结论</w:t>
            </w:r>
          </w:p>
          <w:p>
            <w:pPr>
              <w:pStyle w:val="24"/>
              <w:ind w:firstLine="482"/>
              <w:rPr>
                <w:rFonts w:cs="Times New Roman"/>
              </w:rPr>
            </w:pPr>
            <w:r>
              <w:rPr>
                <w:rFonts w:cs="Times New Roman"/>
              </w:rPr>
              <w:t>（1）废气</w:t>
            </w:r>
          </w:p>
          <w:p>
            <w:pPr>
              <w:adjustRightInd w:val="0"/>
              <w:snapToGrid w:val="0"/>
              <w:spacing w:line="360" w:lineRule="auto"/>
              <w:ind w:firstLine="480" w:firstLineChars="200"/>
              <w:rPr>
                <w:sz w:val="24"/>
              </w:rPr>
            </w:pPr>
            <w:r>
              <w:rPr>
                <w:sz w:val="24"/>
              </w:rPr>
              <w:t>项目在施工过程中通过合理管理，要求运输车辆遮盖、道路洒水、建筑材料设置围挡与苫盖等措施，可以减轻施工活动对环境空气质量带来的不良影响。</w:t>
            </w:r>
          </w:p>
          <w:p>
            <w:pPr>
              <w:adjustRightInd w:val="0"/>
              <w:snapToGrid w:val="0"/>
              <w:spacing w:line="360" w:lineRule="auto"/>
              <w:ind w:firstLine="480" w:firstLineChars="200"/>
              <w:rPr>
                <w:sz w:val="24"/>
              </w:rPr>
            </w:pPr>
            <w:r>
              <w:rPr>
                <w:sz w:val="24"/>
              </w:rPr>
              <w:t>运行期项目无废气产生，不会对大气环境造成不良影响。</w:t>
            </w:r>
          </w:p>
          <w:p>
            <w:pPr>
              <w:pStyle w:val="24"/>
              <w:ind w:firstLine="482"/>
              <w:rPr>
                <w:rFonts w:cs="Times New Roman"/>
              </w:rPr>
            </w:pPr>
            <w:r>
              <w:rPr>
                <w:rFonts w:cs="Times New Roman"/>
              </w:rPr>
              <w:t>（2）废水</w:t>
            </w:r>
          </w:p>
          <w:p>
            <w:pPr>
              <w:adjustRightInd w:val="0"/>
              <w:snapToGrid w:val="0"/>
              <w:spacing w:line="360" w:lineRule="auto"/>
              <w:ind w:firstLine="460" w:firstLineChars="192"/>
              <w:rPr>
                <w:sz w:val="24"/>
              </w:rPr>
            </w:pPr>
            <w:r>
              <w:rPr>
                <w:rFonts w:hint="eastAsia"/>
                <w:sz w:val="24"/>
              </w:rPr>
              <w:t>施工期施工废水、施工车辆清洗废水经收集处理后回用。生活污水经施工区临时防渗化粪池收集后，由当地环卫部门定期清掏，不外排</w:t>
            </w:r>
            <w:r>
              <w:rPr>
                <w:sz w:val="24"/>
              </w:rPr>
              <w:t>。</w:t>
            </w:r>
          </w:p>
          <w:p>
            <w:pPr>
              <w:adjustRightInd w:val="0"/>
              <w:snapToGrid w:val="0"/>
              <w:spacing w:line="360" w:lineRule="auto"/>
              <w:ind w:firstLine="460" w:firstLineChars="192"/>
              <w:rPr>
                <w:kern w:val="0"/>
                <w:sz w:val="24"/>
              </w:rPr>
            </w:pPr>
            <w:r>
              <w:rPr>
                <w:rFonts w:hint="eastAsia"/>
                <w:sz w:val="24"/>
              </w:rPr>
              <w:t>光伏场运行期废水主要为光伏板冲洗废水，其排水中污染物为悬浮物，无有害物质，因此直接排至光伏板下地面浇灌植被，不进行收集。</w:t>
            </w:r>
            <w:r>
              <w:rPr>
                <w:sz w:val="24"/>
              </w:rPr>
              <w:t>升压站生活污水</w:t>
            </w:r>
            <w:r>
              <w:rPr>
                <w:rFonts w:hint="eastAsia"/>
                <w:sz w:val="24"/>
              </w:rPr>
              <w:t>经</w:t>
            </w:r>
            <w:r>
              <w:rPr>
                <w:sz w:val="24"/>
              </w:rPr>
              <w:t>一体化处理设施处理后</w:t>
            </w:r>
            <w:r>
              <w:rPr>
                <w:rFonts w:hint="eastAsia"/>
                <w:sz w:val="24"/>
              </w:rPr>
              <w:t>贮存于集水井中，用于升压站绿化，冬季由环卫车运走，不外排。</w:t>
            </w:r>
          </w:p>
          <w:p>
            <w:pPr>
              <w:pStyle w:val="24"/>
              <w:ind w:firstLine="482"/>
              <w:rPr>
                <w:rFonts w:cs="Times New Roman"/>
              </w:rPr>
            </w:pPr>
            <w:r>
              <w:rPr>
                <w:rFonts w:cs="Times New Roman"/>
              </w:rPr>
              <w:t>（3）固体废物</w:t>
            </w:r>
          </w:p>
          <w:p>
            <w:pPr>
              <w:adjustRightInd w:val="0"/>
              <w:snapToGrid w:val="0"/>
              <w:spacing w:line="360" w:lineRule="auto"/>
              <w:ind w:firstLine="480" w:firstLineChars="200"/>
              <w:rPr>
                <w:sz w:val="24"/>
              </w:rPr>
            </w:pPr>
            <w:r>
              <w:rPr>
                <w:sz w:val="24"/>
              </w:rPr>
              <w:t>施工期固体废弃物为生产废弃物和生活垃圾，建筑垃圾应在指定的堆放点存放，钢筋等材料可回收利用，其他垃圾采用封闭式废土运输车及时清运，并送到当地环卫部门指定倾倒点处置，生活垃圾集中收集定期清运至当地环保部门指定地点集中处置。</w:t>
            </w:r>
          </w:p>
          <w:p>
            <w:pPr>
              <w:adjustRightInd w:val="0"/>
              <w:snapToGrid w:val="0"/>
              <w:spacing w:line="360" w:lineRule="auto"/>
              <w:ind w:firstLine="480" w:firstLineChars="200"/>
              <w:rPr>
                <w:sz w:val="24"/>
              </w:rPr>
            </w:pPr>
            <w:r>
              <w:rPr>
                <w:sz w:val="24"/>
              </w:rPr>
              <w:t>运行期废旧</w:t>
            </w:r>
            <w:r>
              <w:rPr>
                <w:rFonts w:hint="eastAsia"/>
                <w:sz w:val="24"/>
              </w:rPr>
              <w:t>蓄</w:t>
            </w:r>
            <w:r>
              <w:rPr>
                <w:sz w:val="24"/>
              </w:rPr>
              <w:t>电池</w:t>
            </w:r>
            <w:r>
              <w:rPr>
                <w:rFonts w:hint="eastAsia"/>
                <w:sz w:val="24"/>
              </w:rPr>
              <w:t>在更换时</w:t>
            </w:r>
            <w:r>
              <w:rPr>
                <w:sz w:val="24"/>
              </w:rPr>
              <w:t>由有资质单位</w:t>
            </w:r>
            <w:r>
              <w:rPr>
                <w:rFonts w:hint="eastAsia"/>
                <w:sz w:val="24"/>
              </w:rPr>
              <w:t>进行回收处置，不在站内暂存。</w:t>
            </w:r>
            <w:r>
              <w:rPr>
                <w:rFonts w:hint="eastAsia"/>
                <w:sz w:val="24"/>
                <w:lang w:bidi="ar"/>
              </w:rPr>
              <w:t>废储能电池由厂家在更换时回收处置，不在站内暂存。</w:t>
            </w:r>
            <w:r>
              <w:rPr>
                <w:rFonts w:hint="eastAsia"/>
                <w:sz w:val="24"/>
              </w:rPr>
              <w:t>主变及箱变事故油经事故油池收集后，由有资质单位回收处置</w:t>
            </w:r>
            <w:r>
              <w:rPr>
                <w:sz w:val="24"/>
              </w:rPr>
              <w:t>。升压站内设有固定的垃圾箱，生活垃圾经收集后</w:t>
            </w:r>
            <w:r>
              <w:rPr>
                <w:rFonts w:hint="eastAsia"/>
                <w:sz w:val="24"/>
              </w:rPr>
              <w:t>，由当地环卫部门定期统一回收处置</w:t>
            </w:r>
            <w:r>
              <w:rPr>
                <w:sz w:val="24"/>
              </w:rPr>
              <w:t>。</w:t>
            </w:r>
          </w:p>
          <w:p>
            <w:pPr>
              <w:pStyle w:val="24"/>
              <w:ind w:firstLine="482"/>
              <w:rPr>
                <w:rFonts w:cs="Times New Roman"/>
              </w:rPr>
            </w:pPr>
            <w:r>
              <w:rPr>
                <w:rFonts w:cs="Times New Roman"/>
              </w:rPr>
              <w:t>（4）噪声</w:t>
            </w:r>
          </w:p>
          <w:p>
            <w:pPr>
              <w:shd w:val="clear" w:color="auto" w:fill="FFFFFF"/>
              <w:adjustRightInd w:val="0"/>
              <w:snapToGrid w:val="0"/>
              <w:spacing w:line="360" w:lineRule="auto"/>
              <w:ind w:firstLine="480" w:firstLineChars="200"/>
              <w:outlineLvl w:val="1"/>
              <w:rPr>
                <w:sz w:val="24"/>
              </w:rPr>
            </w:pPr>
            <w:r>
              <w:rPr>
                <w:sz w:val="24"/>
              </w:rPr>
              <w:t>施工期噪声主要来自光伏场施工挖掘机、空压机、推土机、起重机、振捣机等施工机械以及运输车辆对周围环境产生的影响。通过采取合理控制施工时间、采取隔声措施等方法，</w:t>
            </w:r>
            <w:r>
              <w:rPr>
                <w:kern w:val="0"/>
                <w:sz w:val="24"/>
              </w:rPr>
              <w:t>最大限度避免施工噪声扰民。经预测，</w:t>
            </w:r>
            <w:r>
              <w:rPr>
                <w:sz w:val="24"/>
              </w:rPr>
              <w:t>施工机械作业产生的噪声满足《建筑施工场界环境噪声排放标准》（GB12523-2011）限值。施工噪声影响特点为短期性、暂时性，施工活动结束，施工噪声也就随之结束。</w:t>
            </w:r>
          </w:p>
          <w:p>
            <w:pPr>
              <w:pStyle w:val="46"/>
              <w:ind w:firstLine="480"/>
              <w:rPr>
                <w:rFonts w:cs="Times New Roman"/>
              </w:rPr>
            </w:pPr>
            <w:r>
              <w:rPr>
                <w:rFonts w:cs="Times New Roman"/>
              </w:rPr>
              <w:t>运行期光伏场主要噪声源</w:t>
            </w:r>
            <w:r>
              <w:rPr>
                <w:rFonts w:hint="eastAsia" w:cs="Times New Roman"/>
              </w:rPr>
              <w:t>为箱逆变一体化设备</w:t>
            </w:r>
            <w:r>
              <w:rPr>
                <w:rFonts w:cs="Times New Roman"/>
              </w:rPr>
              <w:t>产生的噪声，</w:t>
            </w:r>
            <w:r>
              <w:rPr>
                <w:rFonts w:hint="eastAsia" w:cs="Times New Roman"/>
              </w:rPr>
              <w:t>经预测设备噪声均可达到《工业企业厂界环境噪声排放标准》（GB12348-2008）</w:t>
            </w:r>
            <w:r>
              <w:rPr>
                <w:rFonts w:cs="Times New Roman"/>
              </w:rPr>
              <w:t>2</w:t>
            </w:r>
            <w:r>
              <w:rPr>
                <w:rFonts w:hint="eastAsia" w:cs="Times New Roman"/>
              </w:rPr>
              <w:t>类区标准要求。升压站站界处噪声值在</w:t>
            </w:r>
            <w:r>
              <w:rPr>
                <w:rFonts w:cs="Times New Roman"/>
              </w:rPr>
              <w:t>35.86</w:t>
            </w:r>
            <w:r>
              <w:rPr>
                <w:rFonts w:hint="eastAsia" w:cs="Times New Roman"/>
              </w:rPr>
              <w:t>~4</w:t>
            </w:r>
            <w:r>
              <w:rPr>
                <w:rFonts w:cs="Times New Roman"/>
              </w:rPr>
              <w:t>3.80</w:t>
            </w:r>
            <w:r>
              <w:rPr>
                <w:rFonts w:hint="eastAsia" w:cs="Times New Roman"/>
              </w:rPr>
              <w:t>dB（A）之间，噪声值满足《工业企业厂界环境噪声排放标准》（GB12348-2008）中的2类标准的要求。</w:t>
            </w:r>
          </w:p>
          <w:p>
            <w:pPr>
              <w:pStyle w:val="46"/>
              <w:ind w:firstLine="480"/>
              <w:rPr>
                <w:rFonts w:cs="Times New Roman"/>
              </w:rPr>
            </w:pPr>
            <w:r>
              <w:rPr>
                <w:rFonts w:hint="eastAsia" w:cs="Times New Roman"/>
              </w:rPr>
              <w:t>光伏场附近敏感点噪声预测值昼间在37.11～37.86dB (A)之间，夜间在36.61～36.74dB (A)之间满足《声环境质量标准》（GB3096-2008）中的</w:t>
            </w:r>
            <w:r>
              <w:rPr>
                <w:rFonts w:cs="Times New Roman"/>
              </w:rPr>
              <w:t>1</w:t>
            </w:r>
            <w:r>
              <w:rPr>
                <w:rFonts w:hint="eastAsia" w:cs="Times New Roman"/>
              </w:rPr>
              <w:t>类标准要求。</w:t>
            </w:r>
          </w:p>
          <w:p>
            <w:pPr>
              <w:pStyle w:val="24"/>
              <w:ind w:firstLine="482"/>
              <w:rPr>
                <w:rFonts w:cs="Times New Roman"/>
              </w:rPr>
            </w:pPr>
            <w:r>
              <w:rPr>
                <w:rFonts w:cs="Times New Roman"/>
              </w:rPr>
              <w:t>（5）生态</w:t>
            </w:r>
          </w:p>
          <w:p>
            <w:pPr>
              <w:adjustRightInd w:val="0"/>
              <w:snapToGrid w:val="0"/>
              <w:spacing w:line="360" w:lineRule="auto"/>
              <w:ind w:firstLine="480" w:firstLineChars="200"/>
              <w:rPr>
                <w:sz w:val="24"/>
              </w:rPr>
            </w:pPr>
            <w:r>
              <w:rPr>
                <w:sz w:val="24"/>
              </w:rPr>
              <w:t>施工期对生态环境的影响主要表现在破坏植被、水土流失等，在施工结束后对临时占地进行植被恢复并采取各项环保措施后，不会对自然生态造成较大影响。</w:t>
            </w:r>
          </w:p>
          <w:p>
            <w:pPr>
              <w:adjustRightInd w:val="0"/>
              <w:snapToGrid w:val="0"/>
              <w:spacing w:line="360" w:lineRule="auto"/>
              <w:ind w:firstLine="480" w:firstLineChars="200"/>
              <w:rPr>
                <w:sz w:val="24"/>
              </w:rPr>
            </w:pPr>
            <w:r>
              <w:rPr>
                <w:sz w:val="24"/>
              </w:rPr>
              <w:t>运行期在采取环境保护与水土保持措施、对管护、管理人员定期开展生态环境保护培训、生态建设和维护等措施后，不会对自然生态造成较大影响。</w:t>
            </w:r>
          </w:p>
          <w:p>
            <w:pPr>
              <w:adjustRightInd w:val="0"/>
              <w:snapToGrid w:val="0"/>
              <w:spacing w:line="360" w:lineRule="auto"/>
              <w:ind w:firstLine="480" w:firstLineChars="200"/>
              <w:rPr>
                <w:sz w:val="24"/>
              </w:rPr>
            </w:pPr>
            <w:r>
              <w:rPr>
                <w:rFonts w:hint="eastAsia"/>
                <w:sz w:val="24"/>
              </w:rPr>
              <w:t>本工程采用”光储+生态治理”立体化治理新模式，板上发电、板下种植、治沙改土相结合，在获取太阳能清洁能源的同时，实现沙漠治理改良，一方面，基桩固沙，光伏板遮阴降温，为植物生长明显改善环境条件，治沙效果事半功倍；另一方面，绿化治沙能减少风沙侵袭，降低光伏项目的管护成本，可进一步推动种植业、养殖业与林草业等产业进行深度融合。项目建成后可改善局部生态系统。</w:t>
            </w:r>
          </w:p>
          <w:p>
            <w:pPr>
              <w:pStyle w:val="44"/>
              <w:spacing w:before="120"/>
              <w:rPr>
                <w:rFonts w:cs="Times New Roman"/>
                <w:color w:val="auto"/>
              </w:rPr>
            </w:pPr>
            <w:r>
              <w:rPr>
                <w:rFonts w:cs="Times New Roman"/>
                <w:color w:val="auto"/>
              </w:rPr>
              <w:t>5、建议</w:t>
            </w:r>
          </w:p>
          <w:p>
            <w:pPr>
              <w:pStyle w:val="46"/>
              <w:ind w:firstLine="480"/>
              <w:rPr>
                <w:rFonts w:cs="Times New Roman"/>
              </w:rPr>
            </w:pPr>
            <w:r>
              <w:rPr>
                <w:rFonts w:cs="Times New Roman"/>
              </w:rPr>
              <w:t>（1）严格按照报告中提出的污染防治及生态保护措施执行。</w:t>
            </w:r>
          </w:p>
          <w:p>
            <w:pPr>
              <w:pStyle w:val="46"/>
              <w:ind w:firstLine="480"/>
              <w:rPr>
                <w:rFonts w:cs="Times New Roman"/>
              </w:rPr>
            </w:pPr>
            <w:r>
              <w:rPr>
                <w:rFonts w:cs="Times New Roman"/>
              </w:rPr>
              <w:t>（2）针对项目建设造成的生态问题，应与地方部门紧密协作，建立有效的生态综合整治机制和专门机构，负责生态恢复工作，将光伏场建设成为生态环境优良的区域。</w:t>
            </w:r>
          </w:p>
          <w:p>
            <w:pPr>
              <w:pStyle w:val="46"/>
              <w:ind w:firstLine="480"/>
              <w:rPr>
                <w:rFonts w:cs="Times New Roman"/>
                <w:szCs w:val="21"/>
              </w:rPr>
            </w:pPr>
            <w:r>
              <w:rPr>
                <w:rFonts w:cs="Times New Roman"/>
              </w:rPr>
              <w:t>（3）各施工单位要制定严格的环保规章制度，提高人们的环保意识，使环境保护成为人们的自觉行动。</w:t>
            </w:r>
          </w:p>
          <w:p>
            <w:pPr>
              <w:pStyle w:val="44"/>
              <w:spacing w:before="120"/>
              <w:rPr>
                <w:rFonts w:cs="Times New Roman"/>
                <w:color w:val="auto"/>
              </w:rPr>
            </w:pPr>
            <w:r>
              <w:rPr>
                <w:rFonts w:cs="Times New Roman"/>
                <w:color w:val="auto"/>
              </w:rPr>
              <w:t>6、综合评价结论</w:t>
            </w:r>
          </w:p>
          <w:p>
            <w:pPr>
              <w:pStyle w:val="46"/>
              <w:ind w:firstLine="480"/>
              <w:rPr>
                <w:rFonts w:cs="Times New Roman"/>
              </w:rPr>
            </w:pPr>
            <w:r>
              <w:rPr>
                <w:rFonts w:hint="eastAsia" w:cs="Times New Roman"/>
              </w:rPr>
              <w:t>巴彦淖尔100万千瓦光储+生态治理项目</w:t>
            </w:r>
            <w:r>
              <w:rPr>
                <w:rFonts w:cs="Times New Roman"/>
              </w:rPr>
              <w:t>符合国家产业政策，符合当地环境保护规划和经济发展规划的要求。项目建成营运后对建设资源节约型、环境友好型、生态型社会，提高人民生活水平等均具有重要意义，具有显著的环境效益和社会经济效益。</w:t>
            </w:r>
          </w:p>
          <w:p>
            <w:pPr>
              <w:pStyle w:val="46"/>
              <w:ind w:firstLine="480"/>
              <w:rPr>
                <w:rFonts w:cs="Times New Roman"/>
              </w:rPr>
            </w:pPr>
            <w:r>
              <w:rPr>
                <w:rFonts w:cs="Times New Roman"/>
              </w:rPr>
              <w:t>在项目施工期会给周围局部环境带来扬尘、噪声等环境污染影响和水土流失等生态环境影响，但经采取有效的防治措施后，可避免或减少这些不利影响；运行期污染物产生量较少，各污染物经采取相应治理措施后均能达标排放，项目做到了节能降耗、减少污染物排放对周围环境的影响。在认真落实报告中提出的各项污染防治措施、生态保护措施等要求，严格执行建设项目环保</w:t>
            </w:r>
            <w:r>
              <w:rPr>
                <w:rFonts w:ascii="宋体" w:hAnsi="宋体" w:cs="Times New Roman"/>
              </w:rPr>
              <w:t>“</w:t>
            </w:r>
            <w:r>
              <w:rPr>
                <w:rFonts w:cs="Times New Roman"/>
              </w:rPr>
              <w:t>三同时</w:t>
            </w:r>
            <w:r>
              <w:rPr>
                <w:rFonts w:ascii="宋体" w:hAnsi="宋体" w:cs="Times New Roman"/>
                <w:snapToGrid/>
              </w:rPr>
              <w:t>”</w:t>
            </w:r>
            <w:r>
              <w:rPr>
                <w:rFonts w:cs="Times New Roman"/>
              </w:rPr>
              <w:t>制度并强化施工期环境监理的前提下，本项目的建设从环保角度来看是可行的。</w:t>
            </w:r>
          </w:p>
          <w:p>
            <w:pPr>
              <w:pStyle w:val="46"/>
              <w:ind w:firstLine="0" w:firstLineChars="0"/>
              <w:rPr>
                <w:rFonts w:cs="Times New Roman"/>
              </w:rPr>
            </w:pPr>
          </w:p>
        </w:tc>
      </w:tr>
    </w:tbl>
    <w:p>
      <w:pPr>
        <w:pStyle w:val="13"/>
        <w:spacing w:before="192" w:beforeLines="80" w:beforeAutospacing="0"/>
        <w:outlineLvl w:val="0"/>
        <w:rPr>
          <w:rFonts w:ascii="Times New Roman" w:hAnsi="Times New Roman"/>
          <w:sz w:val="30"/>
          <w:szCs w:val="30"/>
        </w:rPr>
      </w:pPr>
      <w:r>
        <w:rPr>
          <w:rFonts w:ascii="Times New Roman" w:hAnsi="Times New Roman"/>
          <w:snapToGrid w:val="0"/>
          <w:sz w:val="32"/>
          <w:szCs w:val="32"/>
        </w:rPr>
        <w:br w:type="page"/>
      </w:r>
      <w:r>
        <w:rPr>
          <w:rFonts w:ascii="Times New Roman" w:hAnsi="Times New Roman"/>
          <w:sz w:val="30"/>
          <w:szCs w:val="30"/>
        </w:rPr>
        <w:t>附件及附图</w:t>
      </w:r>
    </w:p>
    <w:p>
      <w:pPr>
        <w:adjustRightInd w:val="0"/>
        <w:snapToGrid w:val="0"/>
        <w:spacing w:line="360" w:lineRule="auto"/>
        <w:ind w:firstLine="562" w:firstLineChars="200"/>
        <w:rPr>
          <w:b/>
          <w:bCs/>
          <w:sz w:val="28"/>
          <w:szCs w:val="28"/>
        </w:rPr>
      </w:pPr>
      <w:r>
        <w:rPr>
          <w:b/>
          <w:bCs/>
          <w:sz w:val="28"/>
          <w:szCs w:val="28"/>
        </w:rPr>
        <w:t>1 附图</w:t>
      </w:r>
    </w:p>
    <w:p>
      <w:pPr>
        <w:adjustRightInd w:val="0"/>
        <w:snapToGrid w:val="0"/>
        <w:spacing w:line="360" w:lineRule="auto"/>
        <w:ind w:firstLine="560" w:firstLineChars="200"/>
        <w:rPr>
          <w:sz w:val="28"/>
          <w:szCs w:val="28"/>
        </w:rPr>
      </w:pPr>
      <w:r>
        <w:rPr>
          <w:sz w:val="28"/>
          <w:szCs w:val="28"/>
        </w:rPr>
        <w:t>附图1 项目地理位置图</w:t>
      </w:r>
    </w:p>
    <w:p>
      <w:pPr>
        <w:adjustRightInd w:val="0"/>
        <w:snapToGrid w:val="0"/>
        <w:spacing w:line="360" w:lineRule="auto"/>
        <w:ind w:firstLine="560" w:firstLineChars="200"/>
        <w:rPr>
          <w:sz w:val="28"/>
          <w:szCs w:val="28"/>
        </w:rPr>
      </w:pPr>
      <w:r>
        <w:rPr>
          <w:rFonts w:hint="eastAsia"/>
          <w:sz w:val="28"/>
          <w:szCs w:val="28"/>
        </w:rPr>
        <w:t>附图2</w:t>
      </w:r>
      <w:r>
        <w:rPr>
          <w:sz w:val="28"/>
          <w:szCs w:val="28"/>
        </w:rPr>
        <w:t>光伏场</w:t>
      </w:r>
      <w:r>
        <w:rPr>
          <w:rFonts w:hint="eastAsia"/>
          <w:sz w:val="28"/>
          <w:szCs w:val="28"/>
        </w:rPr>
        <w:t>总平面布置图</w:t>
      </w:r>
    </w:p>
    <w:p>
      <w:pPr>
        <w:adjustRightInd w:val="0"/>
        <w:snapToGrid w:val="0"/>
        <w:spacing w:line="360" w:lineRule="auto"/>
        <w:ind w:firstLine="560" w:firstLineChars="200"/>
        <w:rPr>
          <w:sz w:val="28"/>
          <w:szCs w:val="28"/>
        </w:rPr>
      </w:pPr>
      <w:r>
        <w:rPr>
          <w:sz w:val="28"/>
          <w:szCs w:val="28"/>
        </w:rPr>
        <w:t>附图3光伏场地块</w:t>
      </w:r>
      <w:r>
        <w:rPr>
          <w:rFonts w:hint="eastAsia"/>
          <w:sz w:val="28"/>
          <w:szCs w:val="28"/>
        </w:rPr>
        <w:t>4、5、6</w:t>
      </w:r>
      <w:r>
        <w:rPr>
          <w:sz w:val="28"/>
          <w:szCs w:val="28"/>
        </w:rPr>
        <w:t>监测布点图</w:t>
      </w:r>
    </w:p>
    <w:p>
      <w:pPr>
        <w:adjustRightInd w:val="0"/>
        <w:snapToGrid w:val="0"/>
        <w:spacing w:line="360" w:lineRule="auto"/>
        <w:ind w:firstLine="560" w:firstLineChars="200"/>
        <w:rPr>
          <w:sz w:val="28"/>
          <w:szCs w:val="28"/>
        </w:rPr>
      </w:pPr>
      <w:r>
        <w:rPr>
          <w:sz w:val="28"/>
          <w:szCs w:val="28"/>
        </w:rPr>
        <w:t>附图</w:t>
      </w:r>
      <w:r>
        <w:rPr>
          <w:rFonts w:hint="eastAsia"/>
          <w:sz w:val="28"/>
          <w:szCs w:val="28"/>
        </w:rPr>
        <w:t>4</w:t>
      </w:r>
      <w:r>
        <w:rPr>
          <w:sz w:val="28"/>
          <w:szCs w:val="28"/>
        </w:rPr>
        <w:t>光伏场地块2、</w:t>
      </w:r>
      <w:r>
        <w:rPr>
          <w:rFonts w:hint="eastAsia"/>
          <w:sz w:val="28"/>
          <w:szCs w:val="28"/>
        </w:rPr>
        <w:t>3、升压站</w:t>
      </w:r>
      <w:r>
        <w:rPr>
          <w:sz w:val="28"/>
          <w:szCs w:val="28"/>
        </w:rPr>
        <w:t>监测布点图</w:t>
      </w:r>
    </w:p>
    <w:p>
      <w:pPr>
        <w:adjustRightInd w:val="0"/>
        <w:snapToGrid w:val="0"/>
        <w:spacing w:line="360" w:lineRule="auto"/>
        <w:ind w:firstLine="560" w:firstLineChars="200"/>
        <w:rPr>
          <w:sz w:val="28"/>
          <w:szCs w:val="28"/>
        </w:rPr>
      </w:pPr>
      <w:r>
        <w:rPr>
          <w:sz w:val="28"/>
          <w:szCs w:val="28"/>
        </w:rPr>
        <w:t>附图5光伏场地块1监测布点图</w:t>
      </w:r>
    </w:p>
    <w:p>
      <w:pPr>
        <w:adjustRightInd w:val="0"/>
        <w:snapToGrid w:val="0"/>
        <w:spacing w:line="360" w:lineRule="auto"/>
        <w:ind w:firstLine="560" w:firstLineChars="200"/>
        <w:rPr>
          <w:sz w:val="28"/>
          <w:szCs w:val="28"/>
        </w:rPr>
      </w:pPr>
      <w:r>
        <w:rPr>
          <w:sz w:val="28"/>
          <w:szCs w:val="28"/>
        </w:rPr>
        <w:t>附图6升压站平面布置图</w:t>
      </w:r>
    </w:p>
    <w:p>
      <w:pPr>
        <w:adjustRightInd w:val="0"/>
        <w:snapToGrid w:val="0"/>
        <w:spacing w:line="360" w:lineRule="auto"/>
        <w:ind w:firstLine="560" w:firstLineChars="200"/>
        <w:rPr>
          <w:sz w:val="28"/>
          <w:szCs w:val="28"/>
        </w:rPr>
      </w:pPr>
      <w:r>
        <w:rPr>
          <w:sz w:val="28"/>
          <w:szCs w:val="28"/>
        </w:rPr>
        <w:t>附图7现场照片</w:t>
      </w:r>
    </w:p>
    <w:p>
      <w:pPr>
        <w:adjustRightInd w:val="0"/>
        <w:snapToGrid w:val="0"/>
        <w:spacing w:line="360" w:lineRule="auto"/>
        <w:ind w:firstLine="482" w:firstLineChars="200"/>
        <w:rPr>
          <w:b/>
          <w:bCs/>
          <w:sz w:val="24"/>
        </w:rPr>
      </w:pPr>
      <w:r>
        <w:rPr>
          <w:b/>
          <w:bCs/>
          <w:sz w:val="24"/>
        </w:rPr>
        <w:t xml:space="preserve"> </w:t>
      </w:r>
    </w:p>
    <w:p>
      <w:pPr>
        <w:adjustRightInd w:val="0"/>
        <w:snapToGrid w:val="0"/>
        <w:spacing w:line="360" w:lineRule="auto"/>
        <w:ind w:firstLine="562" w:firstLineChars="200"/>
        <w:rPr>
          <w:b/>
          <w:bCs/>
          <w:sz w:val="28"/>
          <w:szCs w:val="28"/>
        </w:rPr>
      </w:pPr>
      <w:r>
        <w:rPr>
          <w:b/>
          <w:bCs/>
          <w:sz w:val="28"/>
          <w:szCs w:val="28"/>
        </w:rPr>
        <w:t>2 附件</w:t>
      </w:r>
    </w:p>
    <w:p>
      <w:pPr>
        <w:adjustRightInd w:val="0"/>
        <w:snapToGrid w:val="0"/>
        <w:spacing w:line="360" w:lineRule="auto"/>
        <w:ind w:firstLine="560" w:firstLineChars="200"/>
        <w:rPr>
          <w:sz w:val="28"/>
          <w:szCs w:val="28"/>
        </w:rPr>
      </w:pPr>
      <w:r>
        <w:rPr>
          <w:sz w:val="28"/>
          <w:szCs w:val="28"/>
        </w:rPr>
        <w:t xml:space="preserve">附件1 </w:t>
      </w:r>
      <w:r>
        <w:rPr>
          <w:rFonts w:hint="eastAsia"/>
          <w:sz w:val="28"/>
          <w:szCs w:val="28"/>
        </w:rPr>
        <w:t>项目备案告知书</w:t>
      </w:r>
    </w:p>
    <w:p>
      <w:pPr>
        <w:adjustRightInd w:val="0"/>
        <w:snapToGrid w:val="0"/>
        <w:spacing w:line="360" w:lineRule="auto"/>
        <w:ind w:firstLine="560" w:firstLineChars="200"/>
        <w:rPr>
          <w:sz w:val="28"/>
          <w:szCs w:val="28"/>
        </w:rPr>
      </w:pPr>
      <w:r>
        <w:rPr>
          <w:sz w:val="28"/>
          <w:szCs w:val="28"/>
        </w:rPr>
        <w:t xml:space="preserve">附件2 </w:t>
      </w:r>
      <w:r>
        <w:rPr>
          <w:rFonts w:hint="eastAsia"/>
          <w:sz w:val="28"/>
          <w:szCs w:val="28"/>
        </w:rPr>
        <w:t>本项目委托书</w:t>
      </w:r>
    </w:p>
    <w:p>
      <w:pPr>
        <w:adjustRightInd w:val="0"/>
        <w:snapToGrid w:val="0"/>
        <w:spacing w:line="360" w:lineRule="auto"/>
        <w:ind w:firstLine="560" w:firstLineChars="200"/>
        <w:rPr>
          <w:sz w:val="28"/>
          <w:szCs w:val="28"/>
        </w:rPr>
      </w:pPr>
      <w:r>
        <w:rPr>
          <w:rFonts w:hint="eastAsia"/>
          <w:sz w:val="28"/>
          <w:szCs w:val="28"/>
        </w:rPr>
        <w:t>附件3 相关单位选址意见</w:t>
      </w:r>
    </w:p>
    <w:p>
      <w:pPr>
        <w:adjustRightInd w:val="0"/>
        <w:snapToGrid w:val="0"/>
        <w:spacing w:line="360" w:lineRule="auto"/>
        <w:ind w:firstLine="560" w:firstLineChars="200"/>
        <w:rPr>
          <w:sz w:val="28"/>
          <w:szCs w:val="28"/>
        </w:rPr>
      </w:pPr>
      <w:r>
        <w:rPr>
          <w:sz w:val="28"/>
          <w:szCs w:val="28"/>
        </w:rPr>
        <w:t>附件4 乌拉特前旗发展和改革委员会同意项目部分厂址涉及尾矿库建设的函</w:t>
      </w:r>
    </w:p>
    <w:p>
      <w:pPr>
        <w:adjustRightInd w:val="0"/>
        <w:snapToGrid w:val="0"/>
        <w:spacing w:line="360" w:lineRule="auto"/>
        <w:ind w:firstLine="560" w:firstLineChars="200"/>
        <w:rPr>
          <w:sz w:val="28"/>
          <w:szCs w:val="28"/>
        </w:rPr>
      </w:pPr>
      <w:r>
        <w:rPr>
          <w:sz w:val="28"/>
          <w:szCs w:val="28"/>
        </w:rPr>
        <w:t>附件5本项目</w:t>
      </w:r>
      <w:r>
        <w:rPr>
          <w:rFonts w:hint="eastAsia"/>
          <w:sz w:val="28"/>
          <w:szCs w:val="28"/>
        </w:rPr>
        <w:t>地质灾害危险性评估报告评审意见</w:t>
      </w:r>
    </w:p>
    <w:p>
      <w:pPr>
        <w:adjustRightInd w:val="0"/>
        <w:snapToGrid w:val="0"/>
        <w:spacing w:line="360" w:lineRule="auto"/>
        <w:ind w:firstLine="560" w:firstLineChars="200"/>
        <w:rPr>
          <w:sz w:val="28"/>
          <w:szCs w:val="28"/>
        </w:rPr>
      </w:pPr>
      <w:r>
        <w:rPr>
          <w:sz w:val="28"/>
          <w:szCs w:val="28"/>
        </w:rPr>
        <w:t>附件</w:t>
      </w:r>
      <w:r>
        <w:rPr>
          <w:rFonts w:hint="eastAsia"/>
          <w:sz w:val="28"/>
          <w:szCs w:val="28"/>
        </w:rPr>
        <w:t>6本项目监测报告</w:t>
      </w:r>
    </w:p>
    <w:p>
      <w:pPr>
        <w:pStyle w:val="13"/>
        <w:adjustRightInd w:val="0"/>
        <w:snapToGrid w:val="0"/>
        <w:spacing w:before="0" w:beforeAutospacing="0" w:after="0" w:afterAutospacing="0" w:line="648" w:lineRule="auto"/>
        <w:jc w:val="center"/>
        <w:outlineLvl w:val="0"/>
        <w:rPr>
          <w:rFonts w:ascii="Times New Roman" w:hAnsi="Times New Roman"/>
        </w:rPr>
        <w:sectPr>
          <w:pgSz w:w="11906" w:h="16838"/>
          <w:pgMar w:top="1440" w:right="1800" w:bottom="1440" w:left="1800" w:header="851" w:footer="1077" w:gutter="0"/>
          <w:cols w:space="720" w:num="1"/>
          <w:docGrid w:linePitch="312" w:charSpace="0"/>
        </w:sectPr>
      </w:pPr>
      <w:r>
        <w:rPr>
          <w:rFonts w:ascii="Times New Roman" w:hAnsi="Times New Roman"/>
        </w:rPr>
        <w:br w:type="page"/>
      </w:r>
    </w:p>
    <w:p>
      <w:pPr>
        <w:pStyle w:val="44"/>
        <w:spacing w:before="120"/>
        <w:jc w:val="center"/>
        <w:rPr>
          <w:rFonts w:cs="Times New Roman"/>
          <w:snapToGrid w:val="0"/>
          <w:color w:val="auto"/>
          <w:sz w:val="24"/>
        </w:rPr>
      </w:pPr>
      <w:r>
        <w:rPr>
          <w:rFonts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4476750</wp:posOffset>
                </wp:positionH>
                <wp:positionV relativeFrom="paragraph">
                  <wp:posOffset>2600325</wp:posOffset>
                </wp:positionV>
                <wp:extent cx="76200" cy="85725"/>
                <wp:effectExtent l="0" t="0" r="19050" b="28575"/>
                <wp:wrapNone/>
                <wp:docPr id="29" name="流程图: 联系 29"/>
                <wp:cNvGraphicFramePr/>
                <a:graphic xmlns:a="http://schemas.openxmlformats.org/drawingml/2006/main">
                  <a:graphicData uri="http://schemas.microsoft.com/office/word/2010/wordprocessingShape">
                    <wps:wsp>
                      <wps:cNvSpPr/>
                      <wps:spPr>
                        <a:xfrm>
                          <a:off x="0" y="0"/>
                          <a:ext cx="76200" cy="8572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52.5pt;margin-top:204.75pt;height:6.75pt;width:6pt;z-index:251673600;v-text-anchor:middle;mso-width-relative:page;mso-height-relative:page;" fillcolor="#FF0000" filled="t" stroked="t" coordsize="21600,21600" o:gfxdata="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Ow8AdsAAAALAQAADwAAAAAA&#10;AAABACAAAAAiAAAAZHJzL2Rvd25yZXYueG1sUEsBAhQAFAAAAAgAh07iQFLNfSaCAgAADAUAAA4A&#10;AAAAAAAAAQAgAAAAKgEAAGRycy9lMm9Eb2MueG1sUEsFBgAAAAAGAAYAWQEAAB4GAAAAAA==&#10;">
                <v:fill on="t" focussize="0,0"/>
                <v:stroke weight="1pt" color="#FF0000 [3204]" miterlimit="8" joinstyle="miter"/>
                <v:imagedata o:title=""/>
                <o:lock v:ext="edit" aspectratio="f"/>
              </v:shape>
            </w:pict>
          </mc:Fallback>
        </mc:AlternateContent>
      </w:r>
      <w:r>
        <w:rPr>
          <w:rFonts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2028825</wp:posOffset>
                </wp:positionH>
                <wp:positionV relativeFrom="paragraph">
                  <wp:posOffset>4048125</wp:posOffset>
                </wp:positionV>
                <wp:extent cx="933450" cy="333375"/>
                <wp:effectExtent l="0" t="1466850" r="1600200" b="28575"/>
                <wp:wrapNone/>
                <wp:docPr id="48" name="圆角矩形标注 48"/>
                <wp:cNvGraphicFramePr/>
                <a:graphic xmlns:a="http://schemas.openxmlformats.org/drawingml/2006/main">
                  <a:graphicData uri="http://schemas.microsoft.com/office/word/2010/wordprocessingShape">
                    <wps:wsp>
                      <wps:cNvSpPr/>
                      <wps:spPr>
                        <a:xfrm>
                          <a:off x="0" y="0"/>
                          <a:ext cx="933450" cy="333375"/>
                        </a:xfrm>
                        <a:prstGeom prst="wedgeRoundRectCallout">
                          <a:avLst>
                            <a:gd name="adj1" fmla="val 214315"/>
                            <a:gd name="adj2" fmla="val -463215"/>
                            <a:gd name="adj3" fmla="val 16667"/>
                          </a:avLst>
                        </a:prstGeom>
                        <a:solidFill>
                          <a:schemeClr val="lt1">
                            <a:alpha val="62000"/>
                          </a:schemeClr>
                        </a:solidFill>
                      </wps:spPr>
                      <wps:style>
                        <a:lnRef idx="2">
                          <a:schemeClr val="accent6"/>
                        </a:lnRef>
                        <a:fillRef idx="1">
                          <a:schemeClr val="lt1"/>
                        </a:fillRef>
                        <a:effectRef idx="0">
                          <a:schemeClr val="accent6"/>
                        </a:effectRef>
                        <a:fontRef idx="minor">
                          <a:schemeClr val="dk1"/>
                        </a:fontRef>
                      </wps:style>
                      <wps:txbx>
                        <w:txbxContent>
                          <w:p>
                            <w:pPr>
                              <w:jc w:val="center"/>
                            </w:pPr>
                            <w: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9.75pt;margin-top:318.75pt;height:26.25pt;width:73.5pt;z-index:251661312;v-text-anchor:middle;mso-width-relative:page;mso-height-relative:page;" fillcolor="#CCE8CF [3201]" filled="t" stroked="t" coordsize="21600,21600" o:gfxdata="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LuMlJDaAAAACwEAAA8AAAAAAAAAAQAgAAAAIgAAAGRycy9kb3ducmV2&#10;LnhtbFBLAQIUABQAAAAIAIdO4kCFoRTT3gIAALYFAAAOAAAAAAAAAAEAIAAAACkBAABkcnMvZTJv&#10;RG9jLnhtbFBLBQYAAAAABgAGAFkBAAB5BgAAAAA=&#10;" adj="57092,-89254,14400">
                <v:fill on="t" opacity="40632f" focussize="0,0"/>
                <v:stroke weight="1pt" color="#70AD47 [3209]" miterlimit="8" joinstyle="miter"/>
                <v:imagedata o:title=""/>
                <o:lock v:ext="edit" aspectratio="f"/>
                <v:textbox>
                  <w:txbxContent>
                    <w:p>
                      <w:pPr>
                        <w:jc w:val="center"/>
                      </w:pPr>
                      <w:r>
                        <w:t>本项目位置</w:t>
                      </w:r>
                    </w:p>
                  </w:txbxContent>
                </v:textbox>
              </v:shape>
            </w:pict>
          </mc:Fallback>
        </mc:AlternateContent>
      </w:r>
      <w:r>
        <w:rPr>
          <w:rFonts w:cs="Times New Roman"/>
          <w:snapToGrid w:val="0"/>
          <w:color w:val="auto"/>
          <w:sz w:val="24"/>
        </w:rPr>
        <w:pict>
          <v:shape id="_x0000_i1027" o:spt="75" type="#_x0000_t75" style="height:367.95pt;width:579.85pt;" filled="f" o:preferrelative="t" stroked="f" coordsize="21600,21600">
            <v:path/>
            <v:fill on="f" focussize="0,0"/>
            <v:stroke on="f" joinstyle="miter"/>
            <v:imagedata r:id="rId28" cropleft="2095f" croptop="9481f" cropright="12068f" cropbottom="9955f" o:title="300-301乌拉特前旗"/>
            <o:lock v:ext="edit" aspectratio="t"/>
            <w10:wrap type="none"/>
            <w10:anchorlock/>
          </v:shape>
        </w:pict>
      </w:r>
    </w:p>
    <w:p>
      <w:pPr>
        <w:pStyle w:val="44"/>
        <w:spacing w:before="120"/>
        <w:jc w:val="center"/>
        <w:rPr>
          <w:rFonts w:cs="Times New Roman"/>
          <w:snapToGrid w:val="0"/>
          <w:color w:val="auto"/>
          <w:sz w:val="24"/>
        </w:rPr>
        <w:sectPr>
          <w:pgSz w:w="16838" w:h="11906" w:orient="landscape"/>
          <w:pgMar w:top="1800" w:right="1440" w:bottom="1800" w:left="1440" w:header="851" w:footer="1077" w:gutter="0"/>
          <w:cols w:space="720" w:num="1"/>
          <w:docGrid w:linePitch="312" w:charSpace="0"/>
        </w:sectPr>
      </w:pPr>
      <w:r>
        <w:rPr>
          <w:rFonts w:cs="Times New Roman"/>
          <w:snapToGrid w:val="0"/>
          <w:color w:val="auto"/>
          <w:sz w:val="24"/>
        </w:rPr>
        <w:t>附图1 项目地理位置图</w:t>
      </w:r>
      <w:r>
        <w:rPr>
          <w:rFonts w:cs="Times New Roman"/>
          <w:snapToGrid w:val="0"/>
          <w:color w:val="auto"/>
          <w:sz w:val="24"/>
        </w:rPr>
        <w:br w:type="page"/>
      </w:r>
    </w:p>
    <w:p>
      <w:pPr>
        <w:rPr>
          <w:snapToGrid w:val="0"/>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3157220</wp:posOffset>
                </wp:positionH>
                <wp:positionV relativeFrom="paragraph">
                  <wp:posOffset>4624070</wp:posOffset>
                </wp:positionV>
                <wp:extent cx="1314450" cy="381000"/>
                <wp:effectExtent l="1409700" t="19050" r="19050" b="19050"/>
                <wp:wrapNone/>
                <wp:docPr id="614" name="圆角矩形标注 614"/>
                <wp:cNvGraphicFramePr/>
                <a:graphic xmlns:a="http://schemas.openxmlformats.org/drawingml/2006/main">
                  <a:graphicData uri="http://schemas.microsoft.com/office/word/2010/wordprocessingShape">
                    <wps:wsp>
                      <wps:cNvSpPr/>
                      <wps:spPr>
                        <a:xfrm>
                          <a:off x="0" y="0"/>
                          <a:ext cx="1314450" cy="381000"/>
                        </a:xfrm>
                        <a:prstGeom prst="wedgeRoundRectCallout">
                          <a:avLst>
                            <a:gd name="adj1" fmla="val -153199"/>
                            <a:gd name="adj2" fmla="val -461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升压站进站</w:t>
                            </w:r>
                            <w: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6pt;margin-top:364.1pt;height:30pt;width:103.5pt;z-index:251737088;v-text-anchor:middle;mso-width-relative:page;mso-height-relative:page;" fillcolor="#CCE8CF [3201]" filled="t" stroked="t" coordsize="21600,21600" o:gfxdata="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W&#10;lxYw1wAAAAsBAAAPAAAAAAAAAAEAIAAAACIAAABkcnMvZG93bnJldi54bWxQSwECFAAUAAAACACH&#10;TuJAZLo6O9ACAACYBQAADgAAAAAAAAABACAAAAAmAQAAZHJzL2Uyb0RvYy54bWxQSwUGAAAAAAYA&#10;BgBZAQAAaAYAAAAA&#10;" adj="-22291,835,14400">
                <v:fill on="t" focussize="0,0"/>
                <v:stroke weight="1pt" color="#70AD47 [3209]" miterlimit="8" joinstyle="miter"/>
                <v:imagedata o:title=""/>
                <o:lock v:ext="edit" aspectratio="f"/>
                <v:textbox>
                  <w:txbxContent>
                    <w:p>
                      <w:pPr>
                        <w:jc w:val="center"/>
                      </w:pPr>
                      <w:r>
                        <w:rPr>
                          <w:rFonts w:hint="eastAsia"/>
                        </w:rPr>
                        <w:t>升压站进站</w:t>
                      </w:r>
                      <w:r>
                        <w:t>道路</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3776345</wp:posOffset>
                </wp:positionH>
                <wp:positionV relativeFrom="paragraph">
                  <wp:posOffset>4176395</wp:posOffset>
                </wp:positionV>
                <wp:extent cx="1314450" cy="314325"/>
                <wp:effectExtent l="666750" t="0" r="19050" b="28575"/>
                <wp:wrapNone/>
                <wp:docPr id="41" name="圆角矩形标注 41"/>
                <wp:cNvGraphicFramePr/>
                <a:graphic xmlns:a="http://schemas.openxmlformats.org/drawingml/2006/main">
                  <a:graphicData uri="http://schemas.microsoft.com/office/word/2010/wordprocessingShape">
                    <wps:wsp>
                      <wps:cNvSpPr/>
                      <wps:spPr>
                        <a:xfrm>
                          <a:off x="0" y="0"/>
                          <a:ext cx="1314450" cy="314325"/>
                        </a:xfrm>
                        <a:prstGeom prst="wedgeRoundRectCallout">
                          <a:avLst>
                            <a:gd name="adj1" fmla="val -96919"/>
                            <a:gd name="adj2" fmla="val 795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施工生产</w:t>
                            </w:r>
                            <w:r>
                              <w:t>生活区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35pt;margin-top:328.85pt;height:24.75pt;width:103.5pt;z-index:251662336;v-text-anchor:middle;mso-width-relative:page;mso-height-relative:page;" fillcolor="#CCE8CF [3201]" filled="t" stroked="t" coordsize="21600,21600" o:gfxdata="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sMtY3X&#10;AAAACwEAAA8AAAAAAAAAAQAgAAAAIgAAAGRycy9kb3ducmV2LnhtbFBLAQIUABQAAAAIAIdO4kB7&#10;qnJFzAIAAJMFAAAOAAAAAAAAAAEAIAAAACYBAABkcnMvZTJvRG9jLnhtbFBLBQYAAAAABgAGAFkB&#10;AABkBgAAAAA=&#10;" adj="-10135,12518,14400">
                <v:fill on="t" focussize="0,0"/>
                <v:stroke weight="1pt" color="#70AD47 [3209]" miterlimit="8" joinstyle="miter"/>
                <v:imagedata o:title=""/>
                <o:lock v:ext="edit" aspectratio="f"/>
                <v:textbox>
                  <w:txbxContent>
                    <w:p>
                      <w:pPr>
                        <w:jc w:val="center"/>
                      </w:pPr>
                      <w:r>
                        <w:rPr>
                          <w:rFonts w:hint="eastAsia"/>
                        </w:rPr>
                        <w:t>施工生产</w:t>
                      </w:r>
                      <w:r>
                        <w:t>生活区</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4785995</wp:posOffset>
                </wp:positionH>
                <wp:positionV relativeFrom="paragraph">
                  <wp:posOffset>1918970</wp:posOffset>
                </wp:positionV>
                <wp:extent cx="619125" cy="381000"/>
                <wp:effectExtent l="1885950" t="19050" r="28575" b="19050"/>
                <wp:wrapNone/>
                <wp:docPr id="39" name="圆角矩形标注 39"/>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343553"/>
                            <a:gd name="adj2" fmla="val -286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76.85pt;margin-top:151.1pt;height:30pt;width:48.75pt;z-index:251678720;v-text-anchor:middle;mso-width-relative:page;mso-height-relative:page;" fillcolor="#CCE8CF [3201]" filled="t" stroked="t" coordsize="21600,21600" o:gfxdata="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EQxB7aAAAACwEAAA8AAAAAAAAAAQAgAAAAIgAAAGRycy9kb3ducmV2LnhtbFBLAQIUABQAAAAI&#10;AIdO4kAHIpmhzwIAAJUFAAAOAAAAAAAAAAEAIAAAACkBAABkcnMvZTJvRG9jLnhtbFBLBQYAAAAA&#10;BgAGAFkBAABqBgAAAAA=&#10;" adj="-63407,4615,14400">
                <v:fill on="t" focussize="0,0"/>
                <v:stroke weight="1pt" color="#70AD47 [3209]" miterlimit="8" joinstyle="miter"/>
                <v:imagedata o:title=""/>
                <o:lock v:ext="edit" aspectratio="f"/>
                <v:textbox>
                  <w:txbxContent>
                    <w:p>
                      <w:pPr>
                        <w:jc w:val="center"/>
                      </w:pPr>
                      <w:r>
                        <w:t>地块5</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4783455</wp:posOffset>
                </wp:positionH>
                <wp:positionV relativeFrom="paragraph">
                  <wp:posOffset>990600</wp:posOffset>
                </wp:positionV>
                <wp:extent cx="619125" cy="381000"/>
                <wp:effectExtent l="1905000" t="19050" r="28575" b="19050"/>
                <wp:wrapNone/>
                <wp:docPr id="42" name="圆角矩形标注 42"/>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345091"/>
                            <a:gd name="adj2" fmla="val -536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76.65pt;margin-top:78pt;height:30pt;width:48.75pt;z-index:251679744;v-text-anchor:middle;mso-width-relative:page;mso-height-relative:page;" fillcolor="#CCE8CF [3201]" filled="t" stroked="t" coordsize="21600,21600" o:gfxdata="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1C9dPZAAAACwEAAA8AAAAAAAAAAQAgAAAAIgAAAGRycy9kb3ducmV2LnhtbFBLAQIUABQAAAAI&#10;AIdO4kADHYp30AIAAJUFAAAOAAAAAAAAAAEAIAAAACgBAABkcnMvZTJvRG9jLnhtbFBLBQYAAAAA&#10;BgAGAFkBAABqBgAAAAA=&#10;" adj="-63740,-785,14400">
                <v:fill on="t" focussize="0,0"/>
                <v:stroke weight="1pt" color="#70AD47 [3209]" miterlimit="8" joinstyle="miter"/>
                <v:imagedata o:title=""/>
                <o:lock v:ext="edit" aspectratio="f"/>
                <v:textbox>
                  <w:txbxContent>
                    <w:p>
                      <w:pPr>
                        <w:jc w:val="center"/>
                      </w:pPr>
                      <w:r>
                        <w:t>地块6</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4173855</wp:posOffset>
                </wp:positionH>
                <wp:positionV relativeFrom="paragraph">
                  <wp:posOffset>2552700</wp:posOffset>
                </wp:positionV>
                <wp:extent cx="619125" cy="381000"/>
                <wp:effectExtent l="1981200" t="400050" r="28575" b="19050"/>
                <wp:wrapNone/>
                <wp:docPr id="37" name="圆角矩形标注 37"/>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358937"/>
                            <a:gd name="adj2" fmla="val -1486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8.65pt;margin-top:201pt;height:30pt;width:48.75pt;z-index:251677696;v-text-anchor:middle;mso-width-relative:page;mso-height-relative:page;" fillcolor="#CCE8CF [3201]" filled="t" stroked="t" coordsize="21600,21600" o:gfxdata="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isdpG1wAAAAsBAAAPAAAAAAAAAAEAIAAAACIAAABkcnMvZG93bnJldi54bWxQSwECFAAUAAAA&#10;CACHTuJABrO+XdMCAACWBQAADgAAAAAAAAABACAAAAAmAQAAZHJzL2Uyb0RvYy54bWxQSwUGAAAA&#10;AAYABgBZAQAAawYAAAAA&#10;" adj="-66730,-21305,14400">
                <v:fill on="t" focussize="0,0"/>
                <v:stroke weight="1pt" color="#70AD47 [3209]" miterlimit="8" joinstyle="miter"/>
                <v:imagedata o:title=""/>
                <o:lock v:ext="edit" aspectratio="f"/>
                <v:textbox>
                  <w:txbxContent>
                    <w:p>
                      <w:pPr>
                        <w:jc w:val="center"/>
                      </w:pPr>
                      <w:r>
                        <w:t>地块4</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3154680</wp:posOffset>
                </wp:positionH>
                <wp:positionV relativeFrom="paragraph">
                  <wp:posOffset>3581400</wp:posOffset>
                </wp:positionV>
                <wp:extent cx="752475" cy="381000"/>
                <wp:effectExtent l="1447800" t="0" r="28575" b="171450"/>
                <wp:wrapNone/>
                <wp:docPr id="36" name="圆角矩形标注 36"/>
                <wp:cNvGraphicFramePr/>
                <a:graphic xmlns:a="http://schemas.openxmlformats.org/drawingml/2006/main">
                  <a:graphicData uri="http://schemas.microsoft.com/office/word/2010/wordprocessingShape">
                    <wps:wsp>
                      <wps:cNvSpPr/>
                      <wps:spPr>
                        <a:xfrm>
                          <a:off x="0" y="0"/>
                          <a:ext cx="752475" cy="381000"/>
                        </a:xfrm>
                        <a:prstGeom prst="wedgeRoundRectCallout">
                          <a:avLst>
                            <a:gd name="adj1" fmla="val -234166"/>
                            <a:gd name="adj2" fmla="val 83864"/>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升压站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4pt;margin-top:282pt;height:30pt;width:59.25pt;z-index:251676672;v-text-anchor:middle;mso-width-relative:page;mso-height-relative:page;" fillcolor="#CCE8CF [3201]" filled="t" stroked="t" coordsize="21600,21600" o:gfxdata="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1xM2StoAAAALAQAADwAAAAAAAAABACAAAAAiAAAAZHJzL2Rvd25yZXYueG1sUEsBAhQAFAAA&#10;AAgAh07iQJ4O6xfRAgAAlAUAAA4AAAAAAAAAAQAgAAAAKQEAAGRycy9lMm9Eb2MueG1sUEsFBgAA&#10;AAAGAAYAWQEAAGwGAAAAAA==&#10;" adj="-39780,28915,14400">
                <v:fill on="t" focussize="0,0"/>
                <v:stroke weight="1pt" color="#70AD47 [3209]" miterlimit="8" joinstyle="miter"/>
                <v:imagedata o:title=""/>
                <o:lock v:ext="edit" aspectratio="f"/>
                <v:textbox>
                  <w:txbxContent>
                    <w:p>
                      <w:pPr>
                        <w:jc w:val="center"/>
                      </w:pPr>
                      <w:r>
                        <w:rPr>
                          <w:rFonts w:hint="eastAsia"/>
                        </w:rPr>
                        <w:t>升压站</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2840355</wp:posOffset>
                </wp:positionH>
                <wp:positionV relativeFrom="paragraph">
                  <wp:posOffset>2933700</wp:posOffset>
                </wp:positionV>
                <wp:extent cx="619125" cy="381000"/>
                <wp:effectExtent l="1371600" t="0" r="28575" b="114300"/>
                <wp:wrapNone/>
                <wp:docPr id="35" name="圆角矩形标注 35"/>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262014"/>
                            <a:gd name="adj2" fmla="val 68864"/>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3.65pt;margin-top:231pt;height:30pt;width:48.75pt;z-index:251675648;v-text-anchor:middle;mso-width-relative:page;mso-height-relative:page;" fillcolor="#CCE8CF [3201]" filled="t" stroked="t" coordsize="21600,21600" o:gfxdata="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x&#10;7B312QAAAAsBAAAPAAAAAAAAAAEAIAAAACIAAABkcnMvZG93bnJldi54bWxQSwECFAAUAAAACACH&#10;TuJAB/AgCM4CAACUBQAADgAAAAAAAAABACAAAAAoAQAAZHJzL2Uyb0RvYy54bWxQSwUGAAAAAAYA&#10;BgBZAQAAaAYAAAAA&#10;" adj="-45795,25675,14400">
                <v:fill on="t" focussize="0,0"/>
                <v:stroke weight="1pt" color="#70AD47 [3209]" miterlimit="8" joinstyle="miter"/>
                <v:imagedata o:title=""/>
                <o:lock v:ext="edit" aspectratio="f"/>
                <v:textbox>
                  <w:txbxContent>
                    <w:p>
                      <w:pPr>
                        <w:jc w:val="center"/>
                      </w:pPr>
                      <w:r>
                        <w:t>地块3</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2247900</wp:posOffset>
                </wp:positionV>
                <wp:extent cx="962025" cy="381000"/>
                <wp:effectExtent l="0" t="952500" r="200025" b="19050"/>
                <wp:wrapNone/>
                <wp:docPr id="55" name="圆角矩形标注 55"/>
                <wp:cNvGraphicFramePr/>
                <a:graphic xmlns:a="http://schemas.openxmlformats.org/drawingml/2006/main">
                  <a:graphicData uri="http://schemas.microsoft.com/office/word/2010/wordprocessingShape">
                    <wps:wsp>
                      <wps:cNvSpPr/>
                      <wps:spPr>
                        <a:xfrm>
                          <a:off x="0" y="0"/>
                          <a:ext cx="962025" cy="381000"/>
                        </a:xfrm>
                        <a:prstGeom prst="wedgeRoundRectCallout">
                          <a:avLst>
                            <a:gd name="adj1" fmla="val 64681"/>
                            <a:gd name="adj2" fmla="val -2886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光伏板区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0.05pt;margin-top:177pt;height:30pt;width:75.75pt;z-index:251664384;v-text-anchor:middle;mso-width-relative:page;mso-height-relative:page;" fillcolor="#CCE8CF [3201]" filled="t" stroked="t" coordsize="21600,21600" o:gfxdata="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0BWnDNkAAAAJAQAADwAAAAAAAAABACAAAAAiAAAAZHJzL2Rvd25yZXYueG1sUEsBAhQAFAAAAAgA&#10;h07iQC9IzsDPAgAAlAUAAA4AAAAAAAAAAQAgAAAAKAEAAGRycy9lMm9Eb2MueG1sUEsFBgAAAAAG&#10;AAYAWQEAAGkGAAAAAA==&#10;" adj="24771,-51545,14400">
                <v:fill on="t" focussize="0,0"/>
                <v:stroke weight="1pt" color="#70AD47 [3209]" miterlimit="8" joinstyle="miter"/>
                <v:imagedata o:title=""/>
                <o:lock v:ext="edit" aspectratio="f"/>
                <v:textbox>
                  <w:txbxContent>
                    <w:p>
                      <w:pPr>
                        <w:jc w:val="center"/>
                      </w:pPr>
                      <w:r>
                        <w:rPr>
                          <w:rFonts w:hint="eastAsia"/>
                        </w:rPr>
                        <w:t>光伏板区</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-179070</wp:posOffset>
                </wp:positionH>
                <wp:positionV relativeFrom="paragraph">
                  <wp:posOffset>4743450</wp:posOffset>
                </wp:positionV>
                <wp:extent cx="619125" cy="381000"/>
                <wp:effectExtent l="0" t="685800" r="561975" b="19050"/>
                <wp:wrapNone/>
                <wp:docPr id="32" name="圆角矩形标注 32"/>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128755"/>
                            <a:gd name="adj2" fmla="val -218636"/>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1pt;margin-top:373.5pt;height:30pt;width:48.75pt;z-index:251674624;v-text-anchor:middle;mso-width-relative:page;mso-height-relative:page;" fillcolor="#CCE8CF [3201]" filled="t" stroked="t" coordsize="21600,21600" o:gfxdata="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E6P9DYAAAACgEAAA8AAAAAAAAAAQAgAAAAIgAAAGRycy9kb3ducmV2LnhtbFBLAQIUABQAAAAI&#10;AIdO4kDJwTox0QIAAJUFAAAOAAAAAAAAAAEAIAAAACcBAABkcnMvZTJvRG9jLnhtbFBLBQYAAAAA&#10;BgAGAFkBAABqBgAAAAA=&#10;" adj="38611,-36425,14400">
                <v:fill on="t" focussize="0,0"/>
                <v:stroke weight="1pt" color="#70AD47 [3209]" miterlimit="8" joinstyle="miter"/>
                <v:imagedata o:title=""/>
                <o:lock v:ext="edit" aspectratio="f"/>
                <v:textbox>
                  <w:txbxContent>
                    <w:p>
                      <w:pPr>
                        <w:jc w:val="center"/>
                      </w:pPr>
                      <w:r>
                        <w:t>地块2</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4469130</wp:posOffset>
                </wp:positionH>
                <wp:positionV relativeFrom="paragraph">
                  <wp:posOffset>5715000</wp:posOffset>
                </wp:positionV>
                <wp:extent cx="619125" cy="381000"/>
                <wp:effectExtent l="762000" t="0" r="28575" b="933450"/>
                <wp:wrapNone/>
                <wp:docPr id="52" name="圆角矩形标注 52"/>
                <wp:cNvGraphicFramePr/>
                <a:graphic xmlns:a="http://schemas.openxmlformats.org/drawingml/2006/main">
                  <a:graphicData uri="http://schemas.microsoft.com/office/word/2010/wordprocessingShape">
                    <wps:wsp>
                      <wps:cNvSpPr/>
                      <wps:spPr>
                        <a:xfrm>
                          <a:off x="0" y="0"/>
                          <a:ext cx="619125" cy="381000"/>
                        </a:xfrm>
                        <a:prstGeom prst="wedgeRoundRectCallout">
                          <a:avLst>
                            <a:gd name="adj1" fmla="val -163553"/>
                            <a:gd name="adj2" fmla="val 278864"/>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w:t>
                            </w: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1.9pt;margin-top:450pt;height:30pt;width:48.75pt;z-index:251663360;v-text-anchor:middle;mso-width-relative:page;mso-height-relative:page;" fillcolor="#CCE8CF [3201]" filled="t" stroked="t" coordsize="21600,21600" o:gfxdata="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lGlkx2gAAAAsBAAAPAAAAAAAAAAEAIAAAACIAAABkcnMvZG93bnJldi54bWxQSwECFAAUAAAA&#10;CACHTuJABw0vf9ACAACVBQAADgAAAAAAAAABACAAAAApAQAAZHJzL2Uyb0RvYy54bWxQSwUGAAAA&#10;AAYABgBZAQAAawYAAAAA&#10;" adj="-24527,71035,14400">
                <v:fill on="t" focussize="0,0"/>
                <v:stroke weight="1pt" color="#70AD47 [3209]" miterlimit="8" joinstyle="miter"/>
                <v:imagedata o:title=""/>
                <o:lock v:ext="edit" aspectratio="f"/>
                <v:textbox>
                  <w:txbxContent>
                    <w:p>
                      <w:pPr>
                        <w:jc w:val="center"/>
                      </w:pPr>
                      <w:r>
                        <w:t>地块</w:t>
                      </w:r>
                      <w:r>
                        <w:rPr>
                          <w:rFonts w:hint="eastAsia"/>
                        </w:rPr>
                        <w:t>1</w:t>
                      </w:r>
                    </w:p>
                  </w:txbxContent>
                </v:textbox>
              </v:shape>
            </w:pict>
          </mc:Fallback>
        </mc:AlternateContent>
      </w:r>
      <w:r>
        <w:rPr>
          <w:snapToGrid w:val="0"/>
          <w:sz w:val="24"/>
        </w:rPr>
        <w:pict>
          <v:shape id="_x0000_i1028" o:spt="75" type="#_x0000_t75" style="height:592.8pt;width:418.6pt;" filled="f" o:preferrelative="t" stroked="f" coordsize="21600,21600">
            <v:path/>
            <v:fill on="f" focussize="0,0"/>
            <v:stroke on="f" joinstyle="miter"/>
            <v:imagedata r:id="rId29" o:title="光伏场平面图"/>
            <o:lock v:ext="edit" aspectratio="t"/>
            <w10:wrap type="none"/>
            <w10:anchorlock/>
          </v:shape>
        </w:pict>
      </w:r>
    </w:p>
    <w:p>
      <w:pPr>
        <w:pStyle w:val="44"/>
        <w:spacing w:before="156"/>
        <w:jc w:val="center"/>
        <w:rPr>
          <w:rFonts w:cs="Times New Roman"/>
          <w:snapToGrid w:val="0"/>
          <w:color w:val="auto"/>
          <w:sz w:val="24"/>
        </w:rPr>
      </w:pPr>
      <w:r>
        <w:rPr>
          <w:rFonts w:cs="Times New Roman"/>
          <w:snapToGrid w:val="0"/>
          <w:color w:val="auto"/>
          <w:sz w:val="24"/>
        </w:rPr>
        <w:t>附图2光伏场</w:t>
      </w:r>
      <w:r>
        <w:rPr>
          <w:rFonts w:hint="eastAsia" w:cs="Times New Roman"/>
          <w:snapToGrid w:val="0"/>
          <w:color w:val="auto"/>
          <w:sz w:val="24"/>
        </w:rPr>
        <w:t>总平面布置图</w:t>
      </w:r>
    </w:p>
    <w:p>
      <w:pPr>
        <w:adjustRightInd w:val="0"/>
        <w:spacing w:before="156" w:beforeLines="50" w:after="100" w:afterAutospacing="1" w:line="240" w:lineRule="atLeast"/>
        <w:rPr>
          <w:rFonts w:eastAsia="仿宋_GB2312"/>
          <w:szCs w:val="21"/>
        </w:rPr>
        <w:sectPr>
          <w:footerReference r:id="rId6" w:type="even"/>
          <w:pgSz w:w="12242" w:h="15842"/>
          <w:pgMar w:top="1418" w:right="1418" w:bottom="1418" w:left="1418" w:header="851" w:footer="992" w:gutter="0"/>
          <w:pgNumType w:fmt="numberInDash"/>
          <w:cols w:space="720" w:num="1"/>
          <w:docGrid w:type="linesAndChars" w:linePitch="312" w:charSpace="0"/>
        </w:sectPr>
      </w:pPr>
    </w:p>
    <w:p>
      <w:pPr>
        <w:jc w:val="center"/>
        <w:rPr>
          <w:rFonts w:eastAsia="仿宋_GB2312"/>
        </w:rPr>
      </w:pPr>
      <w:r>
        <w:rPr>
          <w:rFonts w:ascii="Calibri" w:hAnsi="Calibri"/>
          <w:szCs w:val="22"/>
        </w:rPr>
        <w:drawing>
          <wp:anchor distT="0" distB="0" distL="114300" distR="114300" simplePos="0" relativeHeight="251727872" behindDoc="0" locked="0" layoutInCell="1" allowOverlap="1">
            <wp:simplePos x="0" y="0"/>
            <wp:positionH relativeFrom="margin">
              <wp:posOffset>66675</wp:posOffset>
            </wp:positionH>
            <wp:positionV relativeFrom="paragraph">
              <wp:posOffset>46355</wp:posOffset>
            </wp:positionV>
            <wp:extent cx="333375" cy="476250"/>
            <wp:effectExtent l="0" t="0" r="0" b="0"/>
            <wp:wrapNone/>
            <wp:docPr id="601" name="图片 601" descr="D:\工作\公用资料图标\指北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D:\工作\公用资料图标\指北针.jpg"/>
                    <pic:cNvPicPr>
                      <a:picLocks noChangeAspect="1" noChangeArrowheads="1"/>
                    </pic:cNvPicPr>
                  </pic:nvPicPr>
                  <pic:blipFill>
                    <a:blip r:embed="rId30" cstate="print">
                      <a:extLst>
                        <a:ext uri="{28A0092B-C50C-407E-A947-70E740481C1C}">
                          <a14:useLocalDpi xmlns:a14="http://schemas.microsoft.com/office/drawing/2010/main" val="0"/>
                        </a:ext>
                      </a:extLst>
                    </a:blip>
                    <a:srcRect l="9934" r="34076"/>
                    <a:stretch>
                      <a:fillRect/>
                    </a:stretch>
                  </pic:blipFill>
                  <pic:spPr>
                    <a:xfrm>
                      <a:off x="0" y="0"/>
                      <a:ext cx="333318" cy="476250"/>
                    </a:xfrm>
                    <a:prstGeom prst="rect">
                      <a:avLst/>
                    </a:prstGeom>
                    <a:noFill/>
                    <a:ln>
                      <a:noFill/>
                    </a:ln>
                  </pic:spPr>
                </pic:pic>
              </a:graphicData>
            </a:graphic>
          </wp:anchor>
        </w:drawing>
      </w:r>
      <w:r>
        <w:rPr>
          <w:rFonts w:eastAsia="仿宋_GB2312"/>
        </w:rPr>
        <w:drawing>
          <wp:anchor distT="0" distB="0" distL="114300" distR="114300" simplePos="0" relativeHeight="251700224" behindDoc="1" locked="0" layoutInCell="1" allowOverlap="1">
            <wp:simplePos x="0" y="0"/>
            <wp:positionH relativeFrom="column">
              <wp:posOffset>68580</wp:posOffset>
            </wp:positionH>
            <wp:positionV relativeFrom="paragraph">
              <wp:posOffset>41910</wp:posOffset>
            </wp:positionV>
            <wp:extent cx="8116570" cy="5495925"/>
            <wp:effectExtent l="0" t="0" r="0" b="0"/>
            <wp:wrapNone/>
            <wp:docPr id="123" name="图片 123" descr="E:\工作\2023年工作\(P732K)巴彦淖尔100万千瓦光储+生态治理项目乌拉特前旗15万千瓦项目环境影响评价报告\过程\地块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工作\2023年工作\(P732K)巴彦淖尔100万千瓦光储+生态治理项目乌拉特前旗15万千瓦项目环境影响评价报告\过程\地块4、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116668" cy="5495925"/>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9029700</wp:posOffset>
            </wp:positionH>
            <wp:positionV relativeFrom="paragraph">
              <wp:posOffset>44450</wp:posOffset>
            </wp:positionV>
            <wp:extent cx="340360" cy="446405"/>
            <wp:effectExtent l="0" t="0" r="0" b="0"/>
            <wp:wrapNone/>
            <wp:docPr id="608"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173"/>
                    <pic:cNvPicPr>
                      <a:picLocks noChangeAspect="1" noChangeArrowheads="1"/>
                    </pic:cNvPicPr>
                  </pic:nvPicPr>
                  <pic:blipFill>
                    <a:blip r:embed="rId32" cstate="print">
                      <a:extLst>
                        <a:ext uri="{28A0092B-C50C-407E-A947-70E740481C1C}">
                          <a14:useLocalDpi xmlns:a14="http://schemas.microsoft.com/office/drawing/2010/main" val="0"/>
                        </a:ext>
                      </a:extLst>
                    </a:blip>
                    <a:srcRect l="29611" t="24504" r="54842" b="61075"/>
                    <a:stretch>
                      <a:fillRect/>
                    </a:stretch>
                  </pic:blipFill>
                  <pic:spPr>
                    <a:xfrm>
                      <a:off x="0" y="0"/>
                      <a:ext cx="340360" cy="446405"/>
                    </a:xfrm>
                    <a:prstGeom prst="rect">
                      <a:avLst/>
                    </a:prstGeom>
                    <a:noFill/>
                    <a:ln>
                      <a:noFill/>
                    </a:ln>
                  </pic:spPr>
                </pic:pic>
              </a:graphicData>
            </a:graphic>
          </wp:anchor>
        </w:drawing>
      </w:r>
      <w:r>
        <w:drawing>
          <wp:anchor distT="0" distB="0" distL="114300" distR="114300" simplePos="0" relativeHeight="251682816" behindDoc="0" locked="0" layoutInCell="1" allowOverlap="1">
            <wp:simplePos x="0" y="0"/>
            <wp:positionH relativeFrom="column">
              <wp:posOffset>11262360</wp:posOffset>
            </wp:positionH>
            <wp:positionV relativeFrom="paragraph">
              <wp:posOffset>-1915795</wp:posOffset>
            </wp:positionV>
            <wp:extent cx="676910" cy="712470"/>
            <wp:effectExtent l="0" t="0" r="0" b="0"/>
            <wp:wrapNone/>
            <wp:docPr id="595" name="图片 595" descr="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north"/>
                    <pic:cNvPicPr>
                      <a:picLocks noChangeAspect="1" noChangeArrowheads="1"/>
                    </pic:cNvPicPr>
                  </pic:nvPicPr>
                  <pic:blipFill>
                    <a:blip r:embed="rId33" cstate="print">
                      <a:extLst>
                        <a:ext uri="{28A0092B-C50C-407E-A947-70E740481C1C}">
                          <a14:useLocalDpi xmlns:a14="http://schemas.microsoft.com/office/drawing/2010/main" val="0"/>
                        </a:ext>
                      </a:extLst>
                    </a:blip>
                    <a:srcRect l="25475" t="24179" r="51752" b="58936"/>
                    <a:stretch>
                      <a:fillRect/>
                    </a:stretch>
                  </pic:blipFill>
                  <pic:spPr>
                    <a:xfrm>
                      <a:off x="0" y="0"/>
                      <a:ext cx="676910" cy="712470"/>
                    </a:xfrm>
                    <a:prstGeom prst="rect">
                      <a:avLst/>
                    </a:prstGeom>
                    <a:noFill/>
                    <a:ln>
                      <a:noFill/>
                    </a:ln>
                  </pic:spPr>
                </pic:pic>
              </a:graphicData>
            </a:graphic>
          </wp:anchor>
        </w:drawing>
      </w:r>
    </w:p>
    <w:p>
      <w:pPr>
        <w:pStyle w:val="4"/>
        <w:spacing w:line="360" w:lineRule="auto"/>
        <w:jc w:val="center"/>
        <w:rPr>
          <w:b/>
        </w:rPr>
      </w:pPr>
    </w:p>
    <w:p>
      <w:pPr>
        <w:pStyle w:val="4"/>
        <w:spacing w:line="360" w:lineRule="auto"/>
        <w:jc w:val="center"/>
        <w:rPr>
          <w:b/>
        </w:rPr>
      </w:pPr>
    </w:p>
    <w:p>
      <w:pPr>
        <w:pStyle w:val="4"/>
        <w:spacing w:line="360" w:lineRule="auto"/>
        <w:jc w:val="center"/>
        <w:rPr>
          <w:b/>
        </w:rPr>
      </w:pPr>
      <w:r>
        <w:rPr>
          <w:sz w:val="21"/>
          <w:szCs w:val="28"/>
        </w:rPr>
        <mc:AlternateContent>
          <mc:Choice Requires="wps">
            <w:drawing>
              <wp:anchor distT="0" distB="0" distL="114300" distR="114300" simplePos="0" relativeHeight="251699200" behindDoc="0" locked="0" layoutInCell="1" allowOverlap="1">
                <wp:simplePos x="0" y="0"/>
                <wp:positionH relativeFrom="column">
                  <wp:posOffset>1499870</wp:posOffset>
                </wp:positionH>
                <wp:positionV relativeFrom="paragraph">
                  <wp:posOffset>29845</wp:posOffset>
                </wp:positionV>
                <wp:extent cx="1076325" cy="352425"/>
                <wp:effectExtent l="0" t="0" r="28575" b="904875"/>
                <wp:wrapNone/>
                <wp:docPr id="577" name="圆角矩形标注 577"/>
                <wp:cNvGraphicFramePr/>
                <a:graphic xmlns:a="http://schemas.openxmlformats.org/drawingml/2006/main">
                  <a:graphicData uri="http://schemas.microsoft.com/office/word/2010/wordprocessingShape">
                    <wps:wsp>
                      <wps:cNvSpPr/>
                      <wps:spPr>
                        <a:xfrm>
                          <a:off x="0" y="0"/>
                          <a:ext cx="1076325" cy="352425"/>
                        </a:xfrm>
                        <a:prstGeom prst="wedgeRoundRectCallout">
                          <a:avLst>
                            <a:gd name="adj1" fmla="val -11652"/>
                            <a:gd name="adj2" fmla="val 276763"/>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光伏场</w:t>
                            </w:r>
                            <w:r>
                              <w:t>边界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8.1pt;margin-top:2.35pt;height:27.75pt;width:84.75pt;z-index:251699200;v-text-anchor:middle;mso-width-relative:page;mso-height-relative:page;" fillcolor="#CCE8CF [3201]" filled="t" stroked="t" coordsize="21600,21600" o:gfxdata="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bI&#10;7ovWAAAACAEAAA8AAAAAAAAAAQAgAAAAIgAAAGRycy9kb3ducmV2LnhtbFBLAQIUABQAAAAIAIdO&#10;4kCzZrA70AIAAJcFAAAOAAAAAAAAAAEAIAAAACUBAABkcnMvZTJvRG9jLnhtbFBLBQYAAAAABgAG&#10;AFkBAABnBgAAAAA=&#10;" adj="8283,70581,14400">
                <v:fill on="t" focussize="0,0"/>
                <v:stroke weight="1pt" color="#70AD47 [3209]" miterlimit="8" joinstyle="miter"/>
                <v:imagedata o:title=""/>
                <o:lock v:ext="edit" aspectratio="f"/>
                <v:textbox>
                  <w:txbxContent>
                    <w:p>
                      <w:pPr>
                        <w:jc w:val="center"/>
                      </w:pPr>
                      <w:r>
                        <w:rPr>
                          <w:rFonts w:hint="eastAsia"/>
                        </w:rPr>
                        <w:t>光伏场</w:t>
                      </w:r>
                      <w:r>
                        <w:t>边界</w:t>
                      </w:r>
                    </w:p>
                  </w:txbxContent>
                </v:textbox>
              </v:shape>
            </w:pict>
          </mc:Fallback>
        </mc:AlternateContent>
      </w:r>
      <w:r>
        <w:rPr>
          <w:b/>
        </w:rPr>
        <mc:AlternateContent>
          <mc:Choice Requires="wps">
            <w:drawing>
              <wp:anchor distT="0" distB="0" distL="114300" distR="114300" simplePos="0" relativeHeight="251695104" behindDoc="0" locked="0" layoutInCell="1" allowOverlap="1">
                <wp:simplePos x="0" y="0"/>
                <wp:positionH relativeFrom="column">
                  <wp:posOffset>5327015</wp:posOffset>
                </wp:positionH>
                <wp:positionV relativeFrom="paragraph">
                  <wp:posOffset>123190</wp:posOffset>
                </wp:positionV>
                <wp:extent cx="2876550" cy="2143125"/>
                <wp:effectExtent l="19050" t="19050" r="19050" b="28575"/>
                <wp:wrapNone/>
                <wp:docPr id="8" name="矩形 8"/>
                <wp:cNvGraphicFramePr/>
                <a:graphic xmlns:a="http://schemas.openxmlformats.org/drawingml/2006/main">
                  <a:graphicData uri="http://schemas.microsoft.com/office/word/2010/wordprocessingShape">
                    <wps:wsp>
                      <wps:cNvSpPr/>
                      <wps:spPr>
                        <a:xfrm>
                          <a:off x="0" y="0"/>
                          <a:ext cx="2876550" cy="2143125"/>
                        </a:xfrm>
                        <a:prstGeom prst="rect">
                          <a:avLst/>
                        </a:prstGeom>
                        <a:solidFill>
                          <a:schemeClr val="lt1">
                            <a:alpha val="0"/>
                          </a:schemeClr>
                        </a:solidFill>
                        <a:ln w="3810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45pt;margin-top:9.7pt;height:168.75pt;width:226.5pt;z-index:251695104;v-text-anchor:middle;mso-width-relative:page;mso-height-relative:page;" fillcolor="#CCE8CF [3201]" filled="t" stroked="t" coordsize="21600,21600" o:gfxdata="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KdH6dgAAAALAQAADwAAAAAAAAAB&#10;ACAAAAAiAAAAZHJzL2Rvd25yZXYueG1sUEsBAhQAFAAAAAgAh07iQN4bFESCAgAAEgUAAA4AAAAA&#10;AAAAAQAgAAAAJwEAAGRycy9lMm9Eb2MueG1sUEsFBgAAAAAGAAYAWQEAABsGAAAAAA==&#10;">
                <v:fill on="t" opacity="0f" focussize="0,0"/>
                <v:stroke weight="3pt" color="#0070C0 [3209]" miterlimit="8" joinstyle="miter"/>
                <v:imagedata o:title=""/>
                <o:lock v:ext="edit" aspectratio="f"/>
              </v:rect>
            </w:pict>
          </mc:Fallback>
        </mc:AlternateContent>
      </w:r>
      <w:r>
        <w:rPr>
          <w:b/>
        </w:rPr>
        <w:drawing>
          <wp:anchor distT="0" distB="0" distL="114300" distR="114300" simplePos="0" relativeHeight="251701248" behindDoc="0" locked="0" layoutInCell="1" allowOverlap="1">
            <wp:simplePos x="0" y="0"/>
            <wp:positionH relativeFrom="column">
              <wp:posOffset>5379085</wp:posOffset>
            </wp:positionH>
            <wp:positionV relativeFrom="paragraph">
              <wp:posOffset>140335</wp:posOffset>
            </wp:positionV>
            <wp:extent cx="2757170" cy="2076450"/>
            <wp:effectExtent l="0" t="0" r="5715" b="635"/>
            <wp:wrapNone/>
            <wp:docPr id="122" name="图片 122" descr="E:\工作\2023年工作\(P732K)巴彦淖尔100万千瓦光储+生态治理项目乌拉特前旗15万千瓦项目环境影响评价报告\过程\地块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工作\2023年工作\(P732K)巴彦淖尔100万千瓦光储+生态治理项目乌拉特前旗15万千瓦项目环境影响评价报告\过程\地块5.png"/>
                    <pic:cNvPicPr>
                      <a:picLocks noChangeAspect="1" noChangeArrowheads="1"/>
                    </pic:cNvPicPr>
                  </pic:nvPicPr>
                  <pic:blipFill>
                    <a:blip r:embed="rId34" cstate="print">
                      <a:extLst>
                        <a:ext uri="{28A0092B-C50C-407E-A947-70E740481C1C}">
                          <a14:useLocalDpi xmlns:a14="http://schemas.microsoft.com/office/drawing/2010/main" val="0"/>
                        </a:ext>
                      </a:extLst>
                    </a:blip>
                    <a:srcRect t="19620" r="30571" b="3154"/>
                    <a:stretch>
                      <a:fillRect/>
                    </a:stretch>
                  </pic:blipFill>
                  <pic:spPr>
                    <a:xfrm>
                      <a:off x="0" y="0"/>
                      <a:ext cx="2756930" cy="2076396"/>
                    </a:xfrm>
                    <a:prstGeom prst="rect">
                      <a:avLst/>
                    </a:prstGeom>
                    <a:noFill/>
                    <a:ln>
                      <a:noFill/>
                    </a:ln>
                  </pic:spPr>
                </pic:pic>
              </a:graphicData>
            </a:graphic>
          </wp:anchor>
        </w:drawing>
      </w:r>
    </w:p>
    <w:p>
      <w:pPr>
        <w:pStyle w:val="4"/>
        <w:spacing w:line="360" w:lineRule="auto"/>
        <w:jc w:val="center"/>
        <w:rPr>
          <w:b/>
        </w:rPr>
      </w:pPr>
      <w:r>
        <mc:AlternateContent>
          <mc:Choice Requires="wps">
            <w:drawing>
              <wp:anchor distT="0" distB="0" distL="114300" distR="114300" simplePos="0" relativeHeight="251704320" behindDoc="0" locked="0" layoutInCell="1" allowOverlap="1">
                <wp:simplePos x="0" y="0"/>
                <wp:positionH relativeFrom="column">
                  <wp:posOffset>6879590</wp:posOffset>
                </wp:positionH>
                <wp:positionV relativeFrom="paragraph">
                  <wp:posOffset>338455</wp:posOffset>
                </wp:positionV>
                <wp:extent cx="156210" cy="156845"/>
                <wp:effectExtent l="18415" t="24130" r="15875" b="9525"/>
                <wp:wrapNone/>
                <wp:docPr id="11"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541.7pt;margin-top:26.65pt;height:12.35pt;width:12.3pt;z-index:251704320;mso-width-relative:page;mso-height-relative:page;" fillcolor="#FF0000" filled="t" stroked="t" coordsize="21600,21600" o:gfxdata="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Pgr6PZ&#10;AAAACwEAAA8AAAAAAAAAAQAgAAAAIgAAAGRycy9kb3ducmV2LnhtbFBLAQIUABQAAAAIAIdO4kAA&#10;xdmyWAIAALUEAAAOAAAAAAAAAAEAIAAAACgBAABkcnMvZTJvRG9jLnhtbFBLBQYAAAAABgAGAFkB&#10;AADyBQ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6250940</wp:posOffset>
                </wp:positionH>
                <wp:positionV relativeFrom="paragraph">
                  <wp:posOffset>66675</wp:posOffset>
                </wp:positionV>
                <wp:extent cx="156210" cy="156845"/>
                <wp:effectExtent l="18415" t="24130" r="15875" b="9525"/>
                <wp:wrapNone/>
                <wp:docPr id="19"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492.2pt;margin-top:5.25pt;height:12.35pt;width:12.3pt;z-index:251702272;mso-width-relative:page;mso-height-relative:page;" fillcolor="#FF0000" filled="t" stroked="t" coordsize="21600,21600" o:gfxdata="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e5YdgA&#10;AAAKAQAADwAAAAAAAAABACAAAAAiAAAAZHJzL2Rvd25yZXYueG1sUEsBAhQAFAAAAAgAh07iQNPn&#10;OxZYAgAAtQQAAA4AAAAAAAAAAQAgAAAAJwEAAGRycy9lMm9Eb2MueG1sUEsFBgAAAAAGAAYAWQEA&#10;APEFAAAAAA==&#10;" adj="10800">
                <v:fill on="t" focussize="0,0"/>
                <v:stroke color="#000000" miterlimit="8" joinstyle="miter"/>
                <v:imagedata o:title=""/>
                <o:lock v:ext="edit" aspectratio="f"/>
              </v:shape>
            </w:pict>
          </mc:Fallback>
        </mc:AlternateContent>
      </w:r>
    </w:p>
    <w:p>
      <w:pPr>
        <w:pStyle w:val="4"/>
        <w:spacing w:line="360" w:lineRule="auto"/>
        <w:jc w:val="center"/>
        <w:rPr>
          <w:b/>
        </w:rPr>
      </w:pPr>
      <w:r>
        <mc:AlternateContent>
          <mc:Choice Requires="wps">
            <w:drawing>
              <wp:anchor distT="0" distB="0" distL="114300" distR="114300" simplePos="0" relativeHeight="251706368" behindDoc="0" locked="0" layoutInCell="1" allowOverlap="1">
                <wp:simplePos x="0" y="0"/>
                <wp:positionH relativeFrom="column">
                  <wp:posOffset>6477635</wp:posOffset>
                </wp:positionH>
                <wp:positionV relativeFrom="paragraph">
                  <wp:posOffset>250190</wp:posOffset>
                </wp:positionV>
                <wp:extent cx="156210" cy="156845"/>
                <wp:effectExtent l="18415" t="24130" r="15875" b="9525"/>
                <wp:wrapNone/>
                <wp:docPr id="23"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510.05pt;margin-top:19.7pt;height:12.35pt;width:12.3pt;z-index:251706368;mso-width-relative:page;mso-height-relative:page;" fillcolor="#FF0000" filled="t" stroked="t" coordsize="21600,21600" o:gfxdata="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Oqla&#10;2gAAAAsBAAAPAAAAAAAAAAEAIAAAACIAAABkcnMvZG93bnJldi54bWxQSwECFAAUAAAACACHTuJA&#10;XlgN6VgCAAC1BAAADgAAAAAAAAABACAAAAApAQAAZHJzL2Uyb0RvYy54bWxQSwUGAAAAAAYABgBZ&#10;AQAA8wU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5673725</wp:posOffset>
                </wp:positionH>
                <wp:positionV relativeFrom="paragraph">
                  <wp:posOffset>17780</wp:posOffset>
                </wp:positionV>
                <wp:extent cx="156210" cy="156845"/>
                <wp:effectExtent l="18415" t="24130" r="15875" b="9525"/>
                <wp:wrapNone/>
                <wp:docPr id="9"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446.75pt;margin-top:1.4pt;height:12.35pt;width:12.3pt;z-index:251703296;mso-width-relative:page;mso-height-relative:page;" fillcolor="#FF0000" filled="t" stroked="t" coordsize="21600,21600" o:gfxdata="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JicO2AAA&#10;AAgBAAAPAAAAAAAAAAEAIAAAACIAAABkcnMvZG93bnJldi54bWxQSwECFAAUAAAACACHTuJAyzrS&#10;YVcCAAC0BAAADgAAAAAAAAABACAAAAAnAQAAZHJzL2Uyb0RvYy54bWxQSwUGAAAAAAYABgBZAQAA&#10;8AUAAAAA&#10;" adj="10800">
                <v:fill on="t" focussize="0,0"/>
                <v:stroke color="#000000" miterlimit="8" joinstyle="miter"/>
                <v:imagedata o:title=""/>
                <o:lock v:ext="edit" aspectratio="f"/>
              </v:shape>
            </w:pict>
          </mc:Fallback>
        </mc:AlternateContent>
      </w:r>
      <w:r>
        <w:rPr>
          <w:sz w:val="21"/>
          <w:szCs w:val="28"/>
        </w:rPr>
        <mc:AlternateContent>
          <mc:Choice Requires="wps">
            <w:drawing>
              <wp:anchor distT="0" distB="0" distL="114300" distR="114300" simplePos="0" relativeHeight="251687936" behindDoc="0" locked="0" layoutInCell="1" allowOverlap="1">
                <wp:simplePos x="0" y="0"/>
                <wp:positionH relativeFrom="column">
                  <wp:posOffset>2851150</wp:posOffset>
                </wp:positionH>
                <wp:positionV relativeFrom="paragraph">
                  <wp:posOffset>21590</wp:posOffset>
                </wp:positionV>
                <wp:extent cx="156210" cy="156845"/>
                <wp:effectExtent l="20955" t="20320" r="13335" b="13335"/>
                <wp:wrapNone/>
                <wp:docPr id="16" name="等腰三角形 16"/>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24.5pt;margin-top:1.7pt;height:12.35pt;width:12.3pt;z-index:251687936;mso-width-relative:page;mso-height-relative:page;" fillcolor="#FF0000" filled="t" stroked="t" coordsize="21600,21600" o:gfxdata="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lmPhNkA&#10;AAAIAQAADwAAAAAAAAABACAAAAAiAAAAZHJzL2Rvd25yZXYueG1sUEsBAhQAFAAAAAgAh07iQLOA&#10;XjJXAgAAqQQAAA4AAAAAAAAAAQAgAAAAKAEAAGRycy9lMm9Eb2MueG1sUEsFBgAAAAAGAAYAWQEA&#10;APEFAAAAAA==&#10;" adj="10800">
                <v:fill on="t" focussize="0,0"/>
                <v:stroke color="#000000" miterlimit="8" joinstyle="miter"/>
                <v:imagedata o:title=""/>
                <o:lock v:ext="edit" aspectratio="f"/>
              </v:shape>
            </w:pict>
          </mc:Fallback>
        </mc:AlternateContent>
      </w:r>
    </w:p>
    <w:p>
      <w:pPr>
        <w:pStyle w:val="4"/>
        <w:spacing w:line="360" w:lineRule="auto"/>
        <w:jc w:val="center"/>
        <w:rPr>
          <w:b/>
        </w:rPr>
      </w:pPr>
      <w:r>
        <w:rPr>
          <w:b/>
        </w:rPr>
        <mc:AlternateContent>
          <mc:Choice Requires="wps">
            <w:drawing>
              <wp:anchor distT="45720" distB="45720" distL="114300" distR="114300" simplePos="0" relativeHeight="251731968" behindDoc="0" locked="0" layoutInCell="1" allowOverlap="1">
                <wp:simplePos x="0" y="0"/>
                <wp:positionH relativeFrom="column">
                  <wp:posOffset>2080895</wp:posOffset>
                </wp:positionH>
                <wp:positionV relativeFrom="paragraph">
                  <wp:posOffset>446405</wp:posOffset>
                </wp:positionV>
                <wp:extent cx="628650" cy="1404620"/>
                <wp:effectExtent l="0" t="0" r="19050" b="1270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solidFill>
                            <a:srgbClr val="000000"/>
                          </a:solidFill>
                          <a:miter lim="800000"/>
                        </a:ln>
                      </wps:spPr>
                      <wps:txbx>
                        <w:txbxContent>
                          <w:p>
                            <w:r>
                              <w:t>地块</w:t>
                            </w:r>
                            <w:r>
                              <w:rPr>
                                <w:rFonts w:hint="eastAsia"/>
                              </w:rPr>
                              <w:t>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3.85pt;margin-top:35.15pt;height:110.6pt;width:49.5pt;mso-wrap-distance-bottom:3.6pt;mso-wrap-distance-left:9pt;mso-wrap-distance-right:9pt;mso-wrap-distance-top:3.6pt;z-index:251731968;mso-width-relative:page;mso-height-relative:margin;mso-height-percent:200;" fillcolor="#FFFFFF" filled="t" stroked="t" coordsize="21600,21600" o:gfxdata="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GWGL2AAAAAoBAAAPAAAAAAAAAAEAIAAAACIAAABkcnMv&#10;ZG93bnJldi54bWxQSwECFAAUAAAACACHTuJAqPt48TwCAAB9BAAADgAAAAAAAAABACAAAAAnAQAA&#10;ZHJzL2Uyb0RvYy54bWxQSwUGAAAAAAYABgBZAQAA1QUAAAAA&#10;">
                <v:fill on="t" focussize="0,0"/>
                <v:stroke color="#000000" miterlimit="8" joinstyle="miter"/>
                <v:imagedata o:title=""/>
                <o:lock v:ext="edit" aspectratio="f"/>
                <v:textbox style="mso-fit-shape-to-text:t;">
                  <w:txbxContent>
                    <w:p>
                      <w:r>
                        <w:t>地块</w:t>
                      </w:r>
                      <w:r>
                        <w:rPr>
                          <w:rFonts w:hint="eastAsia"/>
                        </w:rPr>
                        <w:t>6</w:t>
                      </w:r>
                    </w:p>
                  </w:txbxContent>
                </v:textbox>
                <w10:wrap type="square"/>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6580505</wp:posOffset>
                </wp:positionH>
                <wp:positionV relativeFrom="paragraph">
                  <wp:posOffset>34290</wp:posOffset>
                </wp:positionV>
                <wp:extent cx="156210" cy="156845"/>
                <wp:effectExtent l="18415" t="24130" r="15875" b="9525"/>
                <wp:wrapNone/>
                <wp:docPr id="24"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518.15pt;margin-top:2.7pt;height:12.35pt;width:12.3pt;z-index:251705344;mso-width-relative:page;mso-height-relative:page;" fillcolor="#FF0000" filled="t" stroked="t" coordsize="21600,21600" o:gfxdata="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Ovh0HZ&#10;AAAACgEAAA8AAAAAAAAAAQAgAAAAIgAAAGRycy9kb3ducmV2LnhtbFBLAQIUABQAAAAIAIdO4kAR&#10;pba9WAIAALUEAAAOAAAAAAAAAAEAIAAAACgBAABkcnMvZTJvRG9jLnhtbFBLBQYAAAAABgAGAFkB&#10;AADyBQAAAAA=&#10;" adj="10800">
                <v:fill on="t" focussize="0,0"/>
                <v:stroke color="#000000" miterlimit="8" joinstyle="miter"/>
                <v:imagedata o:title=""/>
                <o:lock v:ext="edit" aspectratio="f"/>
              </v:shape>
            </w:pict>
          </mc:Fallback>
        </mc:AlternateContent>
      </w:r>
      <w:r>
        <w:rPr>
          <w:sz w:val="21"/>
          <w:szCs w:val="28"/>
        </w:rPr>
        <mc:AlternateContent>
          <mc:Choice Requires="wps">
            <w:drawing>
              <wp:anchor distT="0" distB="0" distL="114300" distR="114300" simplePos="0" relativeHeight="251688960" behindDoc="0" locked="0" layoutInCell="1" allowOverlap="1">
                <wp:simplePos x="0" y="0"/>
                <wp:positionH relativeFrom="column">
                  <wp:posOffset>153035</wp:posOffset>
                </wp:positionH>
                <wp:positionV relativeFrom="paragraph">
                  <wp:posOffset>291465</wp:posOffset>
                </wp:positionV>
                <wp:extent cx="156210" cy="156845"/>
                <wp:effectExtent l="20955" t="20320" r="13335" b="13335"/>
                <wp:wrapNone/>
                <wp:docPr id="28" name="等腰三角形 28"/>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2.05pt;margin-top:22.95pt;height:12.35pt;width:12.3pt;z-index:251688960;mso-width-relative:page;mso-height-relative:page;" fillcolor="#FF0000" filled="t" stroked="t" coordsize="21600,21600" o:gfxdata="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XHatvXAAAA&#10;BwEAAA8AAAAAAAAAAQAgAAAAIgAAAGRycy9kb3ducmV2LnhtbFBLAQIUABQAAAAIAIdO4kAKL37h&#10;VwIAAKkEAAAOAAAAAAAAAAEAIAAAACYBAABkcnMvZTJvRG9jLnhtbFBLBQYAAAAABgAGAFkBAADv&#10;BQAAAAA=&#10;" adj="10800">
                <v:fill on="t" focussize="0,0"/>
                <v:stroke color="#000000" miterlimit="8" joinstyle="miter"/>
                <v:imagedata o:title=""/>
                <o:lock v:ext="edit" aspectratio="f"/>
              </v:shape>
            </w:pict>
          </mc:Fallback>
        </mc:AlternateContent>
      </w:r>
    </w:p>
    <w:p>
      <w:pPr>
        <w:pStyle w:val="4"/>
        <w:spacing w:line="360" w:lineRule="auto"/>
        <w:jc w:val="center"/>
        <w:rPr>
          <w:b/>
        </w:rPr>
      </w:pPr>
      <w:r>
        <w:rPr>
          <w:sz w:val="21"/>
          <w:szCs w:val="28"/>
        </w:rPr>
        <mc:AlternateContent>
          <mc:Choice Requires="wps">
            <w:drawing>
              <wp:anchor distT="0" distB="0" distL="114300" distR="114300" simplePos="0" relativeHeight="251729920" behindDoc="0" locked="0" layoutInCell="1" allowOverlap="1">
                <wp:simplePos x="0" y="0"/>
                <wp:positionH relativeFrom="column">
                  <wp:posOffset>3481070</wp:posOffset>
                </wp:positionH>
                <wp:positionV relativeFrom="paragraph">
                  <wp:posOffset>399415</wp:posOffset>
                </wp:positionV>
                <wp:extent cx="752475" cy="352425"/>
                <wp:effectExtent l="0" t="0" r="28575" b="733425"/>
                <wp:wrapNone/>
                <wp:docPr id="603" name="圆角矩形标注 603"/>
                <wp:cNvGraphicFramePr/>
                <a:graphic xmlns:a="http://schemas.openxmlformats.org/drawingml/2006/main">
                  <a:graphicData uri="http://schemas.microsoft.com/office/word/2010/wordprocessingShape">
                    <wps:wsp>
                      <wps:cNvSpPr/>
                      <wps:spPr>
                        <a:xfrm>
                          <a:off x="0" y="0"/>
                          <a:ext cx="752475" cy="352425"/>
                        </a:xfrm>
                        <a:prstGeom prst="wedgeRoundRectCallout">
                          <a:avLst>
                            <a:gd name="adj1" fmla="val -13309"/>
                            <a:gd name="adj2" fmla="val 233520"/>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地块</w:t>
                            </w: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4.1pt;margin-top:31.45pt;height:27.75pt;width:59.25pt;z-index:251729920;v-text-anchor:middle;mso-width-relative:page;mso-height-relative:page;" fillcolor="#CCE8CF [3201]" filled="t" stroked="t" coordsize="21600,21600" o:gfxdata="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tU8xC2gAAAAoBAAAPAAAAAAAAAAEAIAAAACIAAABkcnMvZG93bnJldi54bWxQSwECFAAUAAAA&#10;CACHTuJA6I9J19ACAACWBQAADgAAAAAAAAABACAAAAApAQAAZHJzL2Uyb0RvYy54bWxQSwUGAAAA&#10;AAYABgBZAQAAawYAAAAA&#10;" adj="7925,61240,14400">
                <v:fill on="t" focussize="0,0"/>
                <v:stroke weight="1pt" color="#70AD47 [3209]" miterlimit="8" joinstyle="miter"/>
                <v:imagedata o:title=""/>
                <o:lock v:ext="edit" aspectratio="f"/>
                <v:textbox>
                  <w:txbxContent>
                    <w:p>
                      <w:pPr>
                        <w:jc w:val="center"/>
                      </w:pPr>
                      <w:r>
                        <w:rPr>
                          <w:rFonts w:hint="eastAsia"/>
                        </w:rPr>
                        <w:t>地块</w:t>
                      </w:r>
                      <w:r>
                        <w:t>5</w:t>
                      </w:r>
                    </w:p>
                  </w:txbxContent>
                </v:textbox>
              </v:shape>
            </w:pict>
          </mc:Fallback>
        </mc:AlternateContent>
      </w:r>
      <w:r>
        <w:rPr>
          <w:sz w:val="21"/>
          <w:szCs w:val="28"/>
        </w:rPr>
        <mc:AlternateContent>
          <mc:Choice Requires="wps">
            <w:drawing>
              <wp:anchor distT="0" distB="0" distL="114300" distR="114300" simplePos="0" relativeHeight="251697152" behindDoc="0" locked="0" layoutInCell="1" allowOverlap="1">
                <wp:simplePos x="0" y="0"/>
                <wp:positionH relativeFrom="column">
                  <wp:posOffset>4233545</wp:posOffset>
                </wp:positionH>
                <wp:positionV relativeFrom="paragraph">
                  <wp:posOffset>441960</wp:posOffset>
                </wp:positionV>
                <wp:extent cx="2019300" cy="1014730"/>
                <wp:effectExtent l="19050" t="38100" r="38100" b="33020"/>
                <wp:wrapNone/>
                <wp:docPr id="50" name="直接箭头连接符 50"/>
                <wp:cNvGraphicFramePr/>
                <a:graphic xmlns:a="http://schemas.openxmlformats.org/drawingml/2006/main">
                  <a:graphicData uri="http://schemas.microsoft.com/office/word/2010/wordprocessingShape">
                    <wps:wsp>
                      <wps:cNvCnPr/>
                      <wps:spPr>
                        <a:xfrm flipV="1">
                          <a:off x="0" y="0"/>
                          <a:ext cx="2019300" cy="101473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3.35pt;margin-top:34.8pt;height:79.9pt;width:159pt;z-index:251697152;mso-width-relative:page;mso-height-relative:page;" filled="f" stroked="t" coordsize="21600,21600" o:gfxdata="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fWTT2AAAAAoBAAAPAAAA&#10;AAAAAAEAIAAAACIAAABkcnMvZG93bnJldi54bWxQSwECFAAUAAAACACHTuJAienuSRUCAAD0AwAA&#10;DgAAAAAAAAABACAAAAAnAQAAZHJzL2Uyb0RvYy54bWxQSwUGAAAAAAYABgBZAQAArgUAAAAA&#10;">
                <v:fill on="f" focussize="0,0"/>
                <v:stroke weight="3pt" color="#7030A0 [3204]" miterlimit="8" joinstyle="miter"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5022215</wp:posOffset>
                </wp:positionH>
                <wp:positionV relativeFrom="paragraph">
                  <wp:posOffset>281940</wp:posOffset>
                </wp:positionV>
                <wp:extent cx="156210" cy="156845"/>
                <wp:effectExtent l="18415" t="24130" r="15875" b="9525"/>
                <wp:wrapNone/>
                <wp:docPr id="63"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395.45pt;margin-top:22.2pt;height:12.35pt;width:12.3pt;z-index:251698176;mso-width-relative:page;mso-height-relative:page;" fillcolor="#FF0000" filled="t" stroked="t" coordsize="21600,21600" o:gfxdata="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lcJ&#10;JNoAAAAJAQAADwAAAAAAAAABACAAAAAiAAAAZHJzL2Rvd25yZXYueG1sUEsBAhQAFAAAAAgAh07i&#10;QPhosuZZAgAAtQQAAA4AAAAAAAAAAQAgAAAAKQEAAGRycy9lMm9Eb2MueG1sUEsFBgAAAAAGAAYA&#10;WQEAAPQFAAAAAA==&#10;" adj="10800">
                <v:fill on="t" focussize="0,0"/>
                <v:stroke color="#000000" miterlimit="8" joinstyle="miter"/>
                <v:imagedata o:title=""/>
                <o:lock v:ext="edit" aspectratio="f"/>
              </v:shape>
            </w:pict>
          </mc:Fallback>
        </mc:AlternateContent>
      </w:r>
    </w:p>
    <w:p>
      <w:pPr>
        <w:pStyle w:val="4"/>
        <w:spacing w:line="360" w:lineRule="auto"/>
        <w:jc w:val="center"/>
        <w:rPr>
          <w:b/>
        </w:rPr>
      </w:pPr>
      <w:r>
        <w:rPr>
          <w:sz w:val="21"/>
          <w:szCs w:val="28"/>
        </w:rPr>
        <mc:AlternateContent>
          <mc:Choice Requires="wps">
            <w:drawing>
              <wp:anchor distT="0" distB="0" distL="114300" distR="114300" simplePos="0" relativeHeight="251694080" behindDoc="0" locked="0" layoutInCell="1" allowOverlap="1">
                <wp:simplePos x="0" y="0"/>
                <wp:positionH relativeFrom="column">
                  <wp:posOffset>2425700</wp:posOffset>
                </wp:positionH>
                <wp:positionV relativeFrom="paragraph">
                  <wp:posOffset>276225</wp:posOffset>
                </wp:positionV>
                <wp:extent cx="156210" cy="156845"/>
                <wp:effectExtent l="20955" t="20320" r="13335" b="13335"/>
                <wp:wrapNone/>
                <wp:docPr id="30" name="等腰三角形 30"/>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91pt;margin-top:21.75pt;height:12.35pt;width:12.3pt;z-index:251694080;mso-width-relative:page;mso-height-relative:page;" fillcolor="#FF0000" filled="t" stroked="t" coordsize="21600,21600" o:gfxdata="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ot22Xa&#10;AAAACQEAAA8AAAAAAAAAAQAgAAAAIgAAAGRycy9kb3ducmV2LnhtbFBLAQIUABQAAAAIAIdO4kAI&#10;czMEVwIAAKkEAAAOAAAAAAAAAAEAIAAAACkBAABkcnMvZTJvRG9jLnhtbFBLBQYAAAAABgAGAFkB&#10;AADyBQAAAAA=&#10;" adj="10800">
                <v:fill on="t" focussize="0,0"/>
                <v:stroke color="#000000" miterlimit="8" joinstyle="miter"/>
                <v:imagedata o:title=""/>
                <o:lock v:ext="edit" aspectratio="f"/>
              </v:shape>
            </w:pict>
          </mc:Fallback>
        </mc:AlternateContent>
      </w:r>
    </w:p>
    <w:p>
      <w:pPr>
        <w:pStyle w:val="4"/>
        <w:spacing w:line="360" w:lineRule="auto"/>
        <w:jc w:val="center"/>
        <w:rPr>
          <w:b/>
        </w:rPr>
      </w:pPr>
      <w:r>
        <w:rPr>
          <w:sz w:val="21"/>
          <w:szCs w:val="28"/>
        </w:rPr>
        <mc:AlternateContent>
          <mc:Choice Requires="wps">
            <w:drawing>
              <wp:anchor distT="0" distB="0" distL="114300" distR="114300" simplePos="0" relativeHeight="251686912" behindDoc="0" locked="0" layoutInCell="1" allowOverlap="1">
                <wp:simplePos x="0" y="0"/>
                <wp:positionH relativeFrom="column">
                  <wp:posOffset>4084955</wp:posOffset>
                </wp:positionH>
                <wp:positionV relativeFrom="paragraph">
                  <wp:posOffset>285115</wp:posOffset>
                </wp:positionV>
                <wp:extent cx="156210" cy="156845"/>
                <wp:effectExtent l="20955" t="20320" r="13335" b="13335"/>
                <wp:wrapNone/>
                <wp:docPr id="40" name="等腰三角形 40"/>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21.65pt;margin-top:22.45pt;height:12.35pt;width:12.3pt;z-index:251686912;mso-width-relative:page;mso-height-relative:page;" fillcolor="#FF0000" filled="t" stroked="t" coordsize="21600,21600" o:gfxdata="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GK/L2QAA&#10;AAkBAAAPAAAAAAAAAAEAIAAAACIAAABkcnMvZG93bnJldi54bWxQSwECFAAUAAAACACHTuJAeB34&#10;KVYCAACpBAAADgAAAAAAAAABACAAAAAoAQAAZHJzL2Uyb0RvYy54bWxQSwUGAAAAAAYABgBZAQAA&#10;8AUAAAAA&#10;" adj="10800">
                <v:fill on="t" focussize="0,0"/>
                <v:stroke color="#000000" miterlimit="8" joinstyle="miter"/>
                <v:imagedata o:title=""/>
                <o:lock v:ext="edit" aspectratio="f"/>
              </v:shape>
            </w:pict>
          </mc:Fallback>
        </mc:AlternateContent>
      </w:r>
      <w:r>
        <w:rPr>
          <w:sz w:val="21"/>
          <w:szCs w:val="28"/>
        </w:rPr>
        <mc:AlternateContent>
          <mc:Choice Requires="wps">
            <w:drawing>
              <wp:anchor distT="0" distB="0" distL="114300" distR="114300" simplePos="0" relativeHeight="251685888" behindDoc="0" locked="0" layoutInCell="1" allowOverlap="1">
                <wp:simplePos x="0" y="0"/>
                <wp:positionH relativeFrom="column">
                  <wp:posOffset>3966210</wp:posOffset>
                </wp:positionH>
                <wp:positionV relativeFrom="paragraph">
                  <wp:posOffset>447040</wp:posOffset>
                </wp:positionV>
                <wp:extent cx="156210" cy="156845"/>
                <wp:effectExtent l="20955" t="20320" r="13335" b="13335"/>
                <wp:wrapNone/>
                <wp:docPr id="46" name="等腰三角形 46"/>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12.3pt;margin-top:35.2pt;height:12.35pt;width:12.3pt;z-index:251685888;mso-width-relative:page;mso-height-relative:page;" fillcolor="#FF0000" filled="t" stroked="t" coordsize="21600,21600" o:gfxdata="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e2z9ra&#10;AAAACQEAAA8AAAAAAAAAAQAgAAAAIgAAAGRycy9kb3ducmV2LnhtbFBLAQIUABQAAAAIAIdO4kD4&#10;cNlEVwIAAKkEAAAOAAAAAAAAAAEAIAAAACkBAABkcnMvZTJvRG9jLnhtbFBLBQYAAAAABgAGAFkB&#10;AADyBQ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3771265</wp:posOffset>
                </wp:positionH>
                <wp:positionV relativeFrom="paragraph">
                  <wp:posOffset>103505</wp:posOffset>
                </wp:positionV>
                <wp:extent cx="158750" cy="147955"/>
                <wp:effectExtent l="13335" t="18415" r="18415" b="5080"/>
                <wp:wrapNone/>
                <wp:docPr id="31" name="自选图形 600"/>
                <wp:cNvGraphicFramePr/>
                <a:graphic xmlns:a="http://schemas.openxmlformats.org/drawingml/2006/main">
                  <a:graphicData uri="http://schemas.microsoft.com/office/word/2010/wordprocessingShape">
                    <wps:wsp>
                      <wps:cNvSpPr>
                        <a:spLocks noChangeArrowheads="1"/>
                      </wps:cNvSpPr>
                      <wps:spPr bwMode="auto">
                        <a:xfrm>
                          <a:off x="0" y="0"/>
                          <a:ext cx="158750" cy="14795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600" o:spid="_x0000_s1026" o:spt="5" type="#_x0000_t5" style="position:absolute;left:0pt;margin-left:296.95pt;margin-top:8.15pt;height:11.65pt;width:12.5pt;z-index:251696128;mso-width-relative:page;mso-height-relative:page;" fillcolor="#FF0000" filled="t" stroked="t" coordsize="21600,21600" o:gfxdata="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Mw&#10;DkbYAAAACQEAAA8AAAAAAAAAAQAgAAAAIgAAAGRycy9kb3ducmV2LnhtbFBLAQIUABQAAAAIAIdO&#10;4kDd5KGrXAIAALUEAAAOAAAAAAAAAAEAIAAAACcBAABkcnMvZTJvRG9jLnhtbFBLBQYAAAAABgAG&#10;AFkBAAD1BQ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3479800</wp:posOffset>
                </wp:positionH>
                <wp:positionV relativeFrom="paragraph">
                  <wp:posOffset>359410</wp:posOffset>
                </wp:positionV>
                <wp:extent cx="156210" cy="156845"/>
                <wp:effectExtent l="18415" t="24130" r="15875" b="9525"/>
                <wp:wrapNone/>
                <wp:docPr id="6" name="自选图形 55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555" o:spid="_x0000_s1026" o:spt="5" type="#_x0000_t5" style="position:absolute;left:0pt;margin-left:274pt;margin-top:28.3pt;height:12.35pt;width:12.3pt;z-index:251681792;mso-width-relative:page;mso-height-relative:page;" fillcolor="#FF0000" filled="t" stroked="t" coordsize="21600,21600" o:gfxdata="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0XdRbZ&#10;AAAACQEAAA8AAAAAAAAAAQAgAAAAIgAAAGRycy9kb3ducmV2LnhtbFBLAQIUABQAAAAIAIdO4kBX&#10;5YuRWAIAALQEAAAOAAAAAAAAAAEAIAAAACgBAABkcnMvZTJvRG9jLnhtbFBLBQYAAAAABgAGAFkB&#10;AADyBQAAAAA=&#10;" adj="10800">
                <v:fill on="t" focussize="0,0"/>
                <v:stroke color="#000000" miterlimit="8" joinstyle="miter"/>
                <v:imagedata o:title=""/>
                <o:lock v:ext="edit" aspectratio="f"/>
              </v:shape>
            </w:pict>
          </mc:Fallback>
        </mc:AlternateContent>
      </w:r>
      <w:r>
        <w:rPr>
          <w:sz w:val="21"/>
          <w:szCs w:val="28"/>
        </w:rPr>
        <mc:AlternateContent>
          <mc:Choice Requires="wps">
            <w:drawing>
              <wp:anchor distT="0" distB="0" distL="114300" distR="114300" simplePos="0" relativeHeight="251692032" behindDoc="0" locked="0" layoutInCell="1" allowOverlap="1">
                <wp:simplePos x="0" y="0"/>
                <wp:positionH relativeFrom="column">
                  <wp:posOffset>2858770</wp:posOffset>
                </wp:positionH>
                <wp:positionV relativeFrom="paragraph">
                  <wp:posOffset>363220</wp:posOffset>
                </wp:positionV>
                <wp:extent cx="156210" cy="156845"/>
                <wp:effectExtent l="20955" t="20320" r="13335" b="13335"/>
                <wp:wrapNone/>
                <wp:docPr id="47" name="等腰三角形 47"/>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25.1pt;margin-top:28.6pt;height:12.35pt;width:12.3pt;z-index:251692032;mso-width-relative:page;mso-height-relative:page;" fillcolor="#FF0000" filled="t" stroked="t" coordsize="21600,21600" o:gfxdata="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BytkA&#10;AAAJAQAADwAAAAAAAAABACAAAAAiAAAAZHJzL2Rvd25yZXYueG1sUEsBAhQAFAAAAAgAh07iQIfg&#10;eeBXAgAAqQQAAA4AAAAAAAAAAQAgAAAAKAEAAGRycy9lMm9Eb2MueG1sUEsFBgAAAAAGAAYAWQEA&#10;APEFAAAAAA==&#10;" adj="10800">
                <v:fill on="t" focussize="0,0"/>
                <v:stroke color="#000000" miterlimit="8" joinstyle="miter"/>
                <v:imagedata o:title=""/>
                <o:lock v:ext="edit" aspectratio="f"/>
              </v:shape>
            </w:pict>
          </mc:Fallback>
        </mc:AlternateContent>
      </w:r>
    </w:p>
    <w:p>
      <w:pPr>
        <w:pStyle w:val="4"/>
        <w:spacing w:line="360" w:lineRule="auto"/>
        <w:jc w:val="center"/>
        <w:rPr>
          <w:b/>
        </w:rPr>
      </w:pPr>
      <w:r>
        <w:rPr>
          <w:sz w:val="32"/>
        </w:rPr>
        <mc:AlternateContent>
          <mc:Choice Requires="wps">
            <w:drawing>
              <wp:anchor distT="0" distB="0" distL="114300" distR="114300" simplePos="0" relativeHeight="251680768" behindDoc="0" locked="0" layoutInCell="1" allowOverlap="1">
                <wp:simplePos x="0" y="0"/>
                <wp:positionH relativeFrom="column">
                  <wp:posOffset>6520815</wp:posOffset>
                </wp:positionH>
                <wp:positionV relativeFrom="paragraph">
                  <wp:posOffset>396240</wp:posOffset>
                </wp:positionV>
                <wp:extent cx="1666875" cy="542925"/>
                <wp:effectExtent l="0" t="0" r="28575" b="28575"/>
                <wp:wrapNone/>
                <wp:docPr id="49" name="文本框 569"/>
                <wp:cNvGraphicFramePr/>
                <a:graphic xmlns:a="http://schemas.openxmlformats.org/drawingml/2006/main">
                  <a:graphicData uri="http://schemas.microsoft.com/office/word/2010/wordprocessingShape">
                    <wps:wsp>
                      <wps:cNvSpPr txBox="1">
                        <a:spLocks noChangeArrowheads="1"/>
                      </wps:cNvSpPr>
                      <wps:spPr bwMode="auto">
                        <a:xfrm>
                          <a:off x="0" y="0"/>
                          <a:ext cx="1666875" cy="542925"/>
                        </a:xfrm>
                        <a:prstGeom prst="rect">
                          <a:avLst/>
                        </a:prstGeom>
                        <a:solidFill>
                          <a:srgbClr val="E6E0EC"/>
                        </a:solidFill>
                        <a:ln w="9525">
                          <a:solidFill>
                            <a:srgbClr val="000000"/>
                          </a:solidFill>
                          <a:miter lim="800000"/>
                        </a:ln>
                        <a:effectLst/>
                      </wps:spPr>
                      <wps:txbx>
                        <w:txbxContent>
                          <w:p>
                            <w:pPr>
                              <w:jc w:val="center"/>
                              <w:rPr>
                                <w:b/>
                              </w:rPr>
                            </w:pPr>
                            <w:r>
                              <w:rPr>
                                <w:b/>
                              </w:rPr>
                              <w:t>图</w:t>
                            </w:r>
                            <w:r>
                              <w:rPr>
                                <w:rFonts w:hint="eastAsia"/>
                                <w:b/>
                              </w:rPr>
                              <w:t xml:space="preserve">  例</w:t>
                            </w:r>
                          </w:p>
                          <w:p>
                            <w:pPr>
                              <w:ind w:firstLine="105" w:firstLineChars="50"/>
                            </w:pPr>
                            <w:r>
                              <w:drawing>
                                <wp:inline distT="0" distB="0" distL="0" distR="0">
                                  <wp:extent cx="180975" cy="171450"/>
                                  <wp:effectExtent l="0" t="0" r="9525"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p>
                        </w:txbxContent>
                      </wps:txbx>
                      <wps:bodyPr rot="0" vert="horz" wrap="square" lIns="91440" tIns="45720" rIns="91440" bIns="45720" anchor="t" anchorCtr="0" upright="1">
                        <a:noAutofit/>
                      </wps:bodyPr>
                    </wps:wsp>
                  </a:graphicData>
                </a:graphic>
              </wp:anchor>
            </w:drawing>
          </mc:Choice>
          <mc:Fallback>
            <w:pict>
              <v:shape id="文本框 569" o:spid="_x0000_s1026" o:spt="202" type="#_x0000_t202" style="position:absolute;left:0pt;margin-left:513.45pt;margin-top:31.2pt;height:42.75pt;width:131.25pt;z-index:251680768;mso-width-relative:page;mso-height-relative:page;" fillcolor="#E6E0EC" filled="t" stroked="t" coordsize="21600,21600" o:gfxdata="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poTS2gAAAAwBAAAPAAAA&#10;AAAAAAEAIAAAACIAAABkcnMvZG93bnJldi54bWxQSwECFAAUAAAACACHTuJAYebhLEwCAACYBAAA&#10;DgAAAAAAAAABACAAAAApAQAAZHJzL2Uyb0RvYy54bWxQSwUGAAAAAAYABgBZAQAA5wUAAAAA&#10;">
                <v:fill on="t" focussize="0,0"/>
                <v:stroke color="#000000" miterlimit="8" joinstyle="miter"/>
                <v:imagedata o:title=""/>
                <o:lock v:ext="edit" aspectratio="f"/>
                <v:textbox>
                  <w:txbxContent>
                    <w:p>
                      <w:pPr>
                        <w:jc w:val="center"/>
                        <w:rPr>
                          <w:b/>
                        </w:rPr>
                      </w:pPr>
                      <w:r>
                        <w:rPr>
                          <w:b/>
                        </w:rPr>
                        <w:t>图</w:t>
                      </w:r>
                      <w:r>
                        <w:rPr>
                          <w:rFonts w:hint="eastAsia"/>
                          <w:b/>
                        </w:rPr>
                        <w:t xml:space="preserve">  例</w:t>
                      </w:r>
                    </w:p>
                    <w:p>
                      <w:pPr>
                        <w:ind w:firstLine="105" w:firstLineChars="50"/>
                      </w:pPr>
                      <w:r>
                        <w:drawing>
                          <wp:inline distT="0" distB="0" distL="0" distR="0">
                            <wp:extent cx="180975" cy="171450"/>
                            <wp:effectExtent l="0" t="0" r="9525"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p>
                  </w:txbxContent>
                </v:textbox>
              </v:shape>
            </w:pict>
          </mc:Fallback>
        </mc:AlternateContent>
      </w:r>
      <w:r>
        <w:rPr>
          <w:sz w:val="21"/>
          <w:szCs w:val="28"/>
        </w:rPr>
        <mc:AlternateContent>
          <mc:Choice Requires="wps">
            <w:drawing>
              <wp:anchor distT="0" distB="0" distL="114300" distR="114300" simplePos="0" relativeHeight="251730944" behindDoc="0" locked="0" layoutInCell="1" allowOverlap="1">
                <wp:simplePos x="0" y="0"/>
                <wp:positionH relativeFrom="column">
                  <wp:posOffset>1499870</wp:posOffset>
                </wp:positionH>
                <wp:positionV relativeFrom="paragraph">
                  <wp:posOffset>120015</wp:posOffset>
                </wp:positionV>
                <wp:extent cx="695325" cy="352425"/>
                <wp:effectExtent l="0" t="19050" r="771525" b="28575"/>
                <wp:wrapNone/>
                <wp:docPr id="604" name="圆角矩形标注 604"/>
                <wp:cNvGraphicFramePr/>
                <a:graphic xmlns:a="http://schemas.openxmlformats.org/drawingml/2006/main">
                  <a:graphicData uri="http://schemas.microsoft.com/office/word/2010/wordprocessingShape">
                    <wps:wsp>
                      <wps:cNvSpPr/>
                      <wps:spPr>
                        <a:xfrm>
                          <a:off x="0" y="0"/>
                          <a:ext cx="695325" cy="352425"/>
                        </a:xfrm>
                        <a:prstGeom prst="wedgeRoundRectCallout">
                          <a:avLst>
                            <a:gd name="adj1" fmla="val 150538"/>
                            <a:gd name="adj2" fmla="val -9723"/>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地块4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8.1pt;margin-top:9.45pt;height:27.75pt;width:54.75pt;z-index:251730944;v-text-anchor:middle;mso-width-relative:page;mso-height-relative:page;" fillcolor="#CCE8CF [3201]" filled="t" stroked="t" coordsize="21600,21600" o:gfxdata="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F&#10;nIiP2AAAAAkBAAAPAAAAAAAAAAEAIAAAACIAAABkcnMvZG93bnJldi54bWxQSwECFAAUAAAACACH&#10;TuJAJb3scc8CAACVBQAADgAAAAAAAAABACAAAAAnAQAAZHJzL2Uyb0RvYy54bWxQSwUGAAAAAAYA&#10;BgBZAQAAaAYAAAAA&#10;" adj="43316,8700,14400">
                <v:fill on="t" focussize="0,0"/>
                <v:stroke weight="1pt" color="#70AD47 [3209]" miterlimit="8" joinstyle="miter"/>
                <v:imagedata o:title=""/>
                <o:lock v:ext="edit" aspectratio="f"/>
                <v:textbox>
                  <w:txbxContent>
                    <w:p>
                      <w:pPr>
                        <w:jc w:val="center"/>
                      </w:pPr>
                      <w:r>
                        <w:rPr>
                          <w:rFonts w:hint="eastAsia"/>
                        </w:rPr>
                        <w:t>地块4</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3769360</wp:posOffset>
                </wp:positionH>
                <wp:positionV relativeFrom="paragraph">
                  <wp:posOffset>38735</wp:posOffset>
                </wp:positionV>
                <wp:extent cx="158750" cy="147955"/>
                <wp:effectExtent l="13335" t="18415" r="18415" b="5080"/>
                <wp:wrapNone/>
                <wp:docPr id="43" name="自选图形 600"/>
                <wp:cNvGraphicFramePr/>
                <a:graphic xmlns:a="http://schemas.openxmlformats.org/drawingml/2006/main">
                  <a:graphicData uri="http://schemas.microsoft.com/office/word/2010/wordprocessingShape">
                    <wps:wsp>
                      <wps:cNvSpPr>
                        <a:spLocks noChangeArrowheads="1"/>
                      </wps:cNvSpPr>
                      <wps:spPr bwMode="auto">
                        <a:xfrm>
                          <a:off x="0" y="0"/>
                          <a:ext cx="158750" cy="14795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600" o:spid="_x0000_s1026" o:spt="5" type="#_x0000_t5" style="position:absolute;left:0pt;margin-left:296.8pt;margin-top:3.05pt;height:11.65pt;width:12.5pt;z-index:251689984;mso-width-relative:page;mso-height-relative:page;" fillcolor="#FF0000" filled="t" stroked="t" coordsize="21600,21600" o:gfxdata="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8X&#10;O87YAAAACAEAAA8AAAAAAAAAAQAgAAAAIgAAAGRycy9kb3ducmV2LnhtbFBLAQIUABQAAAAIAIdO&#10;4kAlScr/XAIAALUEAAAOAAAAAAAAAAEAIAAAACcBAABkcnMvZTJvRG9jLnhtbFBLBQYAAAAABgAG&#10;AFkBAAD1BQAAAAA=&#10;" adj="10800">
                <v:fill on="t" focussize="0,0"/>
                <v:stroke color="#000000" miterlimit="8" joinstyle="miter"/>
                <v:imagedata o:title=""/>
                <o:lock v:ext="edit" aspectratio="f"/>
              </v:shape>
            </w:pict>
          </mc:Fallback>
        </mc:AlternateContent>
      </w:r>
      <w:r>
        <w:rPr>
          <w:sz w:val="21"/>
          <w:szCs w:val="28"/>
        </w:rPr>
        <mc:AlternateContent>
          <mc:Choice Requires="wps">
            <w:drawing>
              <wp:anchor distT="0" distB="0" distL="114300" distR="114300" simplePos="0" relativeHeight="251693056" behindDoc="0" locked="0" layoutInCell="1" allowOverlap="1">
                <wp:simplePos x="0" y="0"/>
                <wp:positionH relativeFrom="column">
                  <wp:posOffset>2637790</wp:posOffset>
                </wp:positionH>
                <wp:positionV relativeFrom="paragraph">
                  <wp:posOffset>113030</wp:posOffset>
                </wp:positionV>
                <wp:extent cx="156210" cy="156845"/>
                <wp:effectExtent l="20955" t="20320" r="13335" b="13335"/>
                <wp:wrapNone/>
                <wp:docPr id="87" name="等腰三角形 87"/>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07.7pt;margin-top:8.9pt;height:12.35pt;width:12.3pt;z-index:251693056;mso-width-relative:page;mso-height-relative:page;" fillcolor="#FF0000" filled="t" stroked="t" coordsize="21600,21600" o:gfxdata="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9FI2R2AAA&#10;AAkBAAAPAAAAAAAAAAEAIAAAACIAAABkcnMvZG93bnJldi54bWxQSwECFAAUAAAACACHTuJAXKKj&#10;4FcCAACpBAAADgAAAAAAAAABACAAAAAnAQAAZHJzL2Uyb0RvYy54bWxQSwUGAAAAAAYABgBZAQAA&#10;8A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691008" behindDoc="0" locked="0" layoutInCell="1" allowOverlap="1">
                <wp:simplePos x="0" y="0"/>
                <wp:positionH relativeFrom="column">
                  <wp:posOffset>2820670</wp:posOffset>
                </wp:positionH>
                <wp:positionV relativeFrom="paragraph">
                  <wp:posOffset>405130</wp:posOffset>
                </wp:positionV>
                <wp:extent cx="156210" cy="156845"/>
                <wp:effectExtent l="20955" t="20320" r="13335" b="13335"/>
                <wp:wrapNone/>
                <wp:docPr id="21" name="等腰三角形 21"/>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22.1pt;margin-top:31.9pt;height:12.35pt;width:12.3pt;z-index:251691008;mso-width-relative:page;mso-height-relative:page;" fillcolor="#FF0000" filled="t" stroked="t" coordsize="21600,21600" o:gfxdata="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dRC&#10;hNkAAAAJAQAADwAAAAAAAAABACAAAAAiAAAAZHJzL2Rvd25yZXYueG1sUEsBAhQAFAAAAAgAh07i&#10;QEovjWBaAgAAqQQAAA4AAAAAAAAAAQAgAAAAKAEAAGRycy9lMm9Eb2MueG1sUEsFBgAAAAAGAAYA&#10;WQEAAPQFA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3042920</wp:posOffset>
                </wp:positionH>
                <wp:positionV relativeFrom="paragraph">
                  <wp:posOffset>194945</wp:posOffset>
                </wp:positionV>
                <wp:extent cx="158750" cy="147955"/>
                <wp:effectExtent l="15240" t="23495" r="16510" b="9525"/>
                <wp:wrapNone/>
                <wp:docPr id="95" name="自选图形 600"/>
                <wp:cNvGraphicFramePr/>
                <a:graphic xmlns:a="http://schemas.openxmlformats.org/drawingml/2006/main">
                  <a:graphicData uri="http://schemas.microsoft.com/office/word/2010/wordprocessingShape">
                    <wps:wsp>
                      <wps:cNvSpPr>
                        <a:spLocks noChangeArrowheads="1"/>
                      </wps:cNvSpPr>
                      <wps:spPr bwMode="auto">
                        <a:xfrm>
                          <a:off x="0" y="0"/>
                          <a:ext cx="158750" cy="147955"/>
                        </a:xfrm>
                        <a:prstGeom prst="triangle">
                          <a:avLst>
                            <a:gd name="adj" fmla="val 50000"/>
                          </a:avLst>
                        </a:prstGeom>
                        <a:solidFill>
                          <a:srgbClr val="FF0000"/>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自选图形 600" o:spid="_x0000_s1026" o:spt="5" type="#_x0000_t5" style="position:absolute;left:0pt;margin-left:239.6pt;margin-top:15.35pt;height:11.65pt;width:12.5pt;z-index:251684864;mso-width-relative:page;mso-height-relative:page;" fillcolor="#FF0000" filled="t" stroked="t" coordsize="21600,21600" o:gfxdata="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9mQE&#10;2AAAAAkBAAAPAAAAAAAAAAEAIAAAACIAAABkcnMvZG93bnJldi54bWxQSwECFAAUAAAACACHTuJA&#10;i4/JDFoCAAC1BAAADgAAAAAAAAABACAAAAAnAQAAZHJzL2Uyb0RvYy54bWxQSwUGAAAAAAYABgBZ&#10;AQAA8wUAAAAA&#10;" adj="10800">
                <v:fill on="t" focussize="0,0"/>
                <v:stroke color="#000000" miterlimit="8" joinstyle="miter"/>
                <v:imagedata o:title=""/>
                <o:lock v:ext="edit" aspectratio="f"/>
              </v:shape>
            </w:pict>
          </mc:Fallback>
        </mc:AlternateContent>
      </w:r>
    </w:p>
    <w:p>
      <w:pPr>
        <w:jc w:val="center"/>
        <w:rPr>
          <w:b/>
          <w:sz w:val="24"/>
        </w:rPr>
      </w:pPr>
    </w:p>
    <w:p>
      <w:pPr>
        <w:jc w:val="center"/>
        <w:rPr>
          <w:b/>
          <w:sz w:val="24"/>
        </w:rPr>
      </w:pPr>
    </w:p>
    <w:p>
      <w:pPr>
        <w:jc w:val="center"/>
        <w:rPr>
          <w:b/>
          <w:sz w:val="24"/>
        </w:rPr>
      </w:pPr>
    </w:p>
    <w:p>
      <w:pPr>
        <w:jc w:val="center"/>
        <w:rPr>
          <w:b/>
          <w:sz w:val="24"/>
        </w:rPr>
      </w:pPr>
      <w:r>
        <w:rPr>
          <w:rFonts w:hint="eastAsia"/>
          <w:b/>
          <w:sz w:val="24"/>
        </w:rPr>
        <w:t>附图</w:t>
      </w:r>
      <w:r>
        <w:rPr>
          <w:b/>
          <w:sz w:val="24"/>
        </w:rPr>
        <w:t>3 地块</w:t>
      </w:r>
      <w:r>
        <w:rPr>
          <w:rFonts w:hint="eastAsia"/>
          <w:b/>
          <w:sz w:val="24"/>
        </w:rPr>
        <w:t>4、5、6监测布点图</w:t>
      </w:r>
    </w:p>
    <w:p>
      <w:pPr>
        <w:jc w:val="center"/>
        <w:rPr>
          <w:b/>
          <w:sz w:val="24"/>
        </w:rPr>
      </w:pPr>
      <w:r>
        <w:rPr>
          <w:rFonts w:ascii="Calibri" w:hAnsi="Calibri"/>
          <w:szCs w:val="22"/>
        </w:rPr>
        <w:drawing>
          <wp:anchor distT="0" distB="0" distL="114300" distR="114300" simplePos="0" relativeHeight="251739136" behindDoc="0" locked="0" layoutInCell="1" allowOverlap="1">
            <wp:simplePos x="0" y="0"/>
            <wp:positionH relativeFrom="margin">
              <wp:posOffset>69850</wp:posOffset>
            </wp:positionH>
            <wp:positionV relativeFrom="paragraph">
              <wp:posOffset>8890</wp:posOffset>
            </wp:positionV>
            <wp:extent cx="333375" cy="476250"/>
            <wp:effectExtent l="0" t="0" r="0" b="0"/>
            <wp:wrapNone/>
            <wp:docPr id="616" name="图片 616" descr="D:\工作\公用资料图标\指北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descr="D:\工作\公用资料图标\指北针.jpg"/>
                    <pic:cNvPicPr>
                      <a:picLocks noChangeAspect="1" noChangeArrowheads="1"/>
                    </pic:cNvPicPr>
                  </pic:nvPicPr>
                  <pic:blipFill>
                    <a:blip r:embed="rId30" cstate="print">
                      <a:extLst>
                        <a:ext uri="{28A0092B-C50C-407E-A947-70E740481C1C}">
                          <a14:useLocalDpi xmlns:a14="http://schemas.microsoft.com/office/drawing/2010/main" val="0"/>
                        </a:ext>
                      </a:extLst>
                    </a:blip>
                    <a:srcRect l="9934" r="34076"/>
                    <a:stretch>
                      <a:fillRect/>
                    </a:stretch>
                  </pic:blipFill>
                  <pic:spPr>
                    <a:xfrm>
                      <a:off x="0" y="0"/>
                      <a:ext cx="333318" cy="476250"/>
                    </a:xfrm>
                    <a:prstGeom prst="rect">
                      <a:avLst/>
                    </a:prstGeom>
                    <a:noFill/>
                    <a:ln>
                      <a:noFill/>
                    </a:ln>
                  </pic:spPr>
                </pic:pic>
              </a:graphicData>
            </a:graphic>
          </wp:anchor>
        </w:drawing>
      </w:r>
      <w:r>
        <w:rPr>
          <w:szCs w:val="28"/>
        </w:rPr>
        <mc:AlternateContent>
          <mc:Choice Requires="wps">
            <w:drawing>
              <wp:anchor distT="0" distB="0" distL="114300" distR="114300" simplePos="0" relativeHeight="251736064" behindDoc="0" locked="0" layoutInCell="1" allowOverlap="1">
                <wp:simplePos x="0" y="0"/>
                <wp:positionH relativeFrom="column">
                  <wp:posOffset>4290695</wp:posOffset>
                </wp:positionH>
                <wp:positionV relativeFrom="paragraph">
                  <wp:posOffset>4528820</wp:posOffset>
                </wp:positionV>
                <wp:extent cx="857250" cy="352425"/>
                <wp:effectExtent l="552450" t="0" r="19050" b="142875"/>
                <wp:wrapNone/>
                <wp:docPr id="613" name="圆角矩形标注 613"/>
                <wp:cNvGraphicFramePr/>
                <a:graphic xmlns:a="http://schemas.openxmlformats.org/drawingml/2006/main">
                  <a:graphicData uri="http://schemas.microsoft.com/office/word/2010/wordprocessingShape">
                    <wps:wsp>
                      <wps:cNvSpPr/>
                      <wps:spPr>
                        <a:xfrm>
                          <a:off x="0" y="0"/>
                          <a:ext cx="857250" cy="352425"/>
                        </a:xfrm>
                        <a:prstGeom prst="wedgeRoundRectCallout">
                          <a:avLst>
                            <a:gd name="adj1" fmla="val -108623"/>
                            <a:gd name="adj2" fmla="val 74062"/>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进站道路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7.85pt;margin-top:356.6pt;height:27.75pt;width:67.5pt;z-index:251736064;v-text-anchor:middle;mso-width-relative:page;mso-height-relative:page;" fillcolor="#CCE8CF [3201]" filled="t" stroked="t" coordsize="21600,21600" o:gfxdata="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s0QNvYAAAACwEAAA8AAAAAAAAAAQAgAAAAIgAAAGRycy9kb3ducmV2LnhtbFBLAQIUABQAAAAI&#10;AIdO4kAgsxQb0QIAAJYFAAAOAAAAAAAAAAEAIAAAACcBAABkcnMvZTJvRG9jLnhtbFBLBQYAAAAA&#10;BgAGAFkBAABqBgAAAAA=&#10;" adj="-12663,26797,14400">
                <v:fill on="t" focussize="0,0"/>
                <v:stroke weight="1pt" color="#70AD47 [3209]" miterlimit="8" joinstyle="miter"/>
                <v:imagedata o:title=""/>
                <o:lock v:ext="edit" aspectratio="f"/>
                <v:textbox>
                  <w:txbxContent>
                    <w:p>
                      <w:pPr>
                        <w:jc w:val="center"/>
                      </w:pPr>
                      <w:r>
                        <w:rPr>
                          <w:rFonts w:hint="eastAsia"/>
                        </w:rPr>
                        <w:t>进站道路</w:t>
                      </w:r>
                    </w:p>
                  </w:txbxContent>
                </v:textbox>
              </v:shape>
            </w:pict>
          </mc:Fallback>
        </mc:AlternateContent>
      </w:r>
      <w:r>
        <w:rPr>
          <w:szCs w:val="28"/>
        </w:rPr>
        <mc:AlternateContent>
          <mc:Choice Requires="wps">
            <w:drawing>
              <wp:anchor distT="0" distB="0" distL="114300" distR="114300" simplePos="0" relativeHeight="251735040" behindDoc="0" locked="0" layoutInCell="1" allowOverlap="1">
                <wp:simplePos x="0" y="0"/>
                <wp:positionH relativeFrom="column">
                  <wp:posOffset>4443095</wp:posOffset>
                </wp:positionH>
                <wp:positionV relativeFrom="paragraph">
                  <wp:posOffset>3233420</wp:posOffset>
                </wp:positionV>
                <wp:extent cx="752475" cy="352425"/>
                <wp:effectExtent l="723900" t="0" r="28575" b="542925"/>
                <wp:wrapNone/>
                <wp:docPr id="611" name="圆角矩形标注 611"/>
                <wp:cNvGraphicFramePr/>
                <a:graphic xmlns:a="http://schemas.openxmlformats.org/drawingml/2006/main">
                  <a:graphicData uri="http://schemas.microsoft.com/office/word/2010/wordprocessingShape">
                    <wps:wsp>
                      <wps:cNvSpPr/>
                      <wps:spPr>
                        <a:xfrm>
                          <a:off x="0" y="0"/>
                          <a:ext cx="752475" cy="352425"/>
                        </a:xfrm>
                        <a:prstGeom prst="wedgeRoundRectCallout">
                          <a:avLst>
                            <a:gd name="adj1" fmla="val -138959"/>
                            <a:gd name="adj2" fmla="val 182169"/>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升压站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49.85pt;margin-top:254.6pt;height:27.75pt;width:59.25pt;z-index:251735040;v-text-anchor:middle;mso-width-relative:page;mso-height-relative:page;" fillcolor="#CCE8CF [3201]" filled="t" stroked="t" coordsize="21600,21600" o:gfxdata="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HPkDLbAAAACwEAAA8AAAAAAAAAAQAgAAAAIgAAAGRycy9kb3ducmV2LnhtbFBLAQIUABQAAAAI&#10;AIdO4kA11YEFzgIAAJcFAAAOAAAAAAAAAAEAIAAAACoBAABkcnMvZTJvRG9jLnhtbFBLBQYAAAAA&#10;BgAGAFkBAABqBgAAAAA=&#10;" adj="-19215,50149,14400">
                <v:fill on="t" focussize="0,0"/>
                <v:stroke weight="1pt" color="#70AD47 [3209]" miterlimit="8" joinstyle="miter"/>
                <v:imagedata o:title=""/>
                <o:lock v:ext="edit" aspectratio="f"/>
                <v:textbox>
                  <w:txbxContent>
                    <w:p>
                      <w:pPr>
                        <w:jc w:val="center"/>
                      </w:pPr>
                      <w:r>
                        <w:rPr>
                          <w:rFonts w:hint="eastAsia"/>
                        </w:rPr>
                        <w:t>升压站</w:t>
                      </w:r>
                    </w:p>
                  </w:txbxContent>
                </v:textbox>
              </v:shape>
            </w:pict>
          </mc:Fallback>
        </mc:AlternateContent>
      </w:r>
      <w:r>
        <w:rPr>
          <w:szCs w:val="28"/>
        </w:rPr>
        <mc:AlternateContent>
          <mc:Choice Requires="wps">
            <w:drawing>
              <wp:anchor distT="0" distB="0" distL="114300" distR="114300" simplePos="0" relativeHeight="251734016" behindDoc="0" locked="0" layoutInCell="1" allowOverlap="1">
                <wp:simplePos x="0" y="0"/>
                <wp:positionH relativeFrom="column">
                  <wp:posOffset>671195</wp:posOffset>
                </wp:positionH>
                <wp:positionV relativeFrom="paragraph">
                  <wp:posOffset>2852420</wp:posOffset>
                </wp:positionV>
                <wp:extent cx="619125" cy="352425"/>
                <wp:effectExtent l="0" t="0" r="66675" b="809625"/>
                <wp:wrapNone/>
                <wp:docPr id="610" name="圆角矩形标注 610"/>
                <wp:cNvGraphicFramePr/>
                <a:graphic xmlns:a="http://schemas.openxmlformats.org/drawingml/2006/main">
                  <a:graphicData uri="http://schemas.microsoft.com/office/word/2010/wordprocessingShape">
                    <wps:wsp>
                      <wps:cNvSpPr/>
                      <wps:spPr>
                        <a:xfrm>
                          <a:off x="0" y="0"/>
                          <a:ext cx="619125" cy="352425"/>
                        </a:xfrm>
                        <a:prstGeom prst="wedgeRoundRectCallout">
                          <a:avLst>
                            <a:gd name="adj1" fmla="val 53835"/>
                            <a:gd name="adj2" fmla="val 255141"/>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t>地块</w:t>
                            </w: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2.85pt;margin-top:224.6pt;height:27.75pt;width:48.75pt;z-index:251734016;v-text-anchor:middle;mso-width-relative:page;mso-height-relative:page;" fillcolor="#CCE8CF [3201]" filled="t" stroked="t" coordsize="21600,21600" o:gfxdata="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Rep+rYAAAACwEAAA8AAAAAAAAAAQAgAAAAIgAAAGRycy9kb3ducmV2LnhtbFBLAQIUABQAAAAI&#10;AIdO4kBwFi9/0QIAAJUFAAAOAAAAAAAAAAEAIAAAACcBAABkcnMvZTJvRG9jLnhtbFBLBQYAAAAA&#10;BgAGAFkBAABqBgAAAAA=&#10;" adj="22428,65910,14400">
                <v:fill on="t" focussize="0,0"/>
                <v:stroke weight="1pt" color="#70AD47 [3209]" miterlimit="8" joinstyle="miter"/>
                <v:imagedata o:title=""/>
                <o:lock v:ext="edit" aspectratio="f"/>
                <v:textbox>
                  <w:txbxContent>
                    <w:p>
                      <w:pPr>
                        <w:jc w:val="center"/>
                      </w:pPr>
                      <w:r>
                        <w:t>地块</w:t>
                      </w:r>
                      <w:r>
                        <w:rPr>
                          <w:rFonts w:hint="eastAsia"/>
                        </w:rPr>
                        <w:t>2</w:t>
                      </w:r>
                    </w:p>
                  </w:txbxContent>
                </v:textbox>
              </v:shape>
            </w:pict>
          </mc:Fallback>
        </mc:AlternateContent>
      </w:r>
      <w:r>
        <w:rPr>
          <w:szCs w:val="28"/>
        </w:rPr>
        <mc:AlternateContent>
          <mc:Choice Requires="wps">
            <w:drawing>
              <wp:anchor distT="0" distB="0" distL="114300" distR="114300" simplePos="0" relativeHeight="251726848" behindDoc="0" locked="0" layoutInCell="1" allowOverlap="1">
                <wp:simplePos x="0" y="0"/>
                <wp:positionH relativeFrom="column">
                  <wp:posOffset>671830</wp:posOffset>
                </wp:positionH>
                <wp:positionV relativeFrom="paragraph">
                  <wp:posOffset>4778375</wp:posOffset>
                </wp:positionV>
                <wp:extent cx="156210" cy="156845"/>
                <wp:effectExtent l="20955" t="20320" r="13335" b="13335"/>
                <wp:wrapNone/>
                <wp:docPr id="54" name="等腰三角形 54"/>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2.9pt;margin-top:376.25pt;height:12.35pt;width:12.3pt;z-index:251726848;mso-width-relative:page;mso-height-relative:page;" fillcolor="#FF0000" filled="t" stroked="t" coordsize="21600,21600" o:gfxdata="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cweAba&#10;AAAACwEAAA8AAAAAAAAAAQAgAAAAIgAAAGRycy9kb3ducmV2LnhtbFBLAQIUABQAAAAIAIdO4kB6&#10;mvcWVwIAAKkEAAAOAAAAAAAAAAEAIAAAACkBAABkcnMvZTJvRG9jLnhtbFBLBQYAAAAABgAGAFkB&#10;AADyBQ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09440" behindDoc="0" locked="0" layoutInCell="1" allowOverlap="1">
                <wp:simplePos x="0" y="0"/>
                <wp:positionH relativeFrom="column">
                  <wp:posOffset>1300480</wp:posOffset>
                </wp:positionH>
                <wp:positionV relativeFrom="paragraph">
                  <wp:posOffset>4388485</wp:posOffset>
                </wp:positionV>
                <wp:extent cx="156210" cy="156845"/>
                <wp:effectExtent l="20955" t="20320" r="13335" b="13335"/>
                <wp:wrapNone/>
                <wp:docPr id="110" name="等腰三角形 110"/>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2.4pt;margin-top:345.55pt;height:12.35pt;width:12.3pt;z-index:251709440;mso-width-relative:page;mso-height-relative:page;" fillcolor="#FF0000" filled="t" stroked="t" coordsize="21600,21600" o:gfxdata="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0WZzy&#10;2wAAAAsBAAAPAAAAAAAAAAEAIAAAACIAAABkcnMvZG93bnJldi54bWxQSwECFAAUAAAACACHTuJA&#10;5AiUslcCAACrBAAADgAAAAAAAAABACAAAAAq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0464" behindDoc="0" locked="0" layoutInCell="1" allowOverlap="1">
                <wp:simplePos x="0" y="0"/>
                <wp:positionH relativeFrom="column">
                  <wp:posOffset>1700530</wp:posOffset>
                </wp:positionH>
                <wp:positionV relativeFrom="paragraph">
                  <wp:posOffset>3822065</wp:posOffset>
                </wp:positionV>
                <wp:extent cx="156210" cy="156845"/>
                <wp:effectExtent l="20955" t="20320" r="13335" b="13335"/>
                <wp:wrapNone/>
                <wp:docPr id="109" name="等腰三角形 109"/>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3.9pt;margin-top:300.95pt;height:12.35pt;width:12.3pt;z-index:251710464;mso-width-relative:page;mso-height-relative:page;" fillcolor="#FF0000" filled="t" stroked="t" coordsize="21600,21600" o:gfxdata="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em&#10;b9sAAAALAQAADwAAAAAAAAABACAAAAAiAAAAZHJzL2Rvd25yZXYueG1sUEsBAhQAFAAAAAgAh07i&#10;QJ/7jMJYAgAAqwQAAA4AAAAAAAAAAQAgAAAAKgEAAGRycy9lMm9Eb2MueG1sUEsFBgAAAAAGAAYA&#10;WQEAAPQFA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1488" behindDoc="0" locked="0" layoutInCell="1" allowOverlap="1">
                <wp:simplePos x="0" y="0"/>
                <wp:positionH relativeFrom="column">
                  <wp:posOffset>1290955</wp:posOffset>
                </wp:positionH>
                <wp:positionV relativeFrom="paragraph">
                  <wp:posOffset>3412490</wp:posOffset>
                </wp:positionV>
                <wp:extent cx="156210" cy="156845"/>
                <wp:effectExtent l="20955" t="20320" r="13335" b="13335"/>
                <wp:wrapNone/>
                <wp:docPr id="18" name="等腰三角形 18"/>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65pt;margin-top:268.7pt;height:12.35pt;width:12.3pt;z-index:251711488;mso-width-relative:page;mso-height-relative:page;" fillcolor="#FF0000" filled="t" stroked="t" coordsize="21600,21600" o:gfxdata="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isGnb&#10;AAAACwEAAA8AAAAAAAAAAQAgAAAAIgAAAGRycy9kb3ducmV2LnhtbFBLAQIUABQAAAAIAIdO4kAM&#10;fSx6VgIAAKkEAAAOAAAAAAAAAAEAIAAAACoBAABkcnMvZTJvRG9jLnhtbFBLBQYAAAAABgAGAFkB&#10;AADyBQ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08416" behindDoc="0" locked="0" layoutInCell="1" allowOverlap="1">
                <wp:simplePos x="0" y="0"/>
                <wp:positionH relativeFrom="column">
                  <wp:posOffset>900430</wp:posOffset>
                </wp:positionH>
                <wp:positionV relativeFrom="paragraph">
                  <wp:posOffset>3907155</wp:posOffset>
                </wp:positionV>
                <wp:extent cx="156210" cy="156845"/>
                <wp:effectExtent l="20955" t="20320" r="13335" b="13335"/>
                <wp:wrapNone/>
                <wp:docPr id="7" name="等腰三角形 7"/>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0.9pt;margin-top:307.65pt;height:12.35pt;width:12.3pt;z-index:251708416;mso-width-relative:page;mso-height-relative:page;" fillcolor="#FF0000" filled="t" stroked="t" coordsize="21600,21600" o:gfxdata="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MaOXH2QAA&#10;AAsBAAAPAAAAAAAAAAEAIAAAACIAAABkcnMvZG93bnJldi54bWxQSwECFAAUAAAACACHTuJAvREd&#10;p1YCAACnBAAADgAAAAAAAAABACAAAAAoAQAAZHJzL2Uyb0RvYy54bWxQSwUGAAAAAAYABgBZAQAA&#10;8AUAAAAA&#10;" adj="10800">
                <v:fill on="t" focussize="0,0"/>
                <v:stroke color="#000000" miterlimit="8" joinstyle="miter"/>
                <v:imagedata o:title=""/>
                <o:lock v:ext="edit" aspectratio="f"/>
              </v:shape>
            </w:pict>
          </mc:Fallback>
        </mc:AlternateContent>
      </w:r>
      <w:r>
        <w:rPr>
          <w:b/>
          <w:sz w:val="24"/>
        </w:rPr>
        <mc:AlternateContent>
          <mc:Choice Requires="wps">
            <w:drawing>
              <wp:anchor distT="45720" distB="45720" distL="114300" distR="114300" simplePos="0" relativeHeight="251732992" behindDoc="0" locked="0" layoutInCell="1" allowOverlap="1">
                <wp:simplePos x="0" y="0"/>
                <wp:positionH relativeFrom="column">
                  <wp:posOffset>2680970</wp:posOffset>
                </wp:positionH>
                <wp:positionV relativeFrom="paragraph">
                  <wp:posOffset>2357120</wp:posOffset>
                </wp:positionV>
                <wp:extent cx="628650" cy="1404620"/>
                <wp:effectExtent l="0" t="0" r="19050" b="12700"/>
                <wp:wrapNone/>
                <wp:docPr id="6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solidFill>
                            <a:srgbClr val="000000"/>
                          </a:solidFill>
                          <a:miter lim="800000"/>
                        </a:ln>
                      </wps:spPr>
                      <wps:txbx>
                        <w:txbxContent>
                          <w:p>
                            <w:r>
                              <w:t>地块3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11.1pt;margin-top:185.6pt;height:110.6pt;width:49.5pt;z-index:251732992;mso-width-relative:page;mso-height-relative:margin;mso-height-percent:200;" fillcolor="#FFFFFF" filled="t" stroked="t" coordsize="21600,21600" o:gfxdata="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BQaVjXAAAACwEAAA8AAAAAAAAAAQAgAAAAIgAAAGRycy9k&#10;b3ducmV2LnhtbFBLAQIUABQAAAAIAIdO4kAeqYtDPAIAAH0EAAAOAAAAAAAAAAEAIAAAACYBAABk&#10;cnMvZTJvRG9jLnhtbFBLBQYAAAAABgAGAFkBAADUBQAAAAA=&#10;">
                <v:fill on="t" focussize="0,0"/>
                <v:stroke color="#000000" miterlimit="8" joinstyle="miter"/>
                <v:imagedata o:title=""/>
                <o:lock v:ext="edit" aspectratio="f"/>
                <v:textbox style="mso-fit-shape-to-text:t;">
                  <w:txbxContent>
                    <w:p>
                      <w:r>
                        <w:t>地块3</w:t>
                      </w:r>
                    </w:p>
                  </w:txbxContent>
                </v:textbox>
              </v:shape>
            </w:pict>
          </mc:Fallback>
        </mc:AlternateContent>
      </w:r>
      <w:r>
        <w:rPr>
          <w:szCs w:val="28"/>
        </w:rPr>
        <mc:AlternateContent>
          <mc:Choice Requires="wps">
            <w:drawing>
              <wp:anchor distT="0" distB="0" distL="114300" distR="114300" simplePos="0" relativeHeight="251728896" behindDoc="0" locked="0" layoutInCell="1" allowOverlap="1">
                <wp:simplePos x="0" y="0"/>
                <wp:positionH relativeFrom="column">
                  <wp:posOffset>4566920</wp:posOffset>
                </wp:positionH>
                <wp:positionV relativeFrom="paragraph">
                  <wp:posOffset>1233170</wp:posOffset>
                </wp:positionV>
                <wp:extent cx="1076325" cy="352425"/>
                <wp:effectExtent l="647700" t="0" r="28575" b="657225"/>
                <wp:wrapNone/>
                <wp:docPr id="602" name="圆角矩形标注 602"/>
                <wp:cNvGraphicFramePr/>
                <a:graphic xmlns:a="http://schemas.openxmlformats.org/drawingml/2006/main">
                  <a:graphicData uri="http://schemas.microsoft.com/office/word/2010/wordprocessingShape">
                    <wps:wsp>
                      <wps:cNvSpPr/>
                      <wps:spPr>
                        <a:xfrm>
                          <a:off x="0" y="0"/>
                          <a:ext cx="1076325" cy="352425"/>
                        </a:xfrm>
                        <a:prstGeom prst="wedgeRoundRectCallout">
                          <a:avLst>
                            <a:gd name="adj1" fmla="val -105457"/>
                            <a:gd name="adj2" fmla="val 211898"/>
                            <a:gd name="adj3" fmla="val 1666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光伏场</w:t>
                            </w:r>
                            <w:r>
                              <w:t>边界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9.6pt;margin-top:97.1pt;height:27.75pt;width:84.75pt;z-index:251728896;v-text-anchor:middle;mso-width-relative:page;mso-height-relative:page;" fillcolor="#CCE8CF [3201]" filled="t" stroked="t" coordsize="21600,21600" o:gfxdata="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c8kInaAAAACwEAAA8AAAAAAAAAAQAgAAAAIgAAAGRycy9kb3ducmV2LnhtbFBLAQIUABQA&#10;AAAIAIdO4kDEix660gIAAJgFAAAOAAAAAAAAAAEAIAAAACkBAABkcnMvZTJvRG9jLnhtbFBLBQYA&#10;AAAABgAGAFkBAABtBgAAAAA=&#10;" adj="-11979,56570,14400">
                <v:fill on="t" focussize="0,0"/>
                <v:stroke weight="1pt" color="#70AD47 [3209]" miterlimit="8" joinstyle="miter"/>
                <v:imagedata o:title=""/>
                <o:lock v:ext="edit" aspectratio="f"/>
                <v:textbox>
                  <w:txbxContent>
                    <w:p>
                      <w:pPr>
                        <w:jc w:val="center"/>
                      </w:pPr>
                      <w:r>
                        <w:rPr>
                          <w:rFonts w:hint="eastAsia"/>
                        </w:rPr>
                        <w:t>光伏场</w:t>
                      </w:r>
                      <w:r>
                        <w:t>边界</w:t>
                      </w:r>
                    </w:p>
                  </w:txbxContent>
                </v:textbox>
              </v:shape>
            </w:pict>
          </mc:Fallback>
        </mc:AlternateContent>
      </w:r>
      <w:r>
        <w:rPr>
          <w:szCs w:val="28"/>
        </w:rPr>
        <mc:AlternateContent>
          <mc:Choice Requires="wps">
            <w:drawing>
              <wp:anchor distT="0" distB="0" distL="114300" distR="114300" simplePos="0" relativeHeight="251714560" behindDoc="0" locked="0" layoutInCell="1" allowOverlap="1">
                <wp:simplePos x="0" y="0"/>
                <wp:positionH relativeFrom="column">
                  <wp:posOffset>2681605</wp:posOffset>
                </wp:positionH>
                <wp:positionV relativeFrom="paragraph">
                  <wp:posOffset>4516755</wp:posOffset>
                </wp:positionV>
                <wp:extent cx="156210" cy="156845"/>
                <wp:effectExtent l="20955" t="20320" r="13335" b="13335"/>
                <wp:wrapNone/>
                <wp:docPr id="105" name="等腰三角形 105"/>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11.15pt;margin-top:355.65pt;height:12.35pt;width:12.3pt;z-index:251714560;mso-width-relative:page;mso-height-relative:page;" fillcolor="#FF0000" filled="t" stroked="t" coordsize="21600,21600" o:gfxdata="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hvmv&#10;2wAAAAsBAAAPAAAAAAAAAAEAIAAAACIAAABkcnMvZG93bnJldi54bWxQSwECFAAUAAAACACHTuJA&#10;nXN/5VcCAACrBAAADgAAAAAAAAABACAAAAAq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8656" behindDoc="0" locked="0" layoutInCell="1" allowOverlap="1">
                <wp:simplePos x="0" y="0"/>
                <wp:positionH relativeFrom="column">
                  <wp:posOffset>3712210</wp:posOffset>
                </wp:positionH>
                <wp:positionV relativeFrom="paragraph">
                  <wp:posOffset>4411980</wp:posOffset>
                </wp:positionV>
                <wp:extent cx="156210" cy="156845"/>
                <wp:effectExtent l="20955" t="20320" r="13335" b="13335"/>
                <wp:wrapNone/>
                <wp:docPr id="101" name="等腰三角形 101"/>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92.3pt;margin-top:347.4pt;height:12.35pt;width:12.3pt;z-index:251718656;mso-width-relative:page;mso-height-relative:page;" fillcolor="#FF0000" filled="t" stroked="t" coordsize="21600,21600" o:gfxdata="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QvzZdsAAAALAQAADwAAAAAAAAABACAAAAAiAAAAZHJzL2Rvd25yZXYueG1sUEsBAhQAFAAAAAgA&#10;h07iQFz2/k5bAgAAqwQAAA4AAAAAAAAAAQAgAAAAKgEAAGRycy9lMm9Eb2MueG1sUEsFBgAAAAAG&#10;AAYAWQEAAPcFA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6608" behindDoc="0" locked="0" layoutInCell="1" allowOverlap="1">
                <wp:simplePos x="0" y="0"/>
                <wp:positionH relativeFrom="column">
                  <wp:posOffset>3716020</wp:posOffset>
                </wp:positionH>
                <wp:positionV relativeFrom="paragraph">
                  <wp:posOffset>3568700</wp:posOffset>
                </wp:positionV>
                <wp:extent cx="156210" cy="156845"/>
                <wp:effectExtent l="20955" t="20320" r="13335" b="13335"/>
                <wp:wrapNone/>
                <wp:docPr id="103" name="等腰三角形 103"/>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92.6pt;margin-top:281pt;height:12.35pt;width:12.3pt;z-index:251716608;mso-width-relative:page;mso-height-relative:page;" fillcolor="#FF0000" filled="t" stroked="t" coordsize="21600,21600" o:gfxdata="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YxlfzZ&#10;AAAACwEAAA8AAAAAAAAAAQAgAAAAIgAAAGRycy9kb3ducmV2LnhtbFBLAQIUABQAAAAIAIdO4kCc&#10;t4b2WAIAAKsEAAAOAAAAAAAAAAEAIAAAACgBAABkcnMvZTJvRG9jLnhtbFBLBQYAAAAABgAGAFkB&#10;AADyBQ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7632" behindDoc="0" locked="0" layoutInCell="1" allowOverlap="1">
                <wp:simplePos x="0" y="0"/>
                <wp:positionH relativeFrom="column">
                  <wp:posOffset>3954145</wp:posOffset>
                </wp:positionH>
                <wp:positionV relativeFrom="paragraph">
                  <wp:posOffset>4016375</wp:posOffset>
                </wp:positionV>
                <wp:extent cx="156210" cy="156845"/>
                <wp:effectExtent l="20955" t="20320" r="13335" b="13335"/>
                <wp:wrapNone/>
                <wp:docPr id="102" name="等腰三角形 102"/>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11.35pt;margin-top:316.25pt;height:12.35pt;width:12.3pt;z-index:251717632;mso-width-relative:page;mso-height-relative:page;" fillcolor="#FF0000" filled="t" stroked="t" coordsize="21600,21600" o:gfxdata="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AvZ&#10;BdsAAAALAQAADwAAAAAAAAABACAAAAAiAAAAZHJzL2Rvd25yZXYueG1sUEsBAhQAFAAAAAgAh07i&#10;QHyXuqpYAgAAqwQAAA4AAAAAAAAAAQAgAAAAKgEAAGRycy9lMm9Eb2MueG1sUEsFBgAAAAAGAAYA&#10;WQEAAPQFAAAAAA==&#10;" adj="10800">
                <v:fill on="t" focussize="0,0"/>
                <v:stroke color="#000000" miterlimit="8" joinstyle="miter"/>
                <v:imagedata o:title=""/>
                <o:lock v:ext="edit" aspectratio="f"/>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6519545</wp:posOffset>
                </wp:positionH>
                <wp:positionV relativeFrom="paragraph">
                  <wp:posOffset>4995545</wp:posOffset>
                </wp:positionV>
                <wp:extent cx="1666875" cy="495300"/>
                <wp:effectExtent l="0" t="0" r="28575" b="19050"/>
                <wp:wrapNone/>
                <wp:docPr id="100" name="文本框 569"/>
                <wp:cNvGraphicFramePr/>
                <a:graphic xmlns:a="http://schemas.openxmlformats.org/drawingml/2006/main">
                  <a:graphicData uri="http://schemas.microsoft.com/office/word/2010/wordprocessingShape">
                    <wps:wsp>
                      <wps:cNvSpPr txBox="1">
                        <a:spLocks noChangeArrowheads="1"/>
                      </wps:cNvSpPr>
                      <wps:spPr bwMode="auto">
                        <a:xfrm>
                          <a:off x="0" y="0"/>
                          <a:ext cx="1666875" cy="495300"/>
                        </a:xfrm>
                        <a:prstGeom prst="rect">
                          <a:avLst/>
                        </a:prstGeom>
                        <a:solidFill>
                          <a:srgbClr val="E6E0EC"/>
                        </a:solidFill>
                        <a:ln w="9525">
                          <a:solidFill>
                            <a:srgbClr val="000000"/>
                          </a:solidFill>
                          <a:miter lim="800000"/>
                        </a:ln>
                        <a:effectLst/>
                      </wps:spPr>
                      <wps:txbx>
                        <w:txbxContent>
                          <w:p>
                            <w:pPr>
                              <w:jc w:val="center"/>
                              <w:rPr>
                                <w:b/>
                              </w:rPr>
                            </w:pPr>
                            <w:r>
                              <w:rPr>
                                <w:b/>
                              </w:rPr>
                              <w:t>图</w:t>
                            </w:r>
                            <w:r>
                              <w:rPr>
                                <w:rFonts w:hint="eastAsia"/>
                                <w:b/>
                              </w:rPr>
                              <w:t xml:space="preserve">  例</w:t>
                            </w:r>
                          </w:p>
                          <w:p>
                            <w:pPr>
                              <w:ind w:firstLine="105" w:firstLineChars="50"/>
                              <w:rPr>
                                <w:szCs w:val="21"/>
                              </w:rPr>
                            </w:pPr>
                            <w:r>
                              <w:drawing>
                                <wp:inline distT="0" distB="0" distL="0" distR="0">
                                  <wp:extent cx="180975" cy="171450"/>
                                  <wp:effectExtent l="0" t="0" r="9525"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r>
                              <w:rPr>
                                <w:szCs w:val="21"/>
                              </w:rPr>
                              <w:t xml:space="preserve"> </w:t>
                            </w:r>
                          </w:p>
                        </w:txbxContent>
                      </wps:txbx>
                      <wps:bodyPr rot="0" vert="horz" wrap="square" lIns="91440" tIns="45720" rIns="91440" bIns="45720" anchor="t" anchorCtr="0" upright="1">
                        <a:noAutofit/>
                      </wps:bodyPr>
                    </wps:wsp>
                  </a:graphicData>
                </a:graphic>
              </wp:anchor>
            </w:drawing>
          </mc:Choice>
          <mc:Fallback>
            <w:pict>
              <v:shape id="文本框 569" o:spid="_x0000_s1026" o:spt="202" type="#_x0000_t202" style="position:absolute;left:0pt;margin-left:513.35pt;margin-top:393.35pt;height:39pt;width:131.25pt;z-index:251719680;mso-width-relative:page;mso-height-relative:page;" fillcolor="#E6E0EC" filled="t" stroked="t" coordsize="21600,21600" o:gfxdata="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VCROtoAAAANAQAADwAA&#10;AAAAAAABACAAAAAiAAAAZHJzL2Rvd25yZXYueG1sUEsBAhQAFAAAAAgAh07iQKYnsX5NAgAAmQQA&#10;AA4AAAAAAAAAAQAgAAAAKQEAAGRycy9lMm9Eb2MueG1sUEsFBgAAAAAGAAYAWQEAAOgFAAAAAA==&#10;">
                <v:fill on="t" focussize="0,0"/>
                <v:stroke color="#000000" miterlimit="8" joinstyle="miter"/>
                <v:imagedata o:title=""/>
                <o:lock v:ext="edit" aspectratio="f"/>
                <v:textbox>
                  <w:txbxContent>
                    <w:p>
                      <w:pPr>
                        <w:jc w:val="center"/>
                        <w:rPr>
                          <w:b/>
                        </w:rPr>
                      </w:pPr>
                      <w:r>
                        <w:rPr>
                          <w:b/>
                        </w:rPr>
                        <w:t>图</w:t>
                      </w:r>
                      <w:r>
                        <w:rPr>
                          <w:rFonts w:hint="eastAsia"/>
                          <w:b/>
                        </w:rPr>
                        <w:t xml:space="preserve">  例</w:t>
                      </w:r>
                    </w:p>
                    <w:p>
                      <w:pPr>
                        <w:ind w:firstLine="105" w:firstLineChars="50"/>
                        <w:rPr>
                          <w:szCs w:val="21"/>
                        </w:rPr>
                      </w:pPr>
                      <w:r>
                        <w:drawing>
                          <wp:inline distT="0" distB="0" distL="0" distR="0">
                            <wp:extent cx="180975" cy="171450"/>
                            <wp:effectExtent l="0" t="0" r="9525"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r>
                        <w:rPr>
                          <w:szCs w:val="21"/>
                        </w:rPr>
                        <w:t xml:space="preserve"> </w:t>
                      </w:r>
                    </w:p>
                  </w:txbxContent>
                </v:textbox>
              </v:shape>
            </w:pict>
          </mc:Fallback>
        </mc:AlternateContent>
      </w:r>
      <w:r>
        <w:rPr>
          <w:szCs w:val="28"/>
        </w:rPr>
        <mc:AlternateContent>
          <mc:Choice Requires="wps">
            <w:drawing>
              <wp:anchor distT="0" distB="0" distL="114300" distR="114300" simplePos="0" relativeHeight="251715584" behindDoc="0" locked="0" layoutInCell="1" allowOverlap="1">
                <wp:simplePos x="0" y="0"/>
                <wp:positionH relativeFrom="column">
                  <wp:posOffset>3487420</wp:posOffset>
                </wp:positionH>
                <wp:positionV relativeFrom="paragraph">
                  <wp:posOffset>3973830</wp:posOffset>
                </wp:positionV>
                <wp:extent cx="156210" cy="156845"/>
                <wp:effectExtent l="20955" t="20320" r="13335" b="13335"/>
                <wp:wrapNone/>
                <wp:docPr id="104" name="等腰三角形 104"/>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74.6pt;margin-top:312.9pt;height:12.35pt;width:12.3pt;z-index:251715584;mso-width-relative:page;mso-height-relative:page;" fillcolor="#FF0000" filled="t" stroked="t" coordsize="21600,21600" o:gfxdata="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CeMR&#10;2gAAAAsBAAAPAAAAAAAAAAEAIAAAACIAAABkcnMvZG93bnJldi54bWxQSwECFAAUAAAACACHTuJA&#10;fVNDuVgCAACrBAAADgAAAAAAAAABACAAAAAp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2512" behindDoc="0" locked="0" layoutInCell="1" allowOverlap="1">
                <wp:simplePos x="0" y="0"/>
                <wp:positionH relativeFrom="column">
                  <wp:posOffset>3952240</wp:posOffset>
                </wp:positionH>
                <wp:positionV relativeFrom="paragraph">
                  <wp:posOffset>2583180</wp:posOffset>
                </wp:positionV>
                <wp:extent cx="156210" cy="156845"/>
                <wp:effectExtent l="20955" t="20320" r="13335" b="13335"/>
                <wp:wrapNone/>
                <wp:docPr id="108" name="等腰三角形 108"/>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11.2pt;margin-top:203.4pt;height:12.35pt;width:12.3pt;z-index:251712512;mso-width-relative:page;mso-height-relative:page;" fillcolor="#FF0000" filled="t" stroked="t" coordsize="21600,21600" o:gfxdata="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Vfuu&#10;2gAAAAsBAAAPAAAAAAAAAAEAIAAAACIAAABkcnMvZG93bnJldi54bWxQSwECFAAUAAAACACHTuJA&#10;f9uwnlgCAACrBAAADgAAAAAAAAABACAAAAAp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07392" behindDoc="0" locked="0" layoutInCell="1" allowOverlap="1">
                <wp:simplePos x="0" y="0"/>
                <wp:positionH relativeFrom="column">
                  <wp:posOffset>1633855</wp:posOffset>
                </wp:positionH>
                <wp:positionV relativeFrom="paragraph">
                  <wp:posOffset>2354580</wp:posOffset>
                </wp:positionV>
                <wp:extent cx="156210" cy="156845"/>
                <wp:effectExtent l="20955" t="20320" r="13335" b="13335"/>
                <wp:wrapNone/>
                <wp:docPr id="106" name="等腰三角形 106"/>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28.65pt;margin-top:185.4pt;height:12.35pt;width:12.3pt;z-index:251707392;mso-width-relative:page;mso-height-relative:page;" fillcolor="#FF0000" filled="t" stroked="t" coordsize="21600,21600" o:gfxdata="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G/M&#10;K9sAAAALAQAADwAAAAAAAAABACAAAAAiAAAAZHJzL2Rvd25yZXYueG1sUEsBAhQAFAAAAAgAh07i&#10;QL0SOwFYAgAAqwQAAA4AAAAAAAAAAQAgAAAAKgEAAGRycy9lMm9Eb2MueG1sUEsFBgAAAAAGAAYA&#10;WQEAAPQFA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13536" behindDoc="0" locked="0" layoutInCell="1" allowOverlap="1">
                <wp:simplePos x="0" y="0"/>
                <wp:positionH relativeFrom="column">
                  <wp:posOffset>3104515</wp:posOffset>
                </wp:positionH>
                <wp:positionV relativeFrom="paragraph">
                  <wp:posOffset>116205</wp:posOffset>
                </wp:positionV>
                <wp:extent cx="156210" cy="156845"/>
                <wp:effectExtent l="20955" t="20320" r="13335" b="13335"/>
                <wp:wrapNone/>
                <wp:docPr id="107" name="等腰三角形 107"/>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244.45pt;margin-top:9.15pt;height:12.35pt;width:12.3pt;z-index:251713536;mso-width-relative:page;mso-height-relative:page;" fillcolor="#FF0000" filled="t" stroked="t" coordsize="21600,21600" o:gfxdata="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AbKUNgA&#10;AAAJAQAADwAAAAAAAAABACAAAAAiAAAAZHJzL2Rvd25yZXYueG1sUEsBAhQAFAAAAAgAh07iQF0y&#10;B11YAgAAqwQAAA4AAAAAAAAAAQAgAAAAJwEAAGRycy9lMm9Eb2MueG1sUEsFBgAAAAAGAAYAWQEA&#10;APEFAAAAAA==&#10;" adj="10800">
                <v:fill on="t" focussize="0,0"/>
                <v:stroke color="#000000" miterlimit="8" joinstyle="miter"/>
                <v:imagedata o:title=""/>
                <o:lock v:ext="edit" aspectratio="f"/>
              </v:shape>
            </w:pict>
          </mc:Fallback>
        </mc:AlternateContent>
      </w:r>
      <w:r>
        <w:rPr>
          <w:b/>
          <w:sz w:val="24"/>
        </w:rPr>
        <w:drawing>
          <wp:inline distT="0" distB="0" distL="0" distR="0">
            <wp:extent cx="8102600" cy="5486400"/>
            <wp:effectExtent l="0" t="0" r="0" b="0"/>
            <wp:docPr id="125" name="图片 125" descr="E:\工作\2023年工作\(P732K)巴彦淖尔100万千瓦光储+生态治理项目乌拉特前旗15万千瓦项目环境影响评价报告\过程\地块2、3升压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工作\2023年工作\(P732K)巴彦淖尔100万千瓦光储+生态治理项目乌拉特前旗15万千瓦项目环境影响评价报告\过程\地块2、3升压站.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116771" cy="5495995"/>
                    </a:xfrm>
                    <a:prstGeom prst="rect">
                      <a:avLst/>
                    </a:prstGeom>
                    <a:noFill/>
                    <a:ln>
                      <a:noFill/>
                    </a:ln>
                  </pic:spPr>
                </pic:pic>
              </a:graphicData>
            </a:graphic>
          </wp:inline>
        </w:drawing>
      </w:r>
    </w:p>
    <w:p>
      <w:pPr>
        <w:jc w:val="center"/>
        <w:rPr>
          <w:b/>
          <w:sz w:val="24"/>
        </w:rPr>
      </w:pPr>
      <w:r>
        <w:rPr>
          <w:rFonts w:hint="eastAsia"/>
          <w:b/>
          <w:sz w:val="24"/>
        </w:rPr>
        <w:t>附图</w:t>
      </w:r>
      <w:r>
        <w:rPr>
          <w:b/>
          <w:sz w:val="24"/>
        </w:rPr>
        <w:t>4 地块2</w:t>
      </w:r>
      <w:r>
        <w:rPr>
          <w:rFonts w:hint="eastAsia"/>
          <w:b/>
          <w:sz w:val="24"/>
        </w:rPr>
        <w:t>、</w:t>
      </w:r>
      <w:r>
        <w:rPr>
          <w:b/>
          <w:sz w:val="24"/>
        </w:rPr>
        <w:t>3</w:t>
      </w:r>
      <w:r>
        <w:rPr>
          <w:rFonts w:hint="eastAsia"/>
          <w:b/>
          <w:sz w:val="24"/>
        </w:rPr>
        <w:t>、升压站监测布点图</w:t>
      </w:r>
    </w:p>
    <w:p>
      <w:pPr>
        <w:jc w:val="center"/>
        <w:rPr>
          <w:b/>
          <w:sz w:val="24"/>
        </w:rPr>
      </w:pPr>
      <w:r>
        <w:rPr>
          <w:rFonts w:ascii="Calibri" w:hAnsi="Calibri"/>
          <w:szCs w:val="22"/>
        </w:rPr>
        <w:drawing>
          <wp:anchor distT="0" distB="0" distL="114300" distR="114300" simplePos="0" relativeHeight="251740160" behindDoc="0" locked="0" layoutInCell="1" allowOverlap="1">
            <wp:simplePos x="0" y="0"/>
            <wp:positionH relativeFrom="margin">
              <wp:posOffset>150495</wp:posOffset>
            </wp:positionH>
            <wp:positionV relativeFrom="paragraph">
              <wp:posOffset>635</wp:posOffset>
            </wp:positionV>
            <wp:extent cx="333375" cy="476250"/>
            <wp:effectExtent l="0" t="0" r="0" b="0"/>
            <wp:wrapNone/>
            <wp:docPr id="617" name="图片 617" descr="D:\工作\公用资料图标\指北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D:\工作\公用资料图标\指北针.jpg"/>
                    <pic:cNvPicPr>
                      <a:picLocks noChangeAspect="1" noChangeArrowheads="1"/>
                    </pic:cNvPicPr>
                  </pic:nvPicPr>
                  <pic:blipFill>
                    <a:blip r:embed="rId30" cstate="print">
                      <a:extLst>
                        <a:ext uri="{28A0092B-C50C-407E-A947-70E740481C1C}">
                          <a14:useLocalDpi xmlns:a14="http://schemas.microsoft.com/office/drawing/2010/main" val="0"/>
                        </a:ext>
                      </a:extLst>
                    </a:blip>
                    <a:srcRect l="9934" r="34076"/>
                    <a:stretch>
                      <a:fillRect/>
                    </a:stretch>
                  </pic:blipFill>
                  <pic:spPr>
                    <a:xfrm>
                      <a:off x="0" y="0"/>
                      <a:ext cx="333318" cy="476250"/>
                    </a:xfrm>
                    <a:prstGeom prst="rect">
                      <a:avLst/>
                    </a:prstGeom>
                    <a:noFill/>
                    <a:ln>
                      <a:noFill/>
                    </a:ln>
                  </pic:spPr>
                </pic:pic>
              </a:graphicData>
            </a:graphic>
          </wp:anchor>
        </w:drawing>
      </w:r>
      <w:r>
        <w:rPr>
          <w:sz w:val="32"/>
        </w:rPr>
        <mc:AlternateContent>
          <mc:Choice Requires="wps">
            <w:drawing>
              <wp:anchor distT="0" distB="0" distL="114300" distR="114300" simplePos="0" relativeHeight="251725824" behindDoc="0" locked="0" layoutInCell="1" allowOverlap="1">
                <wp:simplePos x="0" y="0"/>
                <wp:positionH relativeFrom="column">
                  <wp:posOffset>6467475</wp:posOffset>
                </wp:positionH>
                <wp:positionV relativeFrom="paragraph">
                  <wp:posOffset>4785995</wp:posOffset>
                </wp:positionV>
                <wp:extent cx="1666875" cy="638175"/>
                <wp:effectExtent l="0" t="0" r="28575" b="28575"/>
                <wp:wrapNone/>
                <wp:docPr id="115" name="文本框 569"/>
                <wp:cNvGraphicFramePr/>
                <a:graphic xmlns:a="http://schemas.openxmlformats.org/drawingml/2006/main">
                  <a:graphicData uri="http://schemas.microsoft.com/office/word/2010/wordprocessingShape">
                    <wps:wsp>
                      <wps:cNvSpPr txBox="1">
                        <a:spLocks noChangeArrowheads="1"/>
                      </wps:cNvSpPr>
                      <wps:spPr bwMode="auto">
                        <a:xfrm>
                          <a:off x="0" y="0"/>
                          <a:ext cx="1666875" cy="638175"/>
                        </a:xfrm>
                        <a:prstGeom prst="rect">
                          <a:avLst/>
                        </a:prstGeom>
                        <a:solidFill>
                          <a:srgbClr val="E6E0EC"/>
                        </a:solidFill>
                        <a:ln w="9525">
                          <a:solidFill>
                            <a:srgbClr val="000000"/>
                          </a:solidFill>
                          <a:miter lim="800000"/>
                        </a:ln>
                        <a:effectLst/>
                      </wps:spPr>
                      <wps:txbx>
                        <w:txbxContent>
                          <w:p>
                            <w:pPr>
                              <w:jc w:val="center"/>
                              <w:rPr>
                                <w:b/>
                              </w:rPr>
                            </w:pPr>
                            <w:r>
                              <w:rPr>
                                <w:b/>
                              </w:rPr>
                              <w:t>图</w:t>
                            </w:r>
                            <w:r>
                              <w:rPr>
                                <w:rFonts w:hint="eastAsia"/>
                                <w:b/>
                              </w:rPr>
                              <w:t xml:space="preserve">  例</w:t>
                            </w:r>
                          </w:p>
                          <w:p>
                            <w:pPr>
                              <w:ind w:firstLine="105" w:firstLineChars="50"/>
                            </w:pPr>
                            <w:r>
                              <w:drawing>
                                <wp:inline distT="0" distB="0" distL="0" distR="0">
                                  <wp:extent cx="180975" cy="17145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p>
                        </w:txbxContent>
                      </wps:txbx>
                      <wps:bodyPr rot="0" vert="horz" wrap="square" lIns="91440" tIns="45720" rIns="91440" bIns="45720" anchor="t" anchorCtr="0" upright="1">
                        <a:noAutofit/>
                      </wps:bodyPr>
                    </wps:wsp>
                  </a:graphicData>
                </a:graphic>
              </wp:anchor>
            </w:drawing>
          </mc:Choice>
          <mc:Fallback>
            <w:pict>
              <v:shape id="文本框 569" o:spid="_x0000_s1026" o:spt="202" type="#_x0000_t202" style="position:absolute;left:0pt;margin-left:509.25pt;margin-top:376.85pt;height:50.25pt;width:131.25pt;z-index:251725824;mso-width-relative:page;mso-height-relative:page;" fillcolor="#E6E0EC" filled="t" stroked="t" coordsize="21600,21600" o:gfxdata="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HjpW9sAAAANAQAADwAA&#10;AAAAAAABACAAAAAiAAAAZHJzL2Rvd25yZXYueG1sUEsBAhQAFAAAAAgAh07iQOJkeFVMAgAAmQQA&#10;AA4AAAAAAAAAAQAgAAAAKgEAAGRycy9lMm9Eb2MueG1sUEsFBgAAAAAGAAYAWQEAAOgFAAAAAA==&#10;">
                <v:fill on="t" focussize="0,0"/>
                <v:stroke color="#000000" miterlimit="8" joinstyle="miter"/>
                <v:imagedata o:title=""/>
                <o:lock v:ext="edit" aspectratio="f"/>
                <v:textbox>
                  <w:txbxContent>
                    <w:p>
                      <w:pPr>
                        <w:jc w:val="center"/>
                        <w:rPr>
                          <w:b/>
                        </w:rPr>
                      </w:pPr>
                      <w:r>
                        <w:rPr>
                          <w:b/>
                        </w:rPr>
                        <w:t>图</w:t>
                      </w:r>
                      <w:r>
                        <w:rPr>
                          <w:rFonts w:hint="eastAsia"/>
                          <w:b/>
                        </w:rPr>
                        <w:t xml:space="preserve">  例</w:t>
                      </w:r>
                    </w:p>
                    <w:p>
                      <w:pPr>
                        <w:ind w:firstLine="105" w:firstLineChars="50"/>
                      </w:pPr>
                      <w:r>
                        <w:drawing>
                          <wp:inline distT="0" distB="0" distL="0" distR="0">
                            <wp:extent cx="180975" cy="17145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inline>
                        </w:drawing>
                      </w:r>
                      <w:r>
                        <w:rPr>
                          <w:rFonts w:hint="eastAsia"/>
                        </w:rPr>
                        <w:t xml:space="preserve"> 噪声</w:t>
                      </w:r>
                      <w:r>
                        <w:t>监测点</w:t>
                      </w:r>
                    </w:p>
                  </w:txbxContent>
                </v:textbox>
              </v:shape>
            </w:pict>
          </mc:Fallback>
        </mc:AlternateContent>
      </w:r>
      <w:r>
        <w:rPr>
          <w:b/>
          <w:sz w:val="24"/>
        </w:rPr>
        <mc:AlternateContent>
          <mc:Choice Requires="wps">
            <w:drawing>
              <wp:anchor distT="45720" distB="45720" distL="114300" distR="114300" simplePos="0" relativeHeight="251738112" behindDoc="0" locked="0" layoutInCell="1" allowOverlap="1">
                <wp:simplePos x="0" y="0"/>
                <wp:positionH relativeFrom="column">
                  <wp:posOffset>3637280</wp:posOffset>
                </wp:positionH>
                <wp:positionV relativeFrom="paragraph">
                  <wp:posOffset>2844165</wp:posOffset>
                </wp:positionV>
                <wp:extent cx="628650" cy="1404620"/>
                <wp:effectExtent l="0" t="0" r="19050" b="12700"/>
                <wp:wrapNone/>
                <wp:docPr id="6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solidFill>
                            <a:srgbClr val="000000"/>
                          </a:solidFill>
                          <a:miter lim="800000"/>
                        </a:ln>
                      </wps:spPr>
                      <wps:txbx>
                        <w:txbxContent>
                          <w:p>
                            <w:r>
                              <w:t>地块1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6.4pt;margin-top:223.95pt;height:110.6pt;width:49.5pt;z-index:251738112;mso-width-relative:page;mso-height-relative:margin;mso-height-percent:200;" fillcolor="#FFFFFF" filled="t" stroked="t" coordsize="21600,21600" o:gfxdata="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ylE22QAAAAsBAAAPAAAAAAAAAAEAIAAAACIAAABkcnMv&#10;ZG93bnJldi54bWxQSwECFAAUAAAACACHTuJABkjwITsCAAB9BAAADgAAAAAAAAABACAAAAAoAQAA&#10;ZHJzL2Uyb0RvYy54bWxQSwUGAAAAAAYABgBZAQAA1QUAAAAA&#10;">
                <v:fill on="t" focussize="0,0"/>
                <v:stroke color="#000000" miterlimit="8" joinstyle="miter"/>
                <v:imagedata o:title=""/>
                <o:lock v:ext="edit" aspectratio="f"/>
                <v:textbox style="mso-fit-shape-to-text:t;">
                  <w:txbxContent>
                    <w:p>
                      <w:r>
                        <w:t>地块1</w:t>
                      </w:r>
                    </w:p>
                  </w:txbxContent>
                </v:textbox>
              </v:shape>
            </w:pict>
          </mc:Fallback>
        </mc:AlternateContent>
      </w:r>
      <w:r>
        <w:rPr>
          <w:szCs w:val="28"/>
        </w:rPr>
        <mc:AlternateContent>
          <mc:Choice Requires="wps">
            <w:drawing>
              <wp:anchor distT="0" distB="0" distL="114300" distR="114300" simplePos="0" relativeHeight="251722752" behindDoc="0" locked="0" layoutInCell="1" allowOverlap="1">
                <wp:simplePos x="0" y="0"/>
                <wp:positionH relativeFrom="column">
                  <wp:posOffset>6343015</wp:posOffset>
                </wp:positionH>
                <wp:positionV relativeFrom="paragraph">
                  <wp:posOffset>3248660</wp:posOffset>
                </wp:positionV>
                <wp:extent cx="156210" cy="156845"/>
                <wp:effectExtent l="20955" t="20320" r="13335" b="13335"/>
                <wp:wrapNone/>
                <wp:docPr id="120" name="等腰三角形 120"/>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499.45pt;margin-top:255.8pt;height:12.35pt;width:12.3pt;z-index:251722752;mso-width-relative:page;mso-height-relative:page;" fillcolor="#FF0000" filled="t" stroked="t" coordsize="21600,21600" o:gfxdata="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nhu0&#10;2wAAAAwBAAAPAAAAAAAAAAEAIAAAACIAAABkcnMvZG93bnJldi54bWxQSwECFAAUAAAACACHTuJA&#10;TWweiVcCAACrBAAADgAAAAAAAAABACAAAAAq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23776" behindDoc="0" locked="0" layoutInCell="1" allowOverlap="1">
                <wp:simplePos x="0" y="0"/>
                <wp:positionH relativeFrom="column">
                  <wp:posOffset>3839845</wp:posOffset>
                </wp:positionH>
                <wp:positionV relativeFrom="paragraph">
                  <wp:posOffset>4515485</wp:posOffset>
                </wp:positionV>
                <wp:extent cx="156210" cy="156845"/>
                <wp:effectExtent l="20955" t="20320" r="13335" b="13335"/>
                <wp:wrapNone/>
                <wp:docPr id="118" name="等腰三角形 118"/>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02.35pt;margin-top:355.55pt;height:12.35pt;width:12.3pt;z-index:251723776;mso-width-relative:page;mso-height-relative:page;" fillcolor="#FF0000" filled="t" stroked="t" coordsize="21600,21600" o:gfxdata="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wEj&#10;2wAAAAsBAAAPAAAAAAAAAAEAIAAAACIAAABkcnMvZG93bnJldi54bWxQSwECFAAUAAAACACHTuJA&#10;JwXmPlcCAACrBAAADgAAAAAAAAABACAAAAAq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24800" behindDoc="0" locked="0" layoutInCell="1" allowOverlap="1">
                <wp:simplePos x="0" y="0"/>
                <wp:positionH relativeFrom="column">
                  <wp:posOffset>848995</wp:posOffset>
                </wp:positionH>
                <wp:positionV relativeFrom="paragraph">
                  <wp:posOffset>3486785</wp:posOffset>
                </wp:positionV>
                <wp:extent cx="156210" cy="156845"/>
                <wp:effectExtent l="20955" t="20320" r="13335" b="13335"/>
                <wp:wrapNone/>
                <wp:docPr id="119" name="等腰三角形 119"/>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66.85pt;margin-top:274.55pt;height:12.35pt;width:12.3pt;z-index:251724800;mso-width-relative:page;mso-height-relative:page;" fillcolor="#FF0000" filled="t" stroked="t" coordsize="21600,21600" o:gfxdata="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7Pph&#10;2gAAAAsBAAAPAAAAAAAAAAEAIAAAACIAAABkcnMvZG93bnJldi54bWxQSwECFAAUAAAACACHTuJA&#10;xyXaYlgCAACrBAAADgAAAAAAAAABACAAAAApAQAAZHJzL2Uyb0RvYy54bWxQSwUGAAAAAAYABgBZ&#10;AQAA8wU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20704" behindDoc="0" locked="0" layoutInCell="1" allowOverlap="1">
                <wp:simplePos x="0" y="0"/>
                <wp:positionH relativeFrom="column">
                  <wp:posOffset>2418715</wp:posOffset>
                </wp:positionH>
                <wp:positionV relativeFrom="paragraph">
                  <wp:posOffset>660400</wp:posOffset>
                </wp:positionV>
                <wp:extent cx="156210" cy="156845"/>
                <wp:effectExtent l="20955" t="20320" r="13335" b="13335"/>
                <wp:wrapNone/>
                <wp:docPr id="121" name="等腰三角形 121"/>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90.45pt;margin-top:52pt;height:12.35pt;width:12.3pt;z-index:251720704;mso-width-relative:page;mso-height-relative:page;" fillcolor="#FF0000" filled="t" stroked="t" coordsize="21600,21600" o:gfxdata="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u4&#10;duvZAAAACwEAAA8AAAAAAAAAAQAgAAAAIgAAAGRycy9kb3ducmV2LnhtbFBLAQIUABQAAAAIAIdO&#10;4kCtTCLVWwIAAKsEAAAOAAAAAAAAAAEAIAAAACgBAABkcnMvZTJvRG9jLnhtbFBLBQYAAAAABgAG&#10;AFkBAAD1BQAAAAA=&#10;" adj="10800">
                <v:fill on="t" focussize="0,0"/>
                <v:stroke color="#000000" miterlimit="8" joinstyle="miter"/>
                <v:imagedata o:title=""/>
                <o:lock v:ext="edit" aspectratio="f"/>
              </v:shape>
            </w:pict>
          </mc:Fallback>
        </mc:AlternateContent>
      </w:r>
      <w:r>
        <w:rPr>
          <w:szCs w:val="28"/>
        </w:rPr>
        <mc:AlternateContent>
          <mc:Choice Requires="wps">
            <w:drawing>
              <wp:anchor distT="0" distB="0" distL="114300" distR="114300" simplePos="0" relativeHeight="251721728" behindDoc="0" locked="0" layoutInCell="1" allowOverlap="1">
                <wp:simplePos x="0" y="0"/>
                <wp:positionH relativeFrom="column">
                  <wp:posOffset>4643755</wp:posOffset>
                </wp:positionH>
                <wp:positionV relativeFrom="paragraph">
                  <wp:posOffset>1963420</wp:posOffset>
                </wp:positionV>
                <wp:extent cx="156210" cy="156845"/>
                <wp:effectExtent l="20955" t="20320" r="13335" b="13335"/>
                <wp:wrapNone/>
                <wp:docPr id="117" name="等腰三角形 117"/>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triangle">
                          <a:avLst>
                            <a:gd name="adj" fmla="val 500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65.65pt;margin-top:154.6pt;height:12.35pt;width:12.3pt;z-index:251721728;mso-width-relative:page;mso-height-relative:page;" fillcolor="#FF0000" filled="t" stroked="t" coordsize="21600,21600" o:gfxdata="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Mrr&#10;6dsAAAALAQAADwAAAAAAAAABACAAAAAiAAAAZHJzL2Rvd25yZXYueG1sUEsBAhQAFAAAAAgAh07i&#10;QAXsUf1YAgAAqwQAAA4AAAAAAAAAAQAgAAAAKgEAAGRycy9lMm9Eb2MueG1sUEsFBgAAAAAGAAYA&#10;WQEAAPQFAAAAAA==&#10;" adj="10800">
                <v:fill on="t" focussize="0,0"/>
                <v:stroke color="#000000" miterlimit="8" joinstyle="miter"/>
                <v:imagedata o:title=""/>
                <o:lock v:ext="edit" aspectratio="f"/>
              </v:shape>
            </w:pict>
          </mc:Fallback>
        </mc:AlternateContent>
      </w:r>
      <w:r>
        <w:rPr>
          <w:b/>
          <w:sz w:val="24"/>
        </w:rPr>
        <w:drawing>
          <wp:inline distT="0" distB="0" distL="0" distR="0">
            <wp:extent cx="8003540" cy="5419725"/>
            <wp:effectExtent l="0" t="0" r="0" b="0"/>
            <wp:docPr id="127" name="图片 127" descr="E:\工作\2023年工作\(P732K)巴彦淖尔100万千瓦光储+生态治理项目乌拉特前旗15万千瓦项目环境影响评价报告\过程\地块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工作\2023年工作\(P732K)巴彦淖尔100万千瓦光储+生态治理项目乌拉特前旗15万千瓦项目环境影响评价报告\过程\地块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045974" cy="5448058"/>
                    </a:xfrm>
                    <a:prstGeom prst="rect">
                      <a:avLst/>
                    </a:prstGeom>
                    <a:noFill/>
                    <a:ln>
                      <a:noFill/>
                    </a:ln>
                  </pic:spPr>
                </pic:pic>
              </a:graphicData>
            </a:graphic>
          </wp:inline>
        </w:drawing>
      </w:r>
    </w:p>
    <w:p>
      <w:pPr>
        <w:jc w:val="center"/>
        <w:rPr>
          <w:b/>
          <w:sz w:val="24"/>
        </w:rPr>
      </w:pPr>
      <w:r>
        <w:rPr>
          <w:rFonts w:hint="eastAsia"/>
          <w:b/>
          <w:sz w:val="24"/>
        </w:rPr>
        <w:t>附图</w:t>
      </w:r>
      <w:r>
        <w:rPr>
          <w:b/>
          <w:sz w:val="24"/>
        </w:rPr>
        <w:t>5 地块1</w:t>
      </w:r>
      <w:r>
        <w:rPr>
          <w:rFonts w:hint="eastAsia"/>
          <w:b/>
          <w:sz w:val="24"/>
        </w:rPr>
        <w:t>监测布点图</w:t>
      </w:r>
    </w:p>
    <w:p>
      <w:pPr>
        <w:jc w:val="center"/>
        <w:sectPr>
          <w:pgSz w:w="15842" w:h="12242" w:orient="landscape"/>
          <w:pgMar w:top="1418" w:right="1418" w:bottom="1418" w:left="1418" w:header="851" w:footer="1077" w:gutter="0"/>
          <w:cols w:space="720" w:num="1"/>
          <w:docGrid w:linePitch="312" w:charSpace="0"/>
        </w:sectPr>
      </w:pPr>
    </w:p>
    <w:p>
      <w:pPr>
        <w:jc w:val="center"/>
      </w:pPr>
      <w:r>
        <mc:AlternateContent>
          <mc:Choice Requires="wps">
            <w:drawing>
              <wp:anchor distT="0" distB="0" distL="114300" distR="114300" simplePos="0" relativeHeight="251665408" behindDoc="0" locked="0" layoutInCell="1" allowOverlap="1">
                <wp:simplePos x="0" y="0"/>
                <wp:positionH relativeFrom="column">
                  <wp:posOffset>3909695</wp:posOffset>
                </wp:positionH>
                <wp:positionV relativeFrom="paragraph">
                  <wp:posOffset>2242820</wp:posOffset>
                </wp:positionV>
                <wp:extent cx="838200" cy="381000"/>
                <wp:effectExtent l="457200" t="0" r="19050" b="361950"/>
                <wp:wrapNone/>
                <wp:docPr id="96" name="圆角矩形标注 96"/>
                <wp:cNvGraphicFramePr/>
                <a:graphic xmlns:a="http://schemas.openxmlformats.org/drawingml/2006/main">
                  <a:graphicData uri="http://schemas.microsoft.com/office/word/2010/wordprocessingShape">
                    <wps:wsp>
                      <wps:cNvSpPr/>
                      <wps:spPr>
                        <a:xfrm>
                          <a:off x="0" y="0"/>
                          <a:ext cx="838200" cy="381000"/>
                        </a:xfrm>
                        <a:prstGeom prst="wedgeRoundRectCallout">
                          <a:avLst>
                            <a:gd name="adj1" fmla="val -99277"/>
                            <a:gd name="adj2" fmla="val 131113"/>
                            <a:gd name="adj3" fmla="val 16667"/>
                          </a:avLst>
                        </a:prstGeom>
                        <a:solidFill>
                          <a:srgbClr val="FFFF00"/>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事故油池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7.85pt;margin-top:176.6pt;height:30pt;width:66pt;z-index:251665408;v-text-anchor:middle;mso-width-relative:page;mso-height-relative:page;" fillcolor="#FFFF00" filled="t" stroked="t" coordsize="21600,21600" o:gfxdata="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4LFe8&#10;3AAAAAsBAAAPAAAAAAAAAAEAIAAAACIAAABkcnMvZG93bnJldi54bWxQSwECFAAUAAAACACHTuJA&#10;ldete8gCAACUBQAADgAAAAAAAAABACAAAAArAQAAZHJzL2Uyb0RvYy54bWxQSwUGAAAAAAYABgBZ&#10;AQAAZQYAAAAA&#10;" adj="-10644,39120,14400">
                <v:fill on="t" focussize="0,0"/>
                <v:stroke weight="1pt" color="#0070C0 [3209]" miterlimit="8" joinstyle="miter"/>
                <v:imagedata o:title=""/>
                <o:lock v:ext="edit" aspectratio="f"/>
                <v:textbox>
                  <w:txbxContent>
                    <w:p>
                      <w:pPr>
                        <w:jc w:val="center"/>
                      </w:pPr>
                      <w:r>
                        <w:rPr>
                          <w:rFonts w:hint="eastAsia"/>
                        </w:rPr>
                        <w:t>事故油池</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1480820</wp:posOffset>
                </wp:positionH>
                <wp:positionV relativeFrom="paragraph">
                  <wp:posOffset>4395470</wp:posOffset>
                </wp:positionV>
                <wp:extent cx="1076325" cy="381000"/>
                <wp:effectExtent l="0" t="0" r="466725" b="590550"/>
                <wp:wrapNone/>
                <wp:docPr id="618" name="圆角矩形标注 618"/>
                <wp:cNvGraphicFramePr/>
                <a:graphic xmlns:a="http://schemas.openxmlformats.org/drawingml/2006/main">
                  <a:graphicData uri="http://schemas.microsoft.com/office/word/2010/wordprocessingShape">
                    <wps:wsp>
                      <wps:cNvSpPr/>
                      <wps:spPr>
                        <a:xfrm>
                          <a:off x="0" y="0"/>
                          <a:ext cx="1076325" cy="381000"/>
                        </a:xfrm>
                        <a:prstGeom prst="wedgeRoundRectCallout">
                          <a:avLst>
                            <a:gd name="adj1" fmla="val 85175"/>
                            <a:gd name="adj2" fmla="val 186113"/>
                            <a:gd name="adj3" fmla="val 16667"/>
                          </a:avLst>
                        </a:prstGeom>
                        <a:solidFill>
                          <a:srgbClr val="FFFF00"/>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污水处理装置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6.6pt;margin-top:346.1pt;height:30pt;width:84.75pt;z-index:251741184;v-text-anchor:middle;mso-width-relative:page;mso-height-relative:page;" fillcolor="#FFFF00" filled="t" stroked="t" coordsize="21600,21600" o:gfxdata="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qJnBXZ&#10;AAAACwEAAA8AAAAAAAAAAQAgAAAAIgAAAGRycy9kb3ducmV2LnhtbFBLAQIUABQAAAAIAIdO4kDr&#10;nhXRygIAAJYFAAAOAAAAAAAAAAEAIAAAACgBAABkcnMvZTJvRG9jLnhtbFBLBQYAAAAABgAGAFkB&#10;AABkBgAAAAA=&#10;" adj="29198,51000,14400">
                <v:fill on="t" focussize="0,0"/>
                <v:stroke weight="1pt" color="#0070C0 [3209]" miterlimit="8" joinstyle="miter"/>
                <v:imagedata o:title=""/>
                <o:lock v:ext="edit" aspectratio="f"/>
                <v:textbox>
                  <w:txbxContent>
                    <w:p>
                      <w:pPr>
                        <w:jc w:val="center"/>
                      </w:pPr>
                      <w:r>
                        <w:rPr>
                          <w:rFonts w:hint="eastAsia"/>
                        </w:rPr>
                        <w:t>污水处理装置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3785870</wp:posOffset>
                </wp:positionH>
                <wp:positionV relativeFrom="paragraph">
                  <wp:posOffset>3176270</wp:posOffset>
                </wp:positionV>
                <wp:extent cx="838200" cy="381000"/>
                <wp:effectExtent l="1028700" t="0" r="19050" b="38100"/>
                <wp:wrapNone/>
                <wp:docPr id="97" name="圆角矩形标注 97"/>
                <wp:cNvGraphicFramePr/>
                <a:graphic xmlns:a="http://schemas.openxmlformats.org/drawingml/2006/main">
                  <a:graphicData uri="http://schemas.microsoft.com/office/word/2010/wordprocessingShape">
                    <wps:wsp>
                      <wps:cNvSpPr/>
                      <wps:spPr>
                        <a:xfrm>
                          <a:off x="0" y="0"/>
                          <a:ext cx="838200" cy="381000"/>
                        </a:xfrm>
                        <a:prstGeom prst="wedgeRoundRectCallout">
                          <a:avLst>
                            <a:gd name="adj1" fmla="val -166858"/>
                            <a:gd name="adj2" fmla="val 16962"/>
                            <a:gd name="adj3" fmla="val 16667"/>
                          </a:avLst>
                        </a:prstGeom>
                        <a:solidFill>
                          <a:srgbClr val="FFFF00"/>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主变压器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8.1pt;margin-top:250.1pt;height:30pt;width:66pt;z-index:251666432;v-text-anchor:middle;mso-width-relative:page;mso-height-relative:page;" fillcolor="#FFFF00" filled="t" stroked="t" coordsize="21600,21600" o:gfxdata="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Ti/xB2AAA&#10;AAsBAAAPAAAAAAAAAAEAIAAAACIAAABkcnMvZG93bnJldi54bWxQSwECFAAUAAAACACHTuJAKzMt&#10;/8kCAACUBQAADgAAAAAAAAABACAAAAAnAQAAZHJzL2Uyb0RvYy54bWxQSwUGAAAAAAYABgBZAQAA&#10;YgYAAAAA&#10;" adj="-25241,14464,14400">
                <v:fill on="t" focussize="0,0"/>
                <v:stroke weight="1pt" color="#0070C0 [3209]" miterlimit="8" joinstyle="miter"/>
                <v:imagedata o:title=""/>
                <o:lock v:ext="edit" aspectratio="f"/>
                <v:textbox>
                  <w:txbxContent>
                    <w:p>
                      <w:pPr>
                        <w:jc w:val="center"/>
                      </w:pPr>
                      <w:r>
                        <w:rPr>
                          <w:rFonts w:hint="eastAsia"/>
                        </w:rPr>
                        <w:t>主变压器</w:t>
                      </w:r>
                    </w:p>
                  </w:txbxContent>
                </v:textbox>
              </v:shape>
            </w:pict>
          </mc:Fallback>
        </mc:AlternateContent>
      </w:r>
      <w:r>
        <w:pict>
          <v:shape id="_x0000_i1029" o:spt="75" type="#_x0000_t75" style="height:586.9pt;width:278.1pt;" filled="f" o:preferrelative="t" stroked="f" coordsize="21600,21600">
            <v:path/>
            <v:fill on="f" focussize="0,0"/>
            <v:stroke on="f" joinstyle="miter"/>
            <v:imagedata r:id="rId38" cropleft="11653f" croptop="2649f" cropright="14219f" cropbottom="3628f" o:title="升压站"/>
            <o:lock v:ext="edit" aspectratio="t"/>
            <w10:wrap type="none"/>
            <w10:anchorlock/>
          </v:shape>
        </w:pict>
      </w:r>
    </w:p>
    <w:p>
      <w:pPr>
        <w:pStyle w:val="44"/>
        <w:spacing w:before="120"/>
        <w:jc w:val="center"/>
        <w:rPr>
          <w:rFonts w:cs="Times New Roman"/>
          <w:color w:val="auto"/>
        </w:rPr>
      </w:pPr>
      <w:bookmarkStart w:id="53" w:name="_Hlk127636944"/>
      <w:r>
        <w:rPr>
          <w:rFonts w:cs="Times New Roman"/>
          <w:color w:val="auto"/>
        </w:rPr>
        <w:t>附图6       升压站平面布置图</w:t>
      </w:r>
    </w:p>
    <w:bookmarkEnd w:id="53"/>
    <w:p>
      <w:pPr>
        <w:pStyle w:val="44"/>
        <w:spacing w:before="120"/>
        <w:jc w:val="center"/>
        <w:rPr>
          <w:rFonts w:cs="Times New Roman"/>
          <w:color w:val="auto"/>
        </w:rPr>
        <w:sectPr>
          <w:pgSz w:w="12242" w:h="15842"/>
          <w:pgMar w:top="1418" w:right="1418" w:bottom="1418" w:left="1418" w:header="851" w:footer="1077" w:gutter="0"/>
          <w:cols w:space="72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pPr>
            <w:r>
              <w:pict>
                <v:shape id="_x0000_i1030" o:spt="75" type="#_x0000_t75" style="height:167.4pt;width:200.65pt;" filled="f" o:preferrelative="t" stroked="f" coordsize="21600,21600">
                  <v:path/>
                  <v:fill on="f" focussize="0,0"/>
                  <v:stroke on="f" joinstyle="miter"/>
                  <v:imagedata r:id="rId39" o:title="地块1"/>
                  <o:lock v:ext="edit" aspectratio="t"/>
                  <w10:wrap type="none"/>
                  <w10:anchorlock/>
                </v:shape>
              </w:pict>
            </w:r>
          </w:p>
        </w:tc>
        <w:tc>
          <w:tcPr>
            <w:tcW w:w="4383" w:type="dxa"/>
          </w:tcPr>
          <w:p>
            <w:pPr>
              <w:jc w:val="center"/>
            </w:pPr>
            <w:r>
              <w:pict>
                <v:shape id="_x0000_i1031" o:spt="75" type="#_x0000_t75" style="height:167.05pt;width:167.05pt;" filled="f" o:preferrelative="t" stroked="f" coordsize="21600,21600">
                  <v:path/>
                  <v:fill on="f" focussize="0,0"/>
                  <v:stroke on="f" joinstyle="miter"/>
                  <v:imagedata r:id="rId40" o:title="地块1东侧4"/>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9" w:type="dxa"/>
            <w:gridSpan w:val="2"/>
          </w:tcPr>
          <w:p>
            <w:pPr>
              <w:jc w:val="center"/>
              <w:rPr>
                <w:b/>
              </w:rPr>
            </w:pPr>
            <w:r>
              <w:rPr>
                <w:rFonts w:hint="eastAsia"/>
                <w:b/>
              </w:rPr>
              <w:t>光伏场地块1现状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pPr>
            <w:r>
              <w:rPr>
                <w:b/>
                <w:bCs/>
                <w:szCs w:val="21"/>
              </w:rPr>
              <w:pict>
                <v:shape id="_x0000_i1032" o:spt="75" type="#_x0000_t75" style="height:167.05pt;width:228.5pt;" filled="f" o:preferrelative="t" stroked="f" coordsize="21600,21600">
                  <v:path/>
                  <v:fill on="f" focussize="0,0"/>
                  <v:stroke on="f" joinstyle="miter"/>
                  <v:imagedata r:id="rId41" croptop="17633f" o:title="地块1西北角彩钢房2"/>
                  <o:lock v:ext="edit" aspectratio="t"/>
                  <w10:wrap type="none"/>
                  <w10:anchorlock/>
                </v:shape>
              </w:pict>
            </w:r>
          </w:p>
        </w:tc>
        <w:tc>
          <w:tcPr>
            <w:tcW w:w="4383" w:type="dxa"/>
          </w:tcPr>
          <w:p>
            <w:pPr>
              <w:jc w:val="center"/>
            </w:pPr>
            <w:r>
              <w:rPr>
                <w:b/>
                <w:bCs/>
                <w:szCs w:val="21"/>
              </w:rPr>
              <w:pict>
                <v:shape id="_x0000_i1033" o:spt="75" type="#_x0000_t75" style="height:167.05pt;width:208.3pt;" filled="f" o:preferrelative="t" stroked="f" coordsize="21600,21600">
                  <v:path/>
                  <v:fill on="f" focussize="0,0"/>
                  <v:stroke on="f" joinstyle="miter"/>
                  <v:imagedata r:id="rId42" croptop="12931f" o:title="地块2四周4"/>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b/>
                <w:bCs/>
                <w:szCs w:val="21"/>
              </w:rPr>
            </w:pPr>
            <w:r>
              <w:rPr>
                <w:rFonts w:hint="eastAsia"/>
                <w:b/>
                <w:bCs/>
                <w:szCs w:val="21"/>
              </w:rPr>
              <w:t>地块1北侧156m彩钢房</w:t>
            </w:r>
          </w:p>
        </w:tc>
        <w:tc>
          <w:tcPr>
            <w:tcW w:w="4383" w:type="dxa"/>
          </w:tcPr>
          <w:p>
            <w:pPr>
              <w:jc w:val="center"/>
              <w:rPr>
                <w:b/>
                <w:bCs/>
                <w:szCs w:val="21"/>
              </w:rPr>
            </w:pPr>
            <w:r>
              <w:rPr>
                <w:rFonts w:hint="eastAsia"/>
                <w:b/>
              </w:rPr>
              <w:t>光伏场地块</w:t>
            </w:r>
            <w:r>
              <w:rPr>
                <w:b/>
              </w:rPr>
              <w:t>2</w:t>
            </w:r>
            <w:r>
              <w:rPr>
                <w:rFonts w:hint="eastAsia"/>
                <w:b/>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szCs w:val="21"/>
              </w:rPr>
              <w:pict>
                <v:shape id="_x0000_i1034" o:spt="75" type="#_x0000_t75" style="height:167.05pt;width:186.25pt;" filled="f" o:preferrelative="t" stroked="f" coordsize="21600,21600">
                  <v:path/>
                  <v:fill on="f" focussize="0,0"/>
                  <v:stroke on="f" joinstyle="miter"/>
                  <v:imagedata r:id="rId43" croptop="6759f" o:title="地块2西南侧敏感点2"/>
                  <o:lock v:ext="edit" aspectratio="t"/>
                  <w10:wrap type="none"/>
                  <w10:anchorlock/>
                </v:shape>
              </w:pict>
            </w:r>
          </w:p>
        </w:tc>
        <w:tc>
          <w:tcPr>
            <w:tcW w:w="4383" w:type="dxa"/>
          </w:tcPr>
          <w:p>
            <w:pPr>
              <w:jc w:val="center"/>
              <w:rPr>
                <w:szCs w:val="21"/>
              </w:rPr>
            </w:pPr>
            <w:r>
              <w:rPr>
                <w:szCs w:val="21"/>
              </w:rPr>
              <w:pict>
                <v:shape id="_x0000_i1035" o:spt="75" type="#_x0000_t75" style="height:167.05pt;width:205.45pt;" filled="f" o:preferrelative="t" stroked="f" coordsize="21600,21600">
                  <v:path/>
                  <v:fill on="f" focussize="0,0"/>
                  <v:stroke on="f" joinstyle="miter"/>
                  <v:imagedata r:id="rId44" croptop="12249f" o:title="地块3东侧3"/>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rFonts w:hint="eastAsia"/>
                <w:szCs w:val="21"/>
              </w:rPr>
              <w:t>地块2西南侧185m处住户</w:t>
            </w:r>
          </w:p>
        </w:tc>
        <w:tc>
          <w:tcPr>
            <w:tcW w:w="4383" w:type="dxa"/>
          </w:tcPr>
          <w:p>
            <w:pPr>
              <w:jc w:val="center"/>
              <w:rPr>
                <w:szCs w:val="21"/>
              </w:rPr>
            </w:pPr>
            <w:r>
              <w:rPr>
                <w:rFonts w:hint="eastAsia"/>
                <w:b/>
              </w:rPr>
              <w:t>光伏场地块</w:t>
            </w:r>
            <w:r>
              <w:rPr>
                <w:b/>
              </w:rPr>
              <w:t>3</w:t>
            </w:r>
            <w:r>
              <w:rPr>
                <w:rFonts w:hint="eastAsia"/>
                <w:b/>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szCs w:val="21"/>
              </w:rPr>
              <w:drawing>
                <wp:inline distT="0" distB="0" distL="0" distR="0">
                  <wp:extent cx="2838450" cy="2124075"/>
                  <wp:effectExtent l="0" t="0" r="0" b="9525"/>
                  <wp:docPr id="619" name="图片 619" descr="C:\Users\whuazhang.NMDS\AppData\Local\Microsoft\Windows\INetCache\Content.Word\地块3河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C:\Users\whuazhang.NMDS\AppData\Local\Microsoft\Windows\INetCache\Content.Word\地块3河流1.jpg"/>
                          <pic:cNvPicPr>
                            <a:picLocks noChangeAspect="1" noChangeArrowheads="1"/>
                          </pic:cNvPicPr>
                        </pic:nvPicPr>
                        <pic:blipFill>
                          <a:blip r:embed="rId45" cstate="print">
                            <a:extLst>
                              <a:ext uri="{28A0092B-C50C-407E-A947-70E740481C1C}">
                                <a14:useLocalDpi xmlns:a14="http://schemas.microsoft.com/office/drawing/2010/main" val="0"/>
                              </a:ext>
                            </a:extLst>
                          </a:blip>
                          <a:srcRect t="25240"/>
                          <a:stretch>
                            <a:fillRect/>
                          </a:stretch>
                        </pic:blipFill>
                        <pic:spPr>
                          <a:xfrm>
                            <a:off x="0" y="0"/>
                            <a:ext cx="2838450" cy="2124075"/>
                          </a:xfrm>
                          <a:prstGeom prst="rect">
                            <a:avLst/>
                          </a:prstGeom>
                          <a:noFill/>
                          <a:ln>
                            <a:noFill/>
                          </a:ln>
                        </pic:spPr>
                      </pic:pic>
                    </a:graphicData>
                  </a:graphic>
                </wp:inline>
              </w:drawing>
            </w:r>
          </w:p>
        </w:tc>
        <w:tc>
          <w:tcPr>
            <w:tcW w:w="4383" w:type="dxa"/>
          </w:tcPr>
          <w:p>
            <w:pPr>
              <w:jc w:val="center"/>
              <w:rPr>
                <w:szCs w:val="21"/>
              </w:rPr>
            </w:pPr>
            <w:r>
              <w:rPr>
                <w:szCs w:val="21"/>
              </w:rPr>
              <w:pict>
                <v:shape id="_x0000_i1036" o:spt="75" type="#_x0000_t75" style="height:167.05pt;width:197.75pt;" filled="f" o:preferrelative="t" stroked="f" coordsize="21600,21600">
                  <v:path/>
                  <v:fill on="f" focussize="0,0"/>
                  <v:stroke on="f" joinstyle="miter"/>
                  <v:imagedata r:id="rId46" croptop="10155f" o:title="地块4四周14"/>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rFonts w:hint="eastAsia"/>
                <w:szCs w:val="21"/>
              </w:rPr>
              <w:t>光伏场地块3与地块4间河流</w:t>
            </w:r>
          </w:p>
        </w:tc>
        <w:tc>
          <w:tcPr>
            <w:tcW w:w="4383" w:type="dxa"/>
          </w:tcPr>
          <w:p>
            <w:pPr>
              <w:jc w:val="center"/>
              <w:rPr>
                <w:szCs w:val="21"/>
              </w:rPr>
            </w:pPr>
            <w:r>
              <w:rPr>
                <w:rFonts w:hint="eastAsia"/>
                <w:szCs w:val="21"/>
              </w:rPr>
              <w:t>光伏场地块</w:t>
            </w:r>
            <w:r>
              <w:rPr>
                <w:szCs w:val="21"/>
              </w:rPr>
              <w:t>4</w:t>
            </w:r>
            <w:r>
              <w:rPr>
                <w:rFonts w:hint="eastAsia"/>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szCs w:val="21"/>
              </w:rPr>
              <w:drawing>
                <wp:inline distT="0" distB="0" distL="0" distR="0">
                  <wp:extent cx="2477770" cy="2123440"/>
                  <wp:effectExtent l="0" t="0" r="0" b="0"/>
                  <wp:docPr id="620" name="图片 620" descr="E:\工作\2023年工作\(P732K)巴彦淖尔100万千瓦光储+生态治理项目乌拉特前旗15万千瓦项目环境影响评价报告\成果\监测照片\地块5南侧敏感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E:\工作\2023年工作\(P732K)巴彦淖尔100万千瓦光储+生态治理项目乌拉特前旗15万千瓦项目环境影响评价报告\成果\监测照片\地块5南侧敏感点4.jpg"/>
                          <pic:cNvPicPr>
                            <a:picLocks noChangeAspect="1" noChangeArrowheads="1"/>
                          </pic:cNvPicPr>
                        </pic:nvPicPr>
                        <pic:blipFill>
                          <a:blip r:embed="rId47" cstate="print">
                            <a:extLst>
                              <a:ext uri="{28A0092B-C50C-407E-A947-70E740481C1C}">
                                <a14:useLocalDpi xmlns:a14="http://schemas.microsoft.com/office/drawing/2010/main" val="0"/>
                              </a:ext>
                            </a:extLst>
                          </a:blip>
                          <a:srcRect t="14291"/>
                          <a:stretch>
                            <a:fillRect/>
                          </a:stretch>
                        </pic:blipFill>
                        <pic:spPr>
                          <a:xfrm>
                            <a:off x="0" y="0"/>
                            <a:ext cx="2478146" cy="2124000"/>
                          </a:xfrm>
                          <a:prstGeom prst="rect">
                            <a:avLst/>
                          </a:prstGeom>
                          <a:noFill/>
                          <a:ln>
                            <a:noFill/>
                          </a:ln>
                        </pic:spPr>
                      </pic:pic>
                    </a:graphicData>
                  </a:graphic>
                </wp:inline>
              </w:drawing>
            </w:r>
          </w:p>
        </w:tc>
        <w:tc>
          <w:tcPr>
            <w:tcW w:w="4383" w:type="dxa"/>
          </w:tcPr>
          <w:p>
            <w:pPr>
              <w:jc w:val="center"/>
              <w:rPr>
                <w:szCs w:val="21"/>
              </w:rPr>
            </w:pPr>
            <w:r>
              <w:rPr>
                <w:szCs w:val="21"/>
              </w:rPr>
              <w:drawing>
                <wp:inline distT="0" distB="0" distL="0" distR="0">
                  <wp:extent cx="2838450" cy="2124075"/>
                  <wp:effectExtent l="0" t="0" r="0" b="9525"/>
                  <wp:docPr id="621" name="图片 621" descr="C:\Users\whuazhang.NMDS\AppData\Local\Microsoft\Windows\INetCache\Content.Word\地块5四周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C:\Users\whuazhang.NMDS\AppData\Local\Microsoft\Windows\INetCache\Content.Word\地块5四周8.jpg"/>
                          <pic:cNvPicPr>
                            <a:picLocks noChangeAspect="1" noChangeArrowheads="1"/>
                          </pic:cNvPicPr>
                        </pic:nvPicPr>
                        <pic:blipFill>
                          <a:blip r:embed="rId48" cstate="print">
                            <a:extLst>
                              <a:ext uri="{28A0092B-C50C-407E-A947-70E740481C1C}">
                                <a14:useLocalDpi xmlns:a14="http://schemas.microsoft.com/office/drawing/2010/main" val="0"/>
                              </a:ext>
                            </a:extLst>
                          </a:blip>
                          <a:srcRect t="25240"/>
                          <a:stretch>
                            <a:fillRect/>
                          </a:stretch>
                        </pic:blipFill>
                        <pic:spPr>
                          <a:xfrm>
                            <a:off x="0" y="0"/>
                            <a:ext cx="2838450" cy="2124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rFonts w:hint="eastAsia"/>
                <w:szCs w:val="21"/>
              </w:rPr>
              <w:t>光伏场地块5东南侧52m处住户</w:t>
            </w:r>
          </w:p>
        </w:tc>
        <w:tc>
          <w:tcPr>
            <w:tcW w:w="4383" w:type="dxa"/>
          </w:tcPr>
          <w:p>
            <w:pPr>
              <w:jc w:val="center"/>
              <w:rPr>
                <w:szCs w:val="21"/>
              </w:rPr>
            </w:pPr>
            <w:r>
              <w:rPr>
                <w:rFonts w:hint="eastAsia"/>
                <w:szCs w:val="21"/>
              </w:rPr>
              <w:t>光伏场地块</w:t>
            </w:r>
            <w:r>
              <w:rPr>
                <w:szCs w:val="21"/>
              </w:rPr>
              <w:t>5</w:t>
            </w:r>
            <w:r>
              <w:rPr>
                <w:rFonts w:hint="eastAsia"/>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szCs w:val="21"/>
              </w:rPr>
              <w:pict>
                <v:shape id="_x0000_i1037" o:spt="75" type="#_x0000_t75" style="height:167.05pt;width:226.55pt;" filled="f" o:preferrelative="t" stroked="f" coordsize="21600,21600">
                  <v:path/>
                  <v:fill on="f" focussize="0,0"/>
                  <v:stroke on="f" joinstyle="miter"/>
                  <v:imagedata r:id="rId49" croptop="17085f" o:title="地块6北侧2"/>
                  <o:lock v:ext="edit" aspectratio="t"/>
                  <w10:wrap type="none"/>
                  <w10:anchorlock/>
                </v:shape>
              </w:pict>
            </w:r>
          </w:p>
        </w:tc>
        <w:tc>
          <w:tcPr>
            <w:tcW w:w="4383" w:type="dxa"/>
          </w:tcPr>
          <w:p>
            <w:pPr>
              <w:jc w:val="center"/>
              <w:rPr>
                <w:szCs w:val="21"/>
              </w:rPr>
            </w:pPr>
            <w:r>
              <w:rPr>
                <w:szCs w:val="21"/>
              </w:rPr>
              <w:pict>
                <v:shape id="_x0000_i1038" o:spt="75" type="#_x0000_t75" style="height:167.05pt;width:214.1pt;" filled="f" o:preferrelative="t" stroked="f" coordsize="21600,21600">
                  <v:path/>
                  <v:fill on="f" focussize="0,0"/>
                  <v:stroke on="f" joinstyle="miter"/>
                  <v:imagedata r:id="rId50" croptop="14447f" o:title="升压站10"/>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pPr>
              <w:jc w:val="center"/>
              <w:rPr>
                <w:szCs w:val="21"/>
              </w:rPr>
            </w:pPr>
            <w:r>
              <w:rPr>
                <w:rFonts w:hint="eastAsia"/>
                <w:szCs w:val="21"/>
              </w:rPr>
              <w:t>光伏场地块6现状</w:t>
            </w:r>
          </w:p>
        </w:tc>
        <w:tc>
          <w:tcPr>
            <w:tcW w:w="4383" w:type="dxa"/>
          </w:tcPr>
          <w:p>
            <w:pPr>
              <w:jc w:val="center"/>
              <w:rPr>
                <w:szCs w:val="21"/>
              </w:rPr>
            </w:pPr>
            <w:r>
              <w:rPr>
                <w:rFonts w:hint="eastAsia"/>
                <w:szCs w:val="21"/>
              </w:rPr>
              <w:t>升压站现状</w:t>
            </w:r>
          </w:p>
        </w:tc>
      </w:tr>
    </w:tbl>
    <w:p>
      <w:pPr>
        <w:pStyle w:val="44"/>
        <w:spacing w:before="120"/>
        <w:jc w:val="center"/>
        <w:rPr>
          <w:color w:val="auto"/>
        </w:rPr>
      </w:pPr>
      <w:r>
        <w:rPr>
          <w:rFonts w:cs="Times New Roman"/>
          <w:color w:val="auto"/>
        </w:rPr>
        <w:t>附图7 现场照片</w:t>
      </w:r>
    </w:p>
    <w:sectPr>
      <w:pgSz w:w="12242" w:h="15842"/>
      <w:pgMar w:top="1418" w:right="1418" w:bottom="1418" w:left="1418"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2000000000000000000"/>
    <w:charset w:val="86"/>
    <w:family w:val="auto"/>
    <w:pitch w:val="default"/>
    <w:sig w:usb0="A00002BF" w:usb1="38CF7CFA" w:usb2="00082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9"/>
      </w:rPr>
    </w:pPr>
    <w:r>
      <w:rPr>
        <w:rStyle w:val="19"/>
      </w:rPr>
      <w:fldChar w:fldCharType="begin"/>
    </w:r>
    <w:r>
      <w:rPr>
        <w:rStyle w:val="19"/>
      </w:rPr>
      <w:instrText xml:space="preserve">PAGE  </w:instrText>
    </w:r>
    <w:r>
      <w:rPr>
        <w:rStyle w:val="19"/>
      </w:rPr>
      <w:fldChar w:fldCharType="separate"/>
    </w:r>
    <w:r>
      <w:rPr>
        <w:rStyle w:val="19"/>
      </w:rPr>
      <w:t>21</w:t>
    </w:r>
    <w:r>
      <w:rPr>
        <w:rStyle w:val="19"/>
      </w:rP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1638273"/>
    </w:sdtPr>
    <w:sdtContent>
      <w:p>
        <w:pPr>
          <w:pStyle w:val="10"/>
          <w:spacing w:before="120"/>
          <w:jc w:val="center"/>
        </w:pPr>
        <w:r>
          <w:fldChar w:fldCharType="begin"/>
        </w:r>
        <w:r>
          <w:instrText xml:space="preserve">PAGE   \* MERGEFORMAT</w:instrText>
        </w:r>
        <w:r>
          <w:fldChar w:fldCharType="separate"/>
        </w:r>
        <w:r>
          <w:rPr>
            <w:lang w:val="zh-CN"/>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66D84"/>
    <w:multiLevelType w:val="multilevel"/>
    <w:tmpl w:val="27E66D84"/>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2AF52A2F"/>
    <w:multiLevelType w:val="multilevel"/>
    <w:tmpl w:val="2AF52A2F"/>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jMDljYjBiY2FkMzcwMTVhNjIyZjA4MTc4OTAwNzgifQ=="/>
  </w:docVars>
  <w:rsids>
    <w:rsidRoot w:val="00A14947"/>
    <w:rsid w:val="0000187C"/>
    <w:rsid w:val="00001C9C"/>
    <w:rsid w:val="00001CED"/>
    <w:rsid w:val="00001E67"/>
    <w:rsid w:val="00002748"/>
    <w:rsid w:val="00003CD8"/>
    <w:rsid w:val="00003CE0"/>
    <w:rsid w:val="0000437F"/>
    <w:rsid w:val="0000443F"/>
    <w:rsid w:val="000045D0"/>
    <w:rsid w:val="0000464D"/>
    <w:rsid w:val="000046CC"/>
    <w:rsid w:val="0000500F"/>
    <w:rsid w:val="00005382"/>
    <w:rsid w:val="00005B68"/>
    <w:rsid w:val="00005E07"/>
    <w:rsid w:val="00005ECD"/>
    <w:rsid w:val="000062CB"/>
    <w:rsid w:val="00006695"/>
    <w:rsid w:val="000066B8"/>
    <w:rsid w:val="00006A92"/>
    <w:rsid w:val="00007C6D"/>
    <w:rsid w:val="000100A8"/>
    <w:rsid w:val="0001018E"/>
    <w:rsid w:val="0001060C"/>
    <w:rsid w:val="00010990"/>
    <w:rsid w:val="000116E3"/>
    <w:rsid w:val="00011D10"/>
    <w:rsid w:val="00012410"/>
    <w:rsid w:val="00012440"/>
    <w:rsid w:val="00012665"/>
    <w:rsid w:val="00012FF0"/>
    <w:rsid w:val="000130D3"/>
    <w:rsid w:val="0001412C"/>
    <w:rsid w:val="00014965"/>
    <w:rsid w:val="00014B68"/>
    <w:rsid w:val="0001523A"/>
    <w:rsid w:val="0001651F"/>
    <w:rsid w:val="000169B6"/>
    <w:rsid w:val="00016ECB"/>
    <w:rsid w:val="00020540"/>
    <w:rsid w:val="00020A18"/>
    <w:rsid w:val="00020FC4"/>
    <w:rsid w:val="000213FD"/>
    <w:rsid w:val="00022EB4"/>
    <w:rsid w:val="000235E0"/>
    <w:rsid w:val="00023673"/>
    <w:rsid w:val="00024387"/>
    <w:rsid w:val="00024792"/>
    <w:rsid w:val="00024AF9"/>
    <w:rsid w:val="00025280"/>
    <w:rsid w:val="000260A4"/>
    <w:rsid w:val="00026674"/>
    <w:rsid w:val="000268DB"/>
    <w:rsid w:val="000269F6"/>
    <w:rsid w:val="000303F2"/>
    <w:rsid w:val="00031203"/>
    <w:rsid w:val="000313A7"/>
    <w:rsid w:val="000316D1"/>
    <w:rsid w:val="0003171C"/>
    <w:rsid w:val="000318AB"/>
    <w:rsid w:val="000318D6"/>
    <w:rsid w:val="00031939"/>
    <w:rsid w:val="00031E89"/>
    <w:rsid w:val="0003242A"/>
    <w:rsid w:val="00032D25"/>
    <w:rsid w:val="000330D6"/>
    <w:rsid w:val="000344D7"/>
    <w:rsid w:val="0003541D"/>
    <w:rsid w:val="0003600B"/>
    <w:rsid w:val="00036F12"/>
    <w:rsid w:val="00036FE2"/>
    <w:rsid w:val="000405CB"/>
    <w:rsid w:val="00040E0E"/>
    <w:rsid w:val="00040FA9"/>
    <w:rsid w:val="00041D98"/>
    <w:rsid w:val="0004216A"/>
    <w:rsid w:val="00042221"/>
    <w:rsid w:val="000423FB"/>
    <w:rsid w:val="0004272A"/>
    <w:rsid w:val="00042B1E"/>
    <w:rsid w:val="00043692"/>
    <w:rsid w:val="000446A8"/>
    <w:rsid w:val="00045048"/>
    <w:rsid w:val="00046C7A"/>
    <w:rsid w:val="00046DA3"/>
    <w:rsid w:val="00047482"/>
    <w:rsid w:val="00047B16"/>
    <w:rsid w:val="000502D3"/>
    <w:rsid w:val="00050EE9"/>
    <w:rsid w:val="000515D7"/>
    <w:rsid w:val="000517B6"/>
    <w:rsid w:val="0005219D"/>
    <w:rsid w:val="00053B82"/>
    <w:rsid w:val="00053BBF"/>
    <w:rsid w:val="00053E59"/>
    <w:rsid w:val="00053FFB"/>
    <w:rsid w:val="0005568F"/>
    <w:rsid w:val="00056531"/>
    <w:rsid w:val="000573F4"/>
    <w:rsid w:val="000579EF"/>
    <w:rsid w:val="00057F6C"/>
    <w:rsid w:val="00060C5E"/>
    <w:rsid w:val="0006153D"/>
    <w:rsid w:val="00061B1F"/>
    <w:rsid w:val="00061D8F"/>
    <w:rsid w:val="0006212B"/>
    <w:rsid w:val="00062489"/>
    <w:rsid w:val="00062A3E"/>
    <w:rsid w:val="00063FC0"/>
    <w:rsid w:val="00064469"/>
    <w:rsid w:val="00065442"/>
    <w:rsid w:val="00065B90"/>
    <w:rsid w:val="0006617D"/>
    <w:rsid w:val="000662A8"/>
    <w:rsid w:val="000664DB"/>
    <w:rsid w:val="00066BE2"/>
    <w:rsid w:val="000670E0"/>
    <w:rsid w:val="000670F9"/>
    <w:rsid w:val="00067250"/>
    <w:rsid w:val="00067730"/>
    <w:rsid w:val="00070541"/>
    <w:rsid w:val="00070819"/>
    <w:rsid w:val="00070A23"/>
    <w:rsid w:val="00070EB9"/>
    <w:rsid w:val="0007127D"/>
    <w:rsid w:val="00071AE5"/>
    <w:rsid w:val="00071EB5"/>
    <w:rsid w:val="0007223D"/>
    <w:rsid w:val="00072315"/>
    <w:rsid w:val="0007284F"/>
    <w:rsid w:val="000728D1"/>
    <w:rsid w:val="00072AEA"/>
    <w:rsid w:val="0007356C"/>
    <w:rsid w:val="00073872"/>
    <w:rsid w:val="00074211"/>
    <w:rsid w:val="00074213"/>
    <w:rsid w:val="000743DB"/>
    <w:rsid w:val="00074783"/>
    <w:rsid w:val="000756A6"/>
    <w:rsid w:val="00076382"/>
    <w:rsid w:val="000801DD"/>
    <w:rsid w:val="000801E0"/>
    <w:rsid w:val="000808D0"/>
    <w:rsid w:val="00081E74"/>
    <w:rsid w:val="000825A4"/>
    <w:rsid w:val="00082A29"/>
    <w:rsid w:val="00082EB5"/>
    <w:rsid w:val="000832D4"/>
    <w:rsid w:val="0008331D"/>
    <w:rsid w:val="00083C18"/>
    <w:rsid w:val="00083CAE"/>
    <w:rsid w:val="00083F1F"/>
    <w:rsid w:val="0008477B"/>
    <w:rsid w:val="00084C52"/>
    <w:rsid w:val="000853B7"/>
    <w:rsid w:val="000855DB"/>
    <w:rsid w:val="0008639B"/>
    <w:rsid w:val="00090739"/>
    <w:rsid w:val="00090B69"/>
    <w:rsid w:val="00091349"/>
    <w:rsid w:val="0009207D"/>
    <w:rsid w:val="00092757"/>
    <w:rsid w:val="00092899"/>
    <w:rsid w:val="0009346D"/>
    <w:rsid w:val="00093804"/>
    <w:rsid w:val="00093F34"/>
    <w:rsid w:val="000942DB"/>
    <w:rsid w:val="0009483F"/>
    <w:rsid w:val="0009654D"/>
    <w:rsid w:val="000971F1"/>
    <w:rsid w:val="00097AC4"/>
    <w:rsid w:val="000A02C5"/>
    <w:rsid w:val="000A08E2"/>
    <w:rsid w:val="000A0931"/>
    <w:rsid w:val="000A0C1C"/>
    <w:rsid w:val="000A178E"/>
    <w:rsid w:val="000A1E17"/>
    <w:rsid w:val="000A2DFB"/>
    <w:rsid w:val="000A2E91"/>
    <w:rsid w:val="000A318A"/>
    <w:rsid w:val="000A3C46"/>
    <w:rsid w:val="000A4690"/>
    <w:rsid w:val="000A4B58"/>
    <w:rsid w:val="000A4BFD"/>
    <w:rsid w:val="000A557E"/>
    <w:rsid w:val="000A6C8C"/>
    <w:rsid w:val="000A72C7"/>
    <w:rsid w:val="000A74F3"/>
    <w:rsid w:val="000A7B5C"/>
    <w:rsid w:val="000B0352"/>
    <w:rsid w:val="000B058F"/>
    <w:rsid w:val="000B1B53"/>
    <w:rsid w:val="000B334C"/>
    <w:rsid w:val="000B3AEC"/>
    <w:rsid w:val="000B404A"/>
    <w:rsid w:val="000B42F4"/>
    <w:rsid w:val="000B62CE"/>
    <w:rsid w:val="000B6614"/>
    <w:rsid w:val="000B6813"/>
    <w:rsid w:val="000B693F"/>
    <w:rsid w:val="000B7513"/>
    <w:rsid w:val="000B7A19"/>
    <w:rsid w:val="000B7CD0"/>
    <w:rsid w:val="000C0527"/>
    <w:rsid w:val="000C09AC"/>
    <w:rsid w:val="000C0A63"/>
    <w:rsid w:val="000C181C"/>
    <w:rsid w:val="000C1D12"/>
    <w:rsid w:val="000C3579"/>
    <w:rsid w:val="000C38EB"/>
    <w:rsid w:val="000C437E"/>
    <w:rsid w:val="000C4474"/>
    <w:rsid w:val="000C5B70"/>
    <w:rsid w:val="000C672D"/>
    <w:rsid w:val="000C74B3"/>
    <w:rsid w:val="000D010B"/>
    <w:rsid w:val="000D05B2"/>
    <w:rsid w:val="000D2214"/>
    <w:rsid w:val="000D2418"/>
    <w:rsid w:val="000D26DD"/>
    <w:rsid w:val="000D3129"/>
    <w:rsid w:val="000D4722"/>
    <w:rsid w:val="000D49A0"/>
    <w:rsid w:val="000D4AE8"/>
    <w:rsid w:val="000D67A8"/>
    <w:rsid w:val="000D6EB2"/>
    <w:rsid w:val="000D701A"/>
    <w:rsid w:val="000D72EE"/>
    <w:rsid w:val="000D73FF"/>
    <w:rsid w:val="000D76F2"/>
    <w:rsid w:val="000D7BD3"/>
    <w:rsid w:val="000E09FB"/>
    <w:rsid w:val="000E17AA"/>
    <w:rsid w:val="000E1D04"/>
    <w:rsid w:val="000E20A2"/>
    <w:rsid w:val="000E33FA"/>
    <w:rsid w:val="000E3AAB"/>
    <w:rsid w:val="000E45EA"/>
    <w:rsid w:val="000E4C53"/>
    <w:rsid w:val="000E5CB1"/>
    <w:rsid w:val="000E5F16"/>
    <w:rsid w:val="000E69E9"/>
    <w:rsid w:val="000E744E"/>
    <w:rsid w:val="000E7C90"/>
    <w:rsid w:val="000E7E61"/>
    <w:rsid w:val="000F0250"/>
    <w:rsid w:val="000F0325"/>
    <w:rsid w:val="000F17D1"/>
    <w:rsid w:val="000F1A4A"/>
    <w:rsid w:val="000F1C62"/>
    <w:rsid w:val="000F1E17"/>
    <w:rsid w:val="000F21B0"/>
    <w:rsid w:val="000F412B"/>
    <w:rsid w:val="000F42B3"/>
    <w:rsid w:val="000F43FC"/>
    <w:rsid w:val="000F4452"/>
    <w:rsid w:val="000F468E"/>
    <w:rsid w:val="000F497F"/>
    <w:rsid w:val="000F4B3D"/>
    <w:rsid w:val="000F55B9"/>
    <w:rsid w:val="000F65BE"/>
    <w:rsid w:val="000F6B88"/>
    <w:rsid w:val="000F6DA1"/>
    <w:rsid w:val="000F701B"/>
    <w:rsid w:val="000F731E"/>
    <w:rsid w:val="000F7681"/>
    <w:rsid w:val="00100501"/>
    <w:rsid w:val="0010127F"/>
    <w:rsid w:val="001020B9"/>
    <w:rsid w:val="00103724"/>
    <w:rsid w:val="001044EE"/>
    <w:rsid w:val="0010467E"/>
    <w:rsid w:val="001056A0"/>
    <w:rsid w:val="00105C15"/>
    <w:rsid w:val="00105D74"/>
    <w:rsid w:val="00106486"/>
    <w:rsid w:val="00106502"/>
    <w:rsid w:val="0010661E"/>
    <w:rsid w:val="00106B41"/>
    <w:rsid w:val="00107C6B"/>
    <w:rsid w:val="00107E66"/>
    <w:rsid w:val="00110C5E"/>
    <w:rsid w:val="00110E17"/>
    <w:rsid w:val="00111EC5"/>
    <w:rsid w:val="00112628"/>
    <w:rsid w:val="0011267B"/>
    <w:rsid w:val="00112ACD"/>
    <w:rsid w:val="00113193"/>
    <w:rsid w:val="001131FF"/>
    <w:rsid w:val="0011355C"/>
    <w:rsid w:val="001141C0"/>
    <w:rsid w:val="00115279"/>
    <w:rsid w:val="0011568D"/>
    <w:rsid w:val="001156B4"/>
    <w:rsid w:val="00116028"/>
    <w:rsid w:val="00116D5C"/>
    <w:rsid w:val="00117058"/>
    <w:rsid w:val="00117459"/>
    <w:rsid w:val="0011749A"/>
    <w:rsid w:val="00120651"/>
    <w:rsid w:val="00120E2C"/>
    <w:rsid w:val="001218F8"/>
    <w:rsid w:val="00122100"/>
    <w:rsid w:val="001233BD"/>
    <w:rsid w:val="0012444D"/>
    <w:rsid w:val="0012538D"/>
    <w:rsid w:val="001258FC"/>
    <w:rsid w:val="001259C1"/>
    <w:rsid w:val="001273E5"/>
    <w:rsid w:val="00127743"/>
    <w:rsid w:val="001277D8"/>
    <w:rsid w:val="00127A68"/>
    <w:rsid w:val="00127BDA"/>
    <w:rsid w:val="00127EBF"/>
    <w:rsid w:val="00130690"/>
    <w:rsid w:val="00130B40"/>
    <w:rsid w:val="001310AA"/>
    <w:rsid w:val="00131401"/>
    <w:rsid w:val="0013249E"/>
    <w:rsid w:val="00132A19"/>
    <w:rsid w:val="00132BF5"/>
    <w:rsid w:val="001331A1"/>
    <w:rsid w:val="00133720"/>
    <w:rsid w:val="001339D4"/>
    <w:rsid w:val="00134838"/>
    <w:rsid w:val="00134893"/>
    <w:rsid w:val="00134EB1"/>
    <w:rsid w:val="00135317"/>
    <w:rsid w:val="001355E9"/>
    <w:rsid w:val="00136E64"/>
    <w:rsid w:val="00136F2D"/>
    <w:rsid w:val="0013707A"/>
    <w:rsid w:val="0013716A"/>
    <w:rsid w:val="00137E0C"/>
    <w:rsid w:val="001406A8"/>
    <w:rsid w:val="00140B13"/>
    <w:rsid w:val="001410E5"/>
    <w:rsid w:val="00141619"/>
    <w:rsid w:val="00141B68"/>
    <w:rsid w:val="0014215D"/>
    <w:rsid w:val="00142801"/>
    <w:rsid w:val="00142934"/>
    <w:rsid w:val="001429E2"/>
    <w:rsid w:val="001439CA"/>
    <w:rsid w:val="00143A9B"/>
    <w:rsid w:val="00144829"/>
    <w:rsid w:val="0014510E"/>
    <w:rsid w:val="001453B8"/>
    <w:rsid w:val="0014620C"/>
    <w:rsid w:val="00146498"/>
    <w:rsid w:val="001466DA"/>
    <w:rsid w:val="001468A3"/>
    <w:rsid w:val="001502F7"/>
    <w:rsid w:val="0015077D"/>
    <w:rsid w:val="00150A3C"/>
    <w:rsid w:val="00151B5D"/>
    <w:rsid w:val="00151F7D"/>
    <w:rsid w:val="001520DB"/>
    <w:rsid w:val="001532EF"/>
    <w:rsid w:val="00154179"/>
    <w:rsid w:val="0015478D"/>
    <w:rsid w:val="00154DE1"/>
    <w:rsid w:val="00155202"/>
    <w:rsid w:val="001558CF"/>
    <w:rsid w:val="00155B00"/>
    <w:rsid w:val="00155B40"/>
    <w:rsid w:val="00155D60"/>
    <w:rsid w:val="00155FA6"/>
    <w:rsid w:val="00156D3A"/>
    <w:rsid w:val="00156EAA"/>
    <w:rsid w:val="00157435"/>
    <w:rsid w:val="00157E6D"/>
    <w:rsid w:val="001621E9"/>
    <w:rsid w:val="0016239C"/>
    <w:rsid w:val="00162DF6"/>
    <w:rsid w:val="0016301B"/>
    <w:rsid w:val="00163E62"/>
    <w:rsid w:val="00163EEA"/>
    <w:rsid w:val="0016461B"/>
    <w:rsid w:val="001647A5"/>
    <w:rsid w:val="00164C77"/>
    <w:rsid w:val="0016578A"/>
    <w:rsid w:val="00165D53"/>
    <w:rsid w:val="00166593"/>
    <w:rsid w:val="001669E7"/>
    <w:rsid w:val="00166A3D"/>
    <w:rsid w:val="001672BD"/>
    <w:rsid w:val="00167A07"/>
    <w:rsid w:val="00167DE6"/>
    <w:rsid w:val="00167DE9"/>
    <w:rsid w:val="0017046A"/>
    <w:rsid w:val="001704A3"/>
    <w:rsid w:val="00170922"/>
    <w:rsid w:val="00170F5C"/>
    <w:rsid w:val="001716FF"/>
    <w:rsid w:val="00171850"/>
    <w:rsid w:val="00171967"/>
    <w:rsid w:val="001726CD"/>
    <w:rsid w:val="0017397A"/>
    <w:rsid w:val="001739D6"/>
    <w:rsid w:val="00174062"/>
    <w:rsid w:val="001743C1"/>
    <w:rsid w:val="0017449F"/>
    <w:rsid w:val="00174F36"/>
    <w:rsid w:val="0017504D"/>
    <w:rsid w:val="0017509C"/>
    <w:rsid w:val="00175D02"/>
    <w:rsid w:val="001761DE"/>
    <w:rsid w:val="0017683B"/>
    <w:rsid w:val="00176DED"/>
    <w:rsid w:val="00176FE2"/>
    <w:rsid w:val="00177378"/>
    <w:rsid w:val="00177422"/>
    <w:rsid w:val="00177448"/>
    <w:rsid w:val="00177AB4"/>
    <w:rsid w:val="0018007B"/>
    <w:rsid w:val="00180770"/>
    <w:rsid w:val="00180E21"/>
    <w:rsid w:val="00180E89"/>
    <w:rsid w:val="00181027"/>
    <w:rsid w:val="00181124"/>
    <w:rsid w:val="00181A51"/>
    <w:rsid w:val="00181DE4"/>
    <w:rsid w:val="001831B1"/>
    <w:rsid w:val="001832FE"/>
    <w:rsid w:val="001845E4"/>
    <w:rsid w:val="001845EB"/>
    <w:rsid w:val="00184774"/>
    <w:rsid w:val="00184E34"/>
    <w:rsid w:val="00184F10"/>
    <w:rsid w:val="00185546"/>
    <w:rsid w:val="001859A4"/>
    <w:rsid w:val="00185EBE"/>
    <w:rsid w:val="00186247"/>
    <w:rsid w:val="00186E1D"/>
    <w:rsid w:val="0018701A"/>
    <w:rsid w:val="0019146B"/>
    <w:rsid w:val="00191721"/>
    <w:rsid w:val="0019189E"/>
    <w:rsid w:val="001926DF"/>
    <w:rsid w:val="001930CA"/>
    <w:rsid w:val="00193EC8"/>
    <w:rsid w:val="00194398"/>
    <w:rsid w:val="00195607"/>
    <w:rsid w:val="00195726"/>
    <w:rsid w:val="00195892"/>
    <w:rsid w:val="00195D34"/>
    <w:rsid w:val="00197944"/>
    <w:rsid w:val="001A01E4"/>
    <w:rsid w:val="001A0BA6"/>
    <w:rsid w:val="001A176F"/>
    <w:rsid w:val="001A1F95"/>
    <w:rsid w:val="001A242A"/>
    <w:rsid w:val="001A301D"/>
    <w:rsid w:val="001A31FB"/>
    <w:rsid w:val="001A3915"/>
    <w:rsid w:val="001A4AD4"/>
    <w:rsid w:val="001A4FC3"/>
    <w:rsid w:val="001A614F"/>
    <w:rsid w:val="001A6D21"/>
    <w:rsid w:val="001A73AC"/>
    <w:rsid w:val="001A771F"/>
    <w:rsid w:val="001A7C35"/>
    <w:rsid w:val="001A7D2A"/>
    <w:rsid w:val="001A7E39"/>
    <w:rsid w:val="001A7FA1"/>
    <w:rsid w:val="001B0E51"/>
    <w:rsid w:val="001B1126"/>
    <w:rsid w:val="001B2255"/>
    <w:rsid w:val="001B3784"/>
    <w:rsid w:val="001B3891"/>
    <w:rsid w:val="001B4421"/>
    <w:rsid w:val="001B4B1C"/>
    <w:rsid w:val="001B4E5B"/>
    <w:rsid w:val="001B5296"/>
    <w:rsid w:val="001B574C"/>
    <w:rsid w:val="001B63E0"/>
    <w:rsid w:val="001B7218"/>
    <w:rsid w:val="001B7724"/>
    <w:rsid w:val="001B7D3F"/>
    <w:rsid w:val="001B7E79"/>
    <w:rsid w:val="001C091E"/>
    <w:rsid w:val="001C0AF9"/>
    <w:rsid w:val="001C0BF0"/>
    <w:rsid w:val="001C0F49"/>
    <w:rsid w:val="001C155A"/>
    <w:rsid w:val="001C1D88"/>
    <w:rsid w:val="001C22CA"/>
    <w:rsid w:val="001C2738"/>
    <w:rsid w:val="001C2B97"/>
    <w:rsid w:val="001C2E9D"/>
    <w:rsid w:val="001C353D"/>
    <w:rsid w:val="001C36AC"/>
    <w:rsid w:val="001C419B"/>
    <w:rsid w:val="001C48C0"/>
    <w:rsid w:val="001C510D"/>
    <w:rsid w:val="001C64AD"/>
    <w:rsid w:val="001C673B"/>
    <w:rsid w:val="001C6CCD"/>
    <w:rsid w:val="001C6DAC"/>
    <w:rsid w:val="001C707B"/>
    <w:rsid w:val="001C70E9"/>
    <w:rsid w:val="001C74EE"/>
    <w:rsid w:val="001C77C9"/>
    <w:rsid w:val="001C7B45"/>
    <w:rsid w:val="001C7FA6"/>
    <w:rsid w:val="001D09DA"/>
    <w:rsid w:val="001D1B71"/>
    <w:rsid w:val="001D2E6F"/>
    <w:rsid w:val="001D3462"/>
    <w:rsid w:val="001D3EEC"/>
    <w:rsid w:val="001D5251"/>
    <w:rsid w:val="001D6726"/>
    <w:rsid w:val="001D7E7D"/>
    <w:rsid w:val="001E03B4"/>
    <w:rsid w:val="001E06A3"/>
    <w:rsid w:val="001E145E"/>
    <w:rsid w:val="001E15ED"/>
    <w:rsid w:val="001E1D3E"/>
    <w:rsid w:val="001E1FF3"/>
    <w:rsid w:val="001E2767"/>
    <w:rsid w:val="001E2A65"/>
    <w:rsid w:val="001E2AB1"/>
    <w:rsid w:val="001E2D8E"/>
    <w:rsid w:val="001E328C"/>
    <w:rsid w:val="001E4183"/>
    <w:rsid w:val="001E44A6"/>
    <w:rsid w:val="001E4DF7"/>
    <w:rsid w:val="001E61CE"/>
    <w:rsid w:val="001E6281"/>
    <w:rsid w:val="001E62F5"/>
    <w:rsid w:val="001E75C3"/>
    <w:rsid w:val="001E7CAC"/>
    <w:rsid w:val="001F0B6A"/>
    <w:rsid w:val="001F0B92"/>
    <w:rsid w:val="001F139A"/>
    <w:rsid w:val="001F1F9A"/>
    <w:rsid w:val="001F23D7"/>
    <w:rsid w:val="001F3347"/>
    <w:rsid w:val="001F34BC"/>
    <w:rsid w:val="001F3D4F"/>
    <w:rsid w:val="001F413E"/>
    <w:rsid w:val="001F4440"/>
    <w:rsid w:val="001F47A0"/>
    <w:rsid w:val="001F4CAC"/>
    <w:rsid w:val="001F5991"/>
    <w:rsid w:val="001F633C"/>
    <w:rsid w:val="001F69E4"/>
    <w:rsid w:val="001F729F"/>
    <w:rsid w:val="001F7921"/>
    <w:rsid w:val="002003B9"/>
    <w:rsid w:val="002007EE"/>
    <w:rsid w:val="002029D4"/>
    <w:rsid w:val="00202F97"/>
    <w:rsid w:val="002031C5"/>
    <w:rsid w:val="00203682"/>
    <w:rsid w:val="00203B6A"/>
    <w:rsid w:val="00204D4D"/>
    <w:rsid w:val="00205493"/>
    <w:rsid w:val="00205B87"/>
    <w:rsid w:val="00205CE8"/>
    <w:rsid w:val="002066B1"/>
    <w:rsid w:val="00206A65"/>
    <w:rsid w:val="00206B18"/>
    <w:rsid w:val="00207D71"/>
    <w:rsid w:val="00210AC3"/>
    <w:rsid w:val="00210C59"/>
    <w:rsid w:val="00210D4C"/>
    <w:rsid w:val="00211D7B"/>
    <w:rsid w:val="002128E7"/>
    <w:rsid w:val="00212B8C"/>
    <w:rsid w:val="00212D31"/>
    <w:rsid w:val="00212DE6"/>
    <w:rsid w:val="002130C7"/>
    <w:rsid w:val="00213508"/>
    <w:rsid w:val="00213824"/>
    <w:rsid w:val="00213971"/>
    <w:rsid w:val="00213A03"/>
    <w:rsid w:val="00213ECE"/>
    <w:rsid w:val="00213FC9"/>
    <w:rsid w:val="00214DCE"/>
    <w:rsid w:val="00215CDB"/>
    <w:rsid w:val="00217137"/>
    <w:rsid w:val="002176D9"/>
    <w:rsid w:val="00217A59"/>
    <w:rsid w:val="00220092"/>
    <w:rsid w:val="00220B2F"/>
    <w:rsid w:val="0022130F"/>
    <w:rsid w:val="002215E9"/>
    <w:rsid w:val="002218A8"/>
    <w:rsid w:val="00221E2C"/>
    <w:rsid w:val="00222062"/>
    <w:rsid w:val="0022306D"/>
    <w:rsid w:val="00224720"/>
    <w:rsid w:val="0022478C"/>
    <w:rsid w:val="00225F81"/>
    <w:rsid w:val="00226574"/>
    <w:rsid w:val="00226F13"/>
    <w:rsid w:val="0022709E"/>
    <w:rsid w:val="00227290"/>
    <w:rsid w:val="002272D4"/>
    <w:rsid w:val="002278EC"/>
    <w:rsid w:val="00230A3A"/>
    <w:rsid w:val="00230B47"/>
    <w:rsid w:val="002314E7"/>
    <w:rsid w:val="00231A5A"/>
    <w:rsid w:val="00231A94"/>
    <w:rsid w:val="00232CC7"/>
    <w:rsid w:val="0023315B"/>
    <w:rsid w:val="00233167"/>
    <w:rsid w:val="00233382"/>
    <w:rsid w:val="00234E67"/>
    <w:rsid w:val="0023573C"/>
    <w:rsid w:val="002357C7"/>
    <w:rsid w:val="00236083"/>
    <w:rsid w:val="002367C4"/>
    <w:rsid w:val="00236802"/>
    <w:rsid w:val="0023698F"/>
    <w:rsid w:val="00236B2F"/>
    <w:rsid w:val="00236C25"/>
    <w:rsid w:val="00236F63"/>
    <w:rsid w:val="00237999"/>
    <w:rsid w:val="00240740"/>
    <w:rsid w:val="002410AE"/>
    <w:rsid w:val="00241266"/>
    <w:rsid w:val="0024167E"/>
    <w:rsid w:val="00241ACD"/>
    <w:rsid w:val="00241F4E"/>
    <w:rsid w:val="0024229E"/>
    <w:rsid w:val="00242FDB"/>
    <w:rsid w:val="00243177"/>
    <w:rsid w:val="00243641"/>
    <w:rsid w:val="002438D1"/>
    <w:rsid w:val="00244386"/>
    <w:rsid w:val="00245713"/>
    <w:rsid w:val="00245916"/>
    <w:rsid w:val="00245C71"/>
    <w:rsid w:val="00246CF2"/>
    <w:rsid w:val="00246F6F"/>
    <w:rsid w:val="0024736E"/>
    <w:rsid w:val="00247DF6"/>
    <w:rsid w:val="00247E1B"/>
    <w:rsid w:val="00247E24"/>
    <w:rsid w:val="00247F82"/>
    <w:rsid w:val="002509A2"/>
    <w:rsid w:val="00250EB7"/>
    <w:rsid w:val="00251449"/>
    <w:rsid w:val="00251D9B"/>
    <w:rsid w:val="002523FC"/>
    <w:rsid w:val="00252F95"/>
    <w:rsid w:val="00252FBB"/>
    <w:rsid w:val="00253A61"/>
    <w:rsid w:val="0025484E"/>
    <w:rsid w:val="0025531D"/>
    <w:rsid w:val="0025568D"/>
    <w:rsid w:val="00255A05"/>
    <w:rsid w:val="0025679E"/>
    <w:rsid w:val="0025691E"/>
    <w:rsid w:val="00256A45"/>
    <w:rsid w:val="00260C68"/>
    <w:rsid w:val="00261063"/>
    <w:rsid w:val="00261787"/>
    <w:rsid w:val="00261EAE"/>
    <w:rsid w:val="0026350D"/>
    <w:rsid w:val="002648B0"/>
    <w:rsid w:val="002649FF"/>
    <w:rsid w:val="00264A52"/>
    <w:rsid w:val="00264DF6"/>
    <w:rsid w:val="00264E63"/>
    <w:rsid w:val="00265D2D"/>
    <w:rsid w:val="00266C2C"/>
    <w:rsid w:val="002706F0"/>
    <w:rsid w:val="0027094B"/>
    <w:rsid w:val="002711B8"/>
    <w:rsid w:val="00271A75"/>
    <w:rsid w:val="00271B73"/>
    <w:rsid w:val="00271C6B"/>
    <w:rsid w:val="00272799"/>
    <w:rsid w:val="00272814"/>
    <w:rsid w:val="00273122"/>
    <w:rsid w:val="002739AF"/>
    <w:rsid w:val="00274315"/>
    <w:rsid w:val="00274837"/>
    <w:rsid w:val="00275271"/>
    <w:rsid w:val="0027535E"/>
    <w:rsid w:val="002754C7"/>
    <w:rsid w:val="0027553C"/>
    <w:rsid w:val="00275AA6"/>
    <w:rsid w:val="00275B81"/>
    <w:rsid w:val="00276B9E"/>
    <w:rsid w:val="00276E6C"/>
    <w:rsid w:val="00276FBD"/>
    <w:rsid w:val="0027707F"/>
    <w:rsid w:val="002771BC"/>
    <w:rsid w:val="00277763"/>
    <w:rsid w:val="002807D5"/>
    <w:rsid w:val="00280A9A"/>
    <w:rsid w:val="00280C3E"/>
    <w:rsid w:val="00281204"/>
    <w:rsid w:val="00281428"/>
    <w:rsid w:val="0028196D"/>
    <w:rsid w:val="00282CCD"/>
    <w:rsid w:val="0028381B"/>
    <w:rsid w:val="00283FD9"/>
    <w:rsid w:val="002846A2"/>
    <w:rsid w:val="002852A1"/>
    <w:rsid w:val="002861E0"/>
    <w:rsid w:val="002871F7"/>
    <w:rsid w:val="0029089F"/>
    <w:rsid w:val="00292275"/>
    <w:rsid w:val="00292AA4"/>
    <w:rsid w:val="002931DB"/>
    <w:rsid w:val="00293B20"/>
    <w:rsid w:val="002942A2"/>
    <w:rsid w:val="0029501D"/>
    <w:rsid w:val="0029542B"/>
    <w:rsid w:val="00295C67"/>
    <w:rsid w:val="0029663D"/>
    <w:rsid w:val="00296A4A"/>
    <w:rsid w:val="002976DD"/>
    <w:rsid w:val="00297705"/>
    <w:rsid w:val="00297ED4"/>
    <w:rsid w:val="002A0307"/>
    <w:rsid w:val="002A0A8B"/>
    <w:rsid w:val="002A106A"/>
    <w:rsid w:val="002A168C"/>
    <w:rsid w:val="002A1E1B"/>
    <w:rsid w:val="002A2217"/>
    <w:rsid w:val="002A2832"/>
    <w:rsid w:val="002A2C48"/>
    <w:rsid w:val="002A2D9F"/>
    <w:rsid w:val="002A2FDE"/>
    <w:rsid w:val="002A3488"/>
    <w:rsid w:val="002A3B90"/>
    <w:rsid w:val="002A3C09"/>
    <w:rsid w:val="002A3EED"/>
    <w:rsid w:val="002A4A39"/>
    <w:rsid w:val="002A54D4"/>
    <w:rsid w:val="002A5A17"/>
    <w:rsid w:val="002A5E9F"/>
    <w:rsid w:val="002A6425"/>
    <w:rsid w:val="002A6468"/>
    <w:rsid w:val="002A7192"/>
    <w:rsid w:val="002A7C52"/>
    <w:rsid w:val="002B23C2"/>
    <w:rsid w:val="002B267B"/>
    <w:rsid w:val="002B3133"/>
    <w:rsid w:val="002B3488"/>
    <w:rsid w:val="002B3628"/>
    <w:rsid w:val="002B3EE5"/>
    <w:rsid w:val="002B3FAA"/>
    <w:rsid w:val="002B498E"/>
    <w:rsid w:val="002B49E2"/>
    <w:rsid w:val="002B54FA"/>
    <w:rsid w:val="002B567D"/>
    <w:rsid w:val="002B5B89"/>
    <w:rsid w:val="002B5E24"/>
    <w:rsid w:val="002B67B9"/>
    <w:rsid w:val="002B7B00"/>
    <w:rsid w:val="002B7C44"/>
    <w:rsid w:val="002C0C7C"/>
    <w:rsid w:val="002C1132"/>
    <w:rsid w:val="002C1388"/>
    <w:rsid w:val="002C13CA"/>
    <w:rsid w:val="002C17C9"/>
    <w:rsid w:val="002C2766"/>
    <w:rsid w:val="002C326D"/>
    <w:rsid w:val="002C3C6A"/>
    <w:rsid w:val="002C40FD"/>
    <w:rsid w:val="002C49F9"/>
    <w:rsid w:val="002C4A27"/>
    <w:rsid w:val="002C5629"/>
    <w:rsid w:val="002C589B"/>
    <w:rsid w:val="002C7651"/>
    <w:rsid w:val="002C7788"/>
    <w:rsid w:val="002C7C75"/>
    <w:rsid w:val="002D01BF"/>
    <w:rsid w:val="002D06E0"/>
    <w:rsid w:val="002D0C6E"/>
    <w:rsid w:val="002D0D23"/>
    <w:rsid w:val="002D12BC"/>
    <w:rsid w:val="002D1580"/>
    <w:rsid w:val="002D2110"/>
    <w:rsid w:val="002D2244"/>
    <w:rsid w:val="002D23FA"/>
    <w:rsid w:val="002D315C"/>
    <w:rsid w:val="002D3A6E"/>
    <w:rsid w:val="002D42DB"/>
    <w:rsid w:val="002D4450"/>
    <w:rsid w:val="002D45A4"/>
    <w:rsid w:val="002D512D"/>
    <w:rsid w:val="002D78F8"/>
    <w:rsid w:val="002E1967"/>
    <w:rsid w:val="002E1F3A"/>
    <w:rsid w:val="002E298A"/>
    <w:rsid w:val="002E2D9A"/>
    <w:rsid w:val="002E3FF9"/>
    <w:rsid w:val="002E4278"/>
    <w:rsid w:val="002E4DEC"/>
    <w:rsid w:val="002E566C"/>
    <w:rsid w:val="002E57AD"/>
    <w:rsid w:val="002E60E8"/>
    <w:rsid w:val="002E65F1"/>
    <w:rsid w:val="002E6E08"/>
    <w:rsid w:val="002E7098"/>
    <w:rsid w:val="002E73DB"/>
    <w:rsid w:val="002E7666"/>
    <w:rsid w:val="002E774B"/>
    <w:rsid w:val="002E7EF8"/>
    <w:rsid w:val="002F0078"/>
    <w:rsid w:val="002F02A4"/>
    <w:rsid w:val="002F02FC"/>
    <w:rsid w:val="002F0927"/>
    <w:rsid w:val="002F112C"/>
    <w:rsid w:val="002F1D69"/>
    <w:rsid w:val="002F2283"/>
    <w:rsid w:val="002F272B"/>
    <w:rsid w:val="002F2837"/>
    <w:rsid w:val="002F3EC5"/>
    <w:rsid w:val="002F3FC2"/>
    <w:rsid w:val="002F5D3C"/>
    <w:rsid w:val="002F5F46"/>
    <w:rsid w:val="002F63FD"/>
    <w:rsid w:val="002F6ADB"/>
    <w:rsid w:val="002F6F39"/>
    <w:rsid w:val="002F7C6D"/>
    <w:rsid w:val="003000C2"/>
    <w:rsid w:val="00300BD9"/>
    <w:rsid w:val="003015D8"/>
    <w:rsid w:val="0030161E"/>
    <w:rsid w:val="00301697"/>
    <w:rsid w:val="00301C14"/>
    <w:rsid w:val="00302129"/>
    <w:rsid w:val="003027E4"/>
    <w:rsid w:val="003032CE"/>
    <w:rsid w:val="0030332C"/>
    <w:rsid w:val="00303A48"/>
    <w:rsid w:val="0030434A"/>
    <w:rsid w:val="0030465B"/>
    <w:rsid w:val="0030498B"/>
    <w:rsid w:val="00305529"/>
    <w:rsid w:val="00305BC1"/>
    <w:rsid w:val="00306042"/>
    <w:rsid w:val="003069A6"/>
    <w:rsid w:val="00307528"/>
    <w:rsid w:val="003077A9"/>
    <w:rsid w:val="00307B88"/>
    <w:rsid w:val="003107C0"/>
    <w:rsid w:val="00311B27"/>
    <w:rsid w:val="00312296"/>
    <w:rsid w:val="00312455"/>
    <w:rsid w:val="00312F28"/>
    <w:rsid w:val="00312F69"/>
    <w:rsid w:val="003131ED"/>
    <w:rsid w:val="0031340E"/>
    <w:rsid w:val="0031366A"/>
    <w:rsid w:val="0031397E"/>
    <w:rsid w:val="00313E27"/>
    <w:rsid w:val="00313E43"/>
    <w:rsid w:val="00315713"/>
    <w:rsid w:val="00315D23"/>
    <w:rsid w:val="0031619E"/>
    <w:rsid w:val="00316464"/>
    <w:rsid w:val="003169E6"/>
    <w:rsid w:val="00317148"/>
    <w:rsid w:val="00320168"/>
    <w:rsid w:val="00320199"/>
    <w:rsid w:val="0032073A"/>
    <w:rsid w:val="00321167"/>
    <w:rsid w:val="00321B89"/>
    <w:rsid w:val="00321D8E"/>
    <w:rsid w:val="00322C3A"/>
    <w:rsid w:val="00322F51"/>
    <w:rsid w:val="00323375"/>
    <w:rsid w:val="0032344D"/>
    <w:rsid w:val="00323A69"/>
    <w:rsid w:val="00324B0D"/>
    <w:rsid w:val="00324EB5"/>
    <w:rsid w:val="003259A6"/>
    <w:rsid w:val="003259AF"/>
    <w:rsid w:val="003266C4"/>
    <w:rsid w:val="003266DA"/>
    <w:rsid w:val="003273E8"/>
    <w:rsid w:val="00327AE7"/>
    <w:rsid w:val="00327B36"/>
    <w:rsid w:val="00327F92"/>
    <w:rsid w:val="00330421"/>
    <w:rsid w:val="00331014"/>
    <w:rsid w:val="0033167F"/>
    <w:rsid w:val="003316E3"/>
    <w:rsid w:val="003319E1"/>
    <w:rsid w:val="00333617"/>
    <w:rsid w:val="00333B5A"/>
    <w:rsid w:val="00333F46"/>
    <w:rsid w:val="00334867"/>
    <w:rsid w:val="00334996"/>
    <w:rsid w:val="00334CE5"/>
    <w:rsid w:val="003358F4"/>
    <w:rsid w:val="00336651"/>
    <w:rsid w:val="00336969"/>
    <w:rsid w:val="00336A13"/>
    <w:rsid w:val="00336AC8"/>
    <w:rsid w:val="00336C52"/>
    <w:rsid w:val="00337DF5"/>
    <w:rsid w:val="00340D72"/>
    <w:rsid w:val="00341B3E"/>
    <w:rsid w:val="00341B42"/>
    <w:rsid w:val="00341BAF"/>
    <w:rsid w:val="00342239"/>
    <w:rsid w:val="0034242B"/>
    <w:rsid w:val="003433B1"/>
    <w:rsid w:val="0034376F"/>
    <w:rsid w:val="00344E2B"/>
    <w:rsid w:val="00344F15"/>
    <w:rsid w:val="00345154"/>
    <w:rsid w:val="0034560E"/>
    <w:rsid w:val="00346E46"/>
    <w:rsid w:val="00347145"/>
    <w:rsid w:val="0034774D"/>
    <w:rsid w:val="00350523"/>
    <w:rsid w:val="0035093C"/>
    <w:rsid w:val="00351861"/>
    <w:rsid w:val="00352975"/>
    <w:rsid w:val="0035359A"/>
    <w:rsid w:val="00355023"/>
    <w:rsid w:val="003553A3"/>
    <w:rsid w:val="00356868"/>
    <w:rsid w:val="00356ADC"/>
    <w:rsid w:val="00356EA1"/>
    <w:rsid w:val="00357B89"/>
    <w:rsid w:val="0036022A"/>
    <w:rsid w:val="003603A6"/>
    <w:rsid w:val="00360FE1"/>
    <w:rsid w:val="003610E3"/>
    <w:rsid w:val="00362DD9"/>
    <w:rsid w:val="00363084"/>
    <w:rsid w:val="0036324F"/>
    <w:rsid w:val="00363FA9"/>
    <w:rsid w:val="003645D0"/>
    <w:rsid w:val="0036485B"/>
    <w:rsid w:val="00364AC6"/>
    <w:rsid w:val="0036617D"/>
    <w:rsid w:val="00366498"/>
    <w:rsid w:val="0036684C"/>
    <w:rsid w:val="00366AE9"/>
    <w:rsid w:val="00366BDE"/>
    <w:rsid w:val="003673EC"/>
    <w:rsid w:val="00367817"/>
    <w:rsid w:val="00367B87"/>
    <w:rsid w:val="00371526"/>
    <w:rsid w:val="003721F2"/>
    <w:rsid w:val="0037243A"/>
    <w:rsid w:val="0037249B"/>
    <w:rsid w:val="00372997"/>
    <w:rsid w:val="00372AAB"/>
    <w:rsid w:val="0037302D"/>
    <w:rsid w:val="0037384E"/>
    <w:rsid w:val="00373B0D"/>
    <w:rsid w:val="00373C5F"/>
    <w:rsid w:val="00373D52"/>
    <w:rsid w:val="00373E0F"/>
    <w:rsid w:val="00374745"/>
    <w:rsid w:val="00374BC4"/>
    <w:rsid w:val="00374FD4"/>
    <w:rsid w:val="00375F56"/>
    <w:rsid w:val="00376988"/>
    <w:rsid w:val="003778A0"/>
    <w:rsid w:val="003807FA"/>
    <w:rsid w:val="00380FE2"/>
    <w:rsid w:val="00381703"/>
    <w:rsid w:val="00381A72"/>
    <w:rsid w:val="00381D18"/>
    <w:rsid w:val="003821EC"/>
    <w:rsid w:val="00382BE2"/>
    <w:rsid w:val="00382E82"/>
    <w:rsid w:val="003835D4"/>
    <w:rsid w:val="003851D2"/>
    <w:rsid w:val="00385270"/>
    <w:rsid w:val="00386A79"/>
    <w:rsid w:val="003870F2"/>
    <w:rsid w:val="003872D8"/>
    <w:rsid w:val="00390085"/>
    <w:rsid w:val="00390B96"/>
    <w:rsid w:val="00390C4E"/>
    <w:rsid w:val="00390C56"/>
    <w:rsid w:val="003917EE"/>
    <w:rsid w:val="00391E13"/>
    <w:rsid w:val="0039283E"/>
    <w:rsid w:val="00393E98"/>
    <w:rsid w:val="00394F43"/>
    <w:rsid w:val="0039630F"/>
    <w:rsid w:val="00396C74"/>
    <w:rsid w:val="00396DF6"/>
    <w:rsid w:val="00397603"/>
    <w:rsid w:val="00397B13"/>
    <w:rsid w:val="003A0204"/>
    <w:rsid w:val="003A0424"/>
    <w:rsid w:val="003A1563"/>
    <w:rsid w:val="003A1948"/>
    <w:rsid w:val="003A1F45"/>
    <w:rsid w:val="003A23D3"/>
    <w:rsid w:val="003A2E34"/>
    <w:rsid w:val="003A30C7"/>
    <w:rsid w:val="003A3942"/>
    <w:rsid w:val="003A3D03"/>
    <w:rsid w:val="003A4CC2"/>
    <w:rsid w:val="003A53BE"/>
    <w:rsid w:val="003A5598"/>
    <w:rsid w:val="003A57EE"/>
    <w:rsid w:val="003A6261"/>
    <w:rsid w:val="003A6863"/>
    <w:rsid w:val="003A6F49"/>
    <w:rsid w:val="003A7033"/>
    <w:rsid w:val="003A7E76"/>
    <w:rsid w:val="003B0DAC"/>
    <w:rsid w:val="003B0E6D"/>
    <w:rsid w:val="003B152A"/>
    <w:rsid w:val="003B2B8B"/>
    <w:rsid w:val="003B2FDD"/>
    <w:rsid w:val="003B33DD"/>
    <w:rsid w:val="003B3D5E"/>
    <w:rsid w:val="003B4EA9"/>
    <w:rsid w:val="003B545B"/>
    <w:rsid w:val="003B675A"/>
    <w:rsid w:val="003B753D"/>
    <w:rsid w:val="003B765B"/>
    <w:rsid w:val="003C01AC"/>
    <w:rsid w:val="003C0AE4"/>
    <w:rsid w:val="003C0B26"/>
    <w:rsid w:val="003C158B"/>
    <w:rsid w:val="003C168F"/>
    <w:rsid w:val="003C1C01"/>
    <w:rsid w:val="003C1E88"/>
    <w:rsid w:val="003C26DD"/>
    <w:rsid w:val="003C2E86"/>
    <w:rsid w:val="003C3187"/>
    <w:rsid w:val="003C4290"/>
    <w:rsid w:val="003C454C"/>
    <w:rsid w:val="003C4896"/>
    <w:rsid w:val="003C5B4E"/>
    <w:rsid w:val="003C5C08"/>
    <w:rsid w:val="003C5DE8"/>
    <w:rsid w:val="003C5E36"/>
    <w:rsid w:val="003C6CDF"/>
    <w:rsid w:val="003C74AA"/>
    <w:rsid w:val="003C7945"/>
    <w:rsid w:val="003C7E39"/>
    <w:rsid w:val="003D0D25"/>
    <w:rsid w:val="003D0D66"/>
    <w:rsid w:val="003D26C1"/>
    <w:rsid w:val="003D297B"/>
    <w:rsid w:val="003D3912"/>
    <w:rsid w:val="003D3EE9"/>
    <w:rsid w:val="003D437D"/>
    <w:rsid w:val="003D5507"/>
    <w:rsid w:val="003D5530"/>
    <w:rsid w:val="003D5C61"/>
    <w:rsid w:val="003D5DE7"/>
    <w:rsid w:val="003D5E7F"/>
    <w:rsid w:val="003D6D0F"/>
    <w:rsid w:val="003D71C8"/>
    <w:rsid w:val="003D7558"/>
    <w:rsid w:val="003D7DCC"/>
    <w:rsid w:val="003D7E02"/>
    <w:rsid w:val="003D7F3C"/>
    <w:rsid w:val="003E0C6F"/>
    <w:rsid w:val="003E0D7F"/>
    <w:rsid w:val="003E0F22"/>
    <w:rsid w:val="003E12C6"/>
    <w:rsid w:val="003E1630"/>
    <w:rsid w:val="003E19CA"/>
    <w:rsid w:val="003E2136"/>
    <w:rsid w:val="003E2735"/>
    <w:rsid w:val="003E2990"/>
    <w:rsid w:val="003E36AD"/>
    <w:rsid w:val="003E38F5"/>
    <w:rsid w:val="003E4259"/>
    <w:rsid w:val="003E4956"/>
    <w:rsid w:val="003E552D"/>
    <w:rsid w:val="003E569E"/>
    <w:rsid w:val="003E63DD"/>
    <w:rsid w:val="003E7522"/>
    <w:rsid w:val="003E75A3"/>
    <w:rsid w:val="003E7681"/>
    <w:rsid w:val="003E793E"/>
    <w:rsid w:val="003F0329"/>
    <w:rsid w:val="003F0506"/>
    <w:rsid w:val="003F0728"/>
    <w:rsid w:val="003F0809"/>
    <w:rsid w:val="003F0865"/>
    <w:rsid w:val="003F0C22"/>
    <w:rsid w:val="003F1826"/>
    <w:rsid w:val="003F19E8"/>
    <w:rsid w:val="003F1AC7"/>
    <w:rsid w:val="003F1B72"/>
    <w:rsid w:val="003F1F46"/>
    <w:rsid w:val="003F1FFA"/>
    <w:rsid w:val="003F3B2F"/>
    <w:rsid w:val="003F420A"/>
    <w:rsid w:val="003F453F"/>
    <w:rsid w:val="003F4783"/>
    <w:rsid w:val="003F5C1A"/>
    <w:rsid w:val="003F611C"/>
    <w:rsid w:val="003F755C"/>
    <w:rsid w:val="003F7A03"/>
    <w:rsid w:val="00400AF7"/>
    <w:rsid w:val="0040183F"/>
    <w:rsid w:val="004018E3"/>
    <w:rsid w:val="00401F22"/>
    <w:rsid w:val="004023F0"/>
    <w:rsid w:val="00403083"/>
    <w:rsid w:val="004034EB"/>
    <w:rsid w:val="00403DA9"/>
    <w:rsid w:val="00403E4B"/>
    <w:rsid w:val="00403F3D"/>
    <w:rsid w:val="00404405"/>
    <w:rsid w:val="00404E0E"/>
    <w:rsid w:val="00405148"/>
    <w:rsid w:val="00405A88"/>
    <w:rsid w:val="00405E88"/>
    <w:rsid w:val="0040611A"/>
    <w:rsid w:val="00406F01"/>
    <w:rsid w:val="00406FBF"/>
    <w:rsid w:val="0040714E"/>
    <w:rsid w:val="00407CC7"/>
    <w:rsid w:val="00410117"/>
    <w:rsid w:val="00410758"/>
    <w:rsid w:val="00410FEF"/>
    <w:rsid w:val="00411B36"/>
    <w:rsid w:val="004121D7"/>
    <w:rsid w:val="00412BED"/>
    <w:rsid w:val="004132A4"/>
    <w:rsid w:val="004132C5"/>
    <w:rsid w:val="00413906"/>
    <w:rsid w:val="004149A8"/>
    <w:rsid w:val="00414D4E"/>
    <w:rsid w:val="004155C0"/>
    <w:rsid w:val="00416269"/>
    <w:rsid w:val="00416AEF"/>
    <w:rsid w:val="00416B9D"/>
    <w:rsid w:val="00416D2F"/>
    <w:rsid w:val="00416D50"/>
    <w:rsid w:val="00416D81"/>
    <w:rsid w:val="00416F4C"/>
    <w:rsid w:val="00417772"/>
    <w:rsid w:val="00417AD9"/>
    <w:rsid w:val="004200AA"/>
    <w:rsid w:val="00420E6A"/>
    <w:rsid w:val="004216EE"/>
    <w:rsid w:val="00421F96"/>
    <w:rsid w:val="00422500"/>
    <w:rsid w:val="0042393B"/>
    <w:rsid w:val="00423B36"/>
    <w:rsid w:val="00423B88"/>
    <w:rsid w:val="00423D70"/>
    <w:rsid w:val="00423F84"/>
    <w:rsid w:val="00424B53"/>
    <w:rsid w:val="00425211"/>
    <w:rsid w:val="00425223"/>
    <w:rsid w:val="0042577E"/>
    <w:rsid w:val="00426473"/>
    <w:rsid w:val="0042693A"/>
    <w:rsid w:val="00426CB8"/>
    <w:rsid w:val="004275DF"/>
    <w:rsid w:val="00427D5E"/>
    <w:rsid w:val="00427DCE"/>
    <w:rsid w:val="00427F8B"/>
    <w:rsid w:val="004301E7"/>
    <w:rsid w:val="00431D71"/>
    <w:rsid w:val="00432589"/>
    <w:rsid w:val="00433CA9"/>
    <w:rsid w:val="00433D4C"/>
    <w:rsid w:val="00433E8E"/>
    <w:rsid w:val="00433FF3"/>
    <w:rsid w:val="0043521D"/>
    <w:rsid w:val="0043591F"/>
    <w:rsid w:val="00435A17"/>
    <w:rsid w:val="00436037"/>
    <w:rsid w:val="0043738C"/>
    <w:rsid w:val="004379BC"/>
    <w:rsid w:val="00437E23"/>
    <w:rsid w:val="00440180"/>
    <w:rsid w:val="0044091B"/>
    <w:rsid w:val="004409D9"/>
    <w:rsid w:val="00440FE3"/>
    <w:rsid w:val="0044177A"/>
    <w:rsid w:val="00441F91"/>
    <w:rsid w:val="00442024"/>
    <w:rsid w:val="004424A9"/>
    <w:rsid w:val="0044254C"/>
    <w:rsid w:val="00442C23"/>
    <w:rsid w:val="00443F6A"/>
    <w:rsid w:val="00444196"/>
    <w:rsid w:val="0044431D"/>
    <w:rsid w:val="00445665"/>
    <w:rsid w:val="004457EE"/>
    <w:rsid w:val="00445D73"/>
    <w:rsid w:val="00446D41"/>
    <w:rsid w:val="00447262"/>
    <w:rsid w:val="00450A17"/>
    <w:rsid w:val="00450EB5"/>
    <w:rsid w:val="00451040"/>
    <w:rsid w:val="00451941"/>
    <w:rsid w:val="004543EF"/>
    <w:rsid w:val="00454543"/>
    <w:rsid w:val="00454778"/>
    <w:rsid w:val="00454A3E"/>
    <w:rsid w:val="00454CCC"/>
    <w:rsid w:val="004563A1"/>
    <w:rsid w:val="00457AE9"/>
    <w:rsid w:val="00457DDE"/>
    <w:rsid w:val="00457F86"/>
    <w:rsid w:val="004601FD"/>
    <w:rsid w:val="00460355"/>
    <w:rsid w:val="00460974"/>
    <w:rsid w:val="0046128C"/>
    <w:rsid w:val="0046198C"/>
    <w:rsid w:val="00461AAA"/>
    <w:rsid w:val="00462659"/>
    <w:rsid w:val="00462D77"/>
    <w:rsid w:val="0046311F"/>
    <w:rsid w:val="004640E5"/>
    <w:rsid w:val="00464270"/>
    <w:rsid w:val="00464517"/>
    <w:rsid w:val="0046451A"/>
    <w:rsid w:val="00464646"/>
    <w:rsid w:val="00464852"/>
    <w:rsid w:val="0046516D"/>
    <w:rsid w:val="004653B3"/>
    <w:rsid w:val="00465D26"/>
    <w:rsid w:val="004660F0"/>
    <w:rsid w:val="00466321"/>
    <w:rsid w:val="0046688F"/>
    <w:rsid w:val="00467009"/>
    <w:rsid w:val="004672AF"/>
    <w:rsid w:val="00467436"/>
    <w:rsid w:val="0047083F"/>
    <w:rsid w:val="00470CE1"/>
    <w:rsid w:val="004717C7"/>
    <w:rsid w:val="00472721"/>
    <w:rsid w:val="004727B0"/>
    <w:rsid w:val="0047323A"/>
    <w:rsid w:val="004732B9"/>
    <w:rsid w:val="00473FFE"/>
    <w:rsid w:val="0047541C"/>
    <w:rsid w:val="00475811"/>
    <w:rsid w:val="00476382"/>
    <w:rsid w:val="00476FDE"/>
    <w:rsid w:val="00480247"/>
    <w:rsid w:val="00480260"/>
    <w:rsid w:val="0048081D"/>
    <w:rsid w:val="00480D3C"/>
    <w:rsid w:val="00480D9E"/>
    <w:rsid w:val="0048117E"/>
    <w:rsid w:val="00482803"/>
    <w:rsid w:val="00483E8F"/>
    <w:rsid w:val="004844F8"/>
    <w:rsid w:val="004849C0"/>
    <w:rsid w:val="00485025"/>
    <w:rsid w:val="004855F6"/>
    <w:rsid w:val="004857EB"/>
    <w:rsid w:val="0048580C"/>
    <w:rsid w:val="00485AAD"/>
    <w:rsid w:val="00486461"/>
    <w:rsid w:val="0048672C"/>
    <w:rsid w:val="00486F0C"/>
    <w:rsid w:val="004904D5"/>
    <w:rsid w:val="0049050B"/>
    <w:rsid w:val="00490681"/>
    <w:rsid w:val="00490EEA"/>
    <w:rsid w:val="0049273F"/>
    <w:rsid w:val="00493BA8"/>
    <w:rsid w:val="00494611"/>
    <w:rsid w:val="00494670"/>
    <w:rsid w:val="00494F8C"/>
    <w:rsid w:val="00495E68"/>
    <w:rsid w:val="00495FDD"/>
    <w:rsid w:val="00496318"/>
    <w:rsid w:val="00496B9D"/>
    <w:rsid w:val="00497379"/>
    <w:rsid w:val="004973BE"/>
    <w:rsid w:val="00497599"/>
    <w:rsid w:val="00497B49"/>
    <w:rsid w:val="00497B50"/>
    <w:rsid w:val="00497D03"/>
    <w:rsid w:val="004A07AB"/>
    <w:rsid w:val="004A0EB4"/>
    <w:rsid w:val="004A1322"/>
    <w:rsid w:val="004A2F5A"/>
    <w:rsid w:val="004A3277"/>
    <w:rsid w:val="004A3823"/>
    <w:rsid w:val="004A3A43"/>
    <w:rsid w:val="004A3A56"/>
    <w:rsid w:val="004A3E2A"/>
    <w:rsid w:val="004A5704"/>
    <w:rsid w:val="004A59BB"/>
    <w:rsid w:val="004A66BC"/>
    <w:rsid w:val="004A6BB8"/>
    <w:rsid w:val="004A6E2B"/>
    <w:rsid w:val="004B0149"/>
    <w:rsid w:val="004B0448"/>
    <w:rsid w:val="004B0556"/>
    <w:rsid w:val="004B092C"/>
    <w:rsid w:val="004B0D43"/>
    <w:rsid w:val="004B0DAA"/>
    <w:rsid w:val="004B1AC4"/>
    <w:rsid w:val="004B1CEF"/>
    <w:rsid w:val="004B214E"/>
    <w:rsid w:val="004B2CB1"/>
    <w:rsid w:val="004B32F8"/>
    <w:rsid w:val="004B3762"/>
    <w:rsid w:val="004B43A3"/>
    <w:rsid w:val="004B4C49"/>
    <w:rsid w:val="004B527E"/>
    <w:rsid w:val="004B58A5"/>
    <w:rsid w:val="004B5AE5"/>
    <w:rsid w:val="004B63D9"/>
    <w:rsid w:val="004B6740"/>
    <w:rsid w:val="004B6A7B"/>
    <w:rsid w:val="004B6AE3"/>
    <w:rsid w:val="004B6D53"/>
    <w:rsid w:val="004B72BD"/>
    <w:rsid w:val="004B7D6A"/>
    <w:rsid w:val="004C017E"/>
    <w:rsid w:val="004C02E3"/>
    <w:rsid w:val="004C0447"/>
    <w:rsid w:val="004C0882"/>
    <w:rsid w:val="004C0BF7"/>
    <w:rsid w:val="004C0DD0"/>
    <w:rsid w:val="004C1F95"/>
    <w:rsid w:val="004C21CA"/>
    <w:rsid w:val="004C2EA3"/>
    <w:rsid w:val="004C3441"/>
    <w:rsid w:val="004C393F"/>
    <w:rsid w:val="004C3E26"/>
    <w:rsid w:val="004C4336"/>
    <w:rsid w:val="004C4662"/>
    <w:rsid w:val="004C49FC"/>
    <w:rsid w:val="004C55BE"/>
    <w:rsid w:val="004C57B4"/>
    <w:rsid w:val="004C5A19"/>
    <w:rsid w:val="004C5C57"/>
    <w:rsid w:val="004C5C8C"/>
    <w:rsid w:val="004C603B"/>
    <w:rsid w:val="004C6063"/>
    <w:rsid w:val="004C6D9C"/>
    <w:rsid w:val="004C77A6"/>
    <w:rsid w:val="004C77EB"/>
    <w:rsid w:val="004C78F3"/>
    <w:rsid w:val="004C7A1C"/>
    <w:rsid w:val="004D050A"/>
    <w:rsid w:val="004D180F"/>
    <w:rsid w:val="004D1CE5"/>
    <w:rsid w:val="004D2DE5"/>
    <w:rsid w:val="004D338E"/>
    <w:rsid w:val="004D39D7"/>
    <w:rsid w:val="004D3C55"/>
    <w:rsid w:val="004D475D"/>
    <w:rsid w:val="004D52E6"/>
    <w:rsid w:val="004D5373"/>
    <w:rsid w:val="004D5521"/>
    <w:rsid w:val="004D58F5"/>
    <w:rsid w:val="004D5DC7"/>
    <w:rsid w:val="004D5FEA"/>
    <w:rsid w:val="004D69C3"/>
    <w:rsid w:val="004D6F44"/>
    <w:rsid w:val="004D77E9"/>
    <w:rsid w:val="004D7EAB"/>
    <w:rsid w:val="004E01D6"/>
    <w:rsid w:val="004E058B"/>
    <w:rsid w:val="004E08A6"/>
    <w:rsid w:val="004E0997"/>
    <w:rsid w:val="004E0BAE"/>
    <w:rsid w:val="004E0C94"/>
    <w:rsid w:val="004E0EA7"/>
    <w:rsid w:val="004E11CB"/>
    <w:rsid w:val="004E2E88"/>
    <w:rsid w:val="004E33B0"/>
    <w:rsid w:val="004E35D7"/>
    <w:rsid w:val="004E3676"/>
    <w:rsid w:val="004E3BFD"/>
    <w:rsid w:val="004E3EA4"/>
    <w:rsid w:val="004E3FDE"/>
    <w:rsid w:val="004E4C58"/>
    <w:rsid w:val="004E53D9"/>
    <w:rsid w:val="004E5B30"/>
    <w:rsid w:val="004E5CB4"/>
    <w:rsid w:val="004E627C"/>
    <w:rsid w:val="004E6588"/>
    <w:rsid w:val="004E6FC9"/>
    <w:rsid w:val="004F0779"/>
    <w:rsid w:val="004F08C9"/>
    <w:rsid w:val="004F0CEF"/>
    <w:rsid w:val="004F101A"/>
    <w:rsid w:val="004F1230"/>
    <w:rsid w:val="004F173F"/>
    <w:rsid w:val="004F177C"/>
    <w:rsid w:val="004F2DCE"/>
    <w:rsid w:val="004F2F80"/>
    <w:rsid w:val="004F3026"/>
    <w:rsid w:val="004F3D36"/>
    <w:rsid w:val="004F3ED3"/>
    <w:rsid w:val="004F4681"/>
    <w:rsid w:val="004F47E9"/>
    <w:rsid w:val="004F4B69"/>
    <w:rsid w:val="004F4BFB"/>
    <w:rsid w:val="004F5377"/>
    <w:rsid w:val="004F542F"/>
    <w:rsid w:val="004F5723"/>
    <w:rsid w:val="004F5FCB"/>
    <w:rsid w:val="004F6E35"/>
    <w:rsid w:val="004F79C5"/>
    <w:rsid w:val="004F7F80"/>
    <w:rsid w:val="00500156"/>
    <w:rsid w:val="00500A93"/>
    <w:rsid w:val="00500FDC"/>
    <w:rsid w:val="00501B40"/>
    <w:rsid w:val="00501DF5"/>
    <w:rsid w:val="00501F36"/>
    <w:rsid w:val="00502093"/>
    <w:rsid w:val="0050251F"/>
    <w:rsid w:val="00502B42"/>
    <w:rsid w:val="00503589"/>
    <w:rsid w:val="005039CB"/>
    <w:rsid w:val="00503BFD"/>
    <w:rsid w:val="00504317"/>
    <w:rsid w:val="005044DD"/>
    <w:rsid w:val="00504D4D"/>
    <w:rsid w:val="0050504D"/>
    <w:rsid w:val="0050558F"/>
    <w:rsid w:val="005056A8"/>
    <w:rsid w:val="005057E0"/>
    <w:rsid w:val="00505850"/>
    <w:rsid w:val="00506286"/>
    <w:rsid w:val="00506A1B"/>
    <w:rsid w:val="00506AFB"/>
    <w:rsid w:val="00506D6C"/>
    <w:rsid w:val="005071AB"/>
    <w:rsid w:val="00510813"/>
    <w:rsid w:val="00511C12"/>
    <w:rsid w:val="00511DE0"/>
    <w:rsid w:val="00511EB1"/>
    <w:rsid w:val="005123B4"/>
    <w:rsid w:val="00514049"/>
    <w:rsid w:val="005143EB"/>
    <w:rsid w:val="00515A36"/>
    <w:rsid w:val="00515F30"/>
    <w:rsid w:val="00516BFC"/>
    <w:rsid w:val="00516C2F"/>
    <w:rsid w:val="00516E88"/>
    <w:rsid w:val="005176E6"/>
    <w:rsid w:val="00517F02"/>
    <w:rsid w:val="005212F0"/>
    <w:rsid w:val="00521E0C"/>
    <w:rsid w:val="00522639"/>
    <w:rsid w:val="00524337"/>
    <w:rsid w:val="00524547"/>
    <w:rsid w:val="00524578"/>
    <w:rsid w:val="005258A2"/>
    <w:rsid w:val="00525BDE"/>
    <w:rsid w:val="00525E42"/>
    <w:rsid w:val="00525E7E"/>
    <w:rsid w:val="00526028"/>
    <w:rsid w:val="00526742"/>
    <w:rsid w:val="00526A24"/>
    <w:rsid w:val="00527914"/>
    <w:rsid w:val="00527A3D"/>
    <w:rsid w:val="00530F7C"/>
    <w:rsid w:val="005319F7"/>
    <w:rsid w:val="00531A32"/>
    <w:rsid w:val="00532717"/>
    <w:rsid w:val="005331F3"/>
    <w:rsid w:val="00533333"/>
    <w:rsid w:val="005338E0"/>
    <w:rsid w:val="0053441D"/>
    <w:rsid w:val="00534567"/>
    <w:rsid w:val="00534B91"/>
    <w:rsid w:val="00534F43"/>
    <w:rsid w:val="0053546E"/>
    <w:rsid w:val="00535A84"/>
    <w:rsid w:val="00535BAA"/>
    <w:rsid w:val="00535D44"/>
    <w:rsid w:val="0053616F"/>
    <w:rsid w:val="00536889"/>
    <w:rsid w:val="00536A34"/>
    <w:rsid w:val="00537034"/>
    <w:rsid w:val="0053792F"/>
    <w:rsid w:val="005404AE"/>
    <w:rsid w:val="0054064F"/>
    <w:rsid w:val="0054082A"/>
    <w:rsid w:val="00541200"/>
    <w:rsid w:val="00541529"/>
    <w:rsid w:val="00541A8E"/>
    <w:rsid w:val="0054211B"/>
    <w:rsid w:val="0054256B"/>
    <w:rsid w:val="00542716"/>
    <w:rsid w:val="00542823"/>
    <w:rsid w:val="00542D36"/>
    <w:rsid w:val="00542E07"/>
    <w:rsid w:val="0054311D"/>
    <w:rsid w:val="0054330C"/>
    <w:rsid w:val="00543783"/>
    <w:rsid w:val="005439C3"/>
    <w:rsid w:val="00543B8E"/>
    <w:rsid w:val="0054437D"/>
    <w:rsid w:val="005448AC"/>
    <w:rsid w:val="00544B0D"/>
    <w:rsid w:val="00545210"/>
    <w:rsid w:val="00545738"/>
    <w:rsid w:val="005468CC"/>
    <w:rsid w:val="00546FBA"/>
    <w:rsid w:val="00547ECE"/>
    <w:rsid w:val="00550632"/>
    <w:rsid w:val="00550BA1"/>
    <w:rsid w:val="00550C8F"/>
    <w:rsid w:val="00551267"/>
    <w:rsid w:val="00551556"/>
    <w:rsid w:val="00552500"/>
    <w:rsid w:val="00553D7E"/>
    <w:rsid w:val="00553EF3"/>
    <w:rsid w:val="00554A7B"/>
    <w:rsid w:val="005550A7"/>
    <w:rsid w:val="0055572C"/>
    <w:rsid w:val="00555992"/>
    <w:rsid w:val="00555ADF"/>
    <w:rsid w:val="00555CFE"/>
    <w:rsid w:val="0055631C"/>
    <w:rsid w:val="00557EB8"/>
    <w:rsid w:val="00557ECD"/>
    <w:rsid w:val="00560442"/>
    <w:rsid w:val="0056064F"/>
    <w:rsid w:val="005619F7"/>
    <w:rsid w:val="00561B5A"/>
    <w:rsid w:val="00561B84"/>
    <w:rsid w:val="00562476"/>
    <w:rsid w:val="00562885"/>
    <w:rsid w:val="005630D9"/>
    <w:rsid w:val="005633A8"/>
    <w:rsid w:val="00563C18"/>
    <w:rsid w:val="00563F15"/>
    <w:rsid w:val="005646E3"/>
    <w:rsid w:val="00564B1F"/>
    <w:rsid w:val="00564FFC"/>
    <w:rsid w:val="005650C1"/>
    <w:rsid w:val="00565142"/>
    <w:rsid w:val="00567274"/>
    <w:rsid w:val="0056742E"/>
    <w:rsid w:val="005707E8"/>
    <w:rsid w:val="005711DD"/>
    <w:rsid w:val="00571891"/>
    <w:rsid w:val="00571D98"/>
    <w:rsid w:val="005720AE"/>
    <w:rsid w:val="0057233D"/>
    <w:rsid w:val="005731E1"/>
    <w:rsid w:val="00573AC5"/>
    <w:rsid w:val="0057409D"/>
    <w:rsid w:val="00576557"/>
    <w:rsid w:val="00576EEC"/>
    <w:rsid w:val="00577141"/>
    <w:rsid w:val="00577417"/>
    <w:rsid w:val="00577A8C"/>
    <w:rsid w:val="0058030D"/>
    <w:rsid w:val="005805A9"/>
    <w:rsid w:val="005807C1"/>
    <w:rsid w:val="00580AD7"/>
    <w:rsid w:val="00580E14"/>
    <w:rsid w:val="00580F68"/>
    <w:rsid w:val="005814D4"/>
    <w:rsid w:val="0058184A"/>
    <w:rsid w:val="00581C1F"/>
    <w:rsid w:val="00582045"/>
    <w:rsid w:val="00583D67"/>
    <w:rsid w:val="00583F89"/>
    <w:rsid w:val="005848C8"/>
    <w:rsid w:val="00586802"/>
    <w:rsid w:val="005868C8"/>
    <w:rsid w:val="005869F7"/>
    <w:rsid w:val="00590102"/>
    <w:rsid w:val="00590AE3"/>
    <w:rsid w:val="0059155F"/>
    <w:rsid w:val="005918F1"/>
    <w:rsid w:val="00591C69"/>
    <w:rsid w:val="00591D10"/>
    <w:rsid w:val="00591DF8"/>
    <w:rsid w:val="00593148"/>
    <w:rsid w:val="005931F2"/>
    <w:rsid w:val="00595A51"/>
    <w:rsid w:val="00595B2F"/>
    <w:rsid w:val="00595E07"/>
    <w:rsid w:val="005960AD"/>
    <w:rsid w:val="00596988"/>
    <w:rsid w:val="005979AE"/>
    <w:rsid w:val="00597C01"/>
    <w:rsid w:val="005A05FF"/>
    <w:rsid w:val="005A06B7"/>
    <w:rsid w:val="005A0DA0"/>
    <w:rsid w:val="005A0DAB"/>
    <w:rsid w:val="005A13BF"/>
    <w:rsid w:val="005A1434"/>
    <w:rsid w:val="005A1759"/>
    <w:rsid w:val="005A241D"/>
    <w:rsid w:val="005A2472"/>
    <w:rsid w:val="005A2A86"/>
    <w:rsid w:val="005A2AEA"/>
    <w:rsid w:val="005A32E8"/>
    <w:rsid w:val="005A4096"/>
    <w:rsid w:val="005A4293"/>
    <w:rsid w:val="005A43A3"/>
    <w:rsid w:val="005A658D"/>
    <w:rsid w:val="005A6649"/>
    <w:rsid w:val="005B0695"/>
    <w:rsid w:val="005B1202"/>
    <w:rsid w:val="005B204D"/>
    <w:rsid w:val="005B2449"/>
    <w:rsid w:val="005B2E95"/>
    <w:rsid w:val="005B3379"/>
    <w:rsid w:val="005B3795"/>
    <w:rsid w:val="005B3D9D"/>
    <w:rsid w:val="005B4238"/>
    <w:rsid w:val="005B431B"/>
    <w:rsid w:val="005B52BD"/>
    <w:rsid w:val="005B59DC"/>
    <w:rsid w:val="005B68DB"/>
    <w:rsid w:val="005B6FC7"/>
    <w:rsid w:val="005B718C"/>
    <w:rsid w:val="005C013C"/>
    <w:rsid w:val="005C0854"/>
    <w:rsid w:val="005C138D"/>
    <w:rsid w:val="005C1AC6"/>
    <w:rsid w:val="005C1EDC"/>
    <w:rsid w:val="005C2047"/>
    <w:rsid w:val="005C2B3C"/>
    <w:rsid w:val="005C2B91"/>
    <w:rsid w:val="005C2EBA"/>
    <w:rsid w:val="005C42BE"/>
    <w:rsid w:val="005C4748"/>
    <w:rsid w:val="005C48D1"/>
    <w:rsid w:val="005C4A16"/>
    <w:rsid w:val="005C4AF5"/>
    <w:rsid w:val="005C4B31"/>
    <w:rsid w:val="005C5312"/>
    <w:rsid w:val="005C5411"/>
    <w:rsid w:val="005C55D1"/>
    <w:rsid w:val="005C5888"/>
    <w:rsid w:val="005C5918"/>
    <w:rsid w:val="005C7C7F"/>
    <w:rsid w:val="005D0369"/>
    <w:rsid w:val="005D0B58"/>
    <w:rsid w:val="005D0BAD"/>
    <w:rsid w:val="005D0DFD"/>
    <w:rsid w:val="005D26F2"/>
    <w:rsid w:val="005D270D"/>
    <w:rsid w:val="005D2D83"/>
    <w:rsid w:val="005D3656"/>
    <w:rsid w:val="005D3709"/>
    <w:rsid w:val="005D3C13"/>
    <w:rsid w:val="005D4953"/>
    <w:rsid w:val="005D53FE"/>
    <w:rsid w:val="005D5675"/>
    <w:rsid w:val="005D6035"/>
    <w:rsid w:val="005D6375"/>
    <w:rsid w:val="005D7661"/>
    <w:rsid w:val="005D76D4"/>
    <w:rsid w:val="005D7A0F"/>
    <w:rsid w:val="005D7A54"/>
    <w:rsid w:val="005D7E6B"/>
    <w:rsid w:val="005E000A"/>
    <w:rsid w:val="005E0438"/>
    <w:rsid w:val="005E0498"/>
    <w:rsid w:val="005E05B2"/>
    <w:rsid w:val="005E1791"/>
    <w:rsid w:val="005E28A2"/>
    <w:rsid w:val="005E2CE6"/>
    <w:rsid w:val="005E36A1"/>
    <w:rsid w:val="005E3CF7"/>
    <w:rsid w:val="005E4210"/>
    <w:rsid w:val="005E437A"/>
    <w:rsid w:val="005E46B8"/>
    <w:rsid w:val="005E4B17"/>
    <w:rsid w:val="005E56F3"/>
    <w:rsid w:val="005E6324"/>
    <w:rsid w:val="005E65C2"/>
    <w:rsid w:val="005E7153"/>
    <w:rsid w:val="005E72DF"/>
    <w:rsid w:val="005E79B3"/>
    <w:rsid w:val="005E7C1F"/>
    <w:rsid w:val="005E7D2F"/>
    <w:rsid w:val="005E7E45"/>
    <w:rsid w:val="005F1E78"/>
    <w:rsid w:val="005F228B"/>
    <w:rsid w:val="005F2686"/>
    <w:rsid w:val="005F29CD"/>
    <w:rsid w:val="005F31E7"/>
    <w:rsid w:val="005F38E8"/>
    <w:rsid w:val="005F42A1"/>
    <w:rsid w:val="005F4DFB"/>
    <w:rsid w:val="005F50BF"/>
    <w:rsid w:val="005F51D2"/>
    <w:rsid w:val="005F5AFF"/>
    <w:rsid w:val="005F6AD9"/>
    <w:rsid w:val="005F6CC0"/>
    <w:rsid w:val="005F7072"/>
    <w:rsid w:val="00600891"/>
    <w:rsid w:val="0060099F"/>
    <w:rsid w:val="00601678"/>
    <w:rsid w:val="00601BAB"/>
    <w:rsid w:val="006021FD"/>
    <w:rsid w:val="00603482"/>
    <w:rsid w:val="00603994"/>
    <w:rsid w:val="00603B1F"/>
    <w:rsid w:val="00603E5B"/>
    <w:rsid w:val="00604375"/>
    <w:rsid w:val="006047A5"/>
    <w:rsid w:val="006049B1"/>
    <w:rsid w:val="00604BC8"/>
    <w:rsid w:val="00605906"/>
    <w:rsid w:val="006059E2"/>
    <w:rsid w:val="00605F95"/>
    <w:rsid w:val="0060632C"/>
    <w:rsid w:val="006067F9"/>
    <w:rsid w:val="00607030"/>
    <w:rsid w:val="0060788E"/>
    <w:rsid w:val="00607D3B"/>
    <w:rsid w:val="0061009A"/>
    <w:rsid w:val="00610C7E"/>
    <w:rsid w:val="0061199D"/>
    <w:rsid w:val="00611B0D"/>
    <w:rsid w:val="0061256B"/>
    <w:rsid w:val="006125E3"/>
    <w:rsid w:val="00612650"/>
    <w:rsid w:val="00612F0E"/>
    <w:rsid w:val="00613918"/>
    <w:rsid w:val="00613F9D"/>
    <w:rsid w:val="0061413E"/>
    <w:rsid w:val="006152A5"/>
    <w:rsid w:val="006155BB"/>
    <w:rsid w:val="00615B4C"/>
    <w:rsid w:val="00615B5D"/>
    <w:rsid w:val="00616268"/>
    <w:rsid w:val="0061627D"/>
    <w:rsid w:val="00617399"/>
    <w:rsid w:val="00620AFE"/>
    <w:rsid w:val="00620EFE"/>
    <w:rsid w:val="00620F7E"/>
    <w:rsid w:val="0062146F"/>
    <w:rsid w:val="00621D9B"/>
    <w:rsid w:val="00621E9A"/>
    <w:rsid w:val="006223D0"/>
    <w:rsid w:val="006228A1"/>
    <w:rsid w:val="00622A04"/>
    <w:rsid w:val="00624282"/>
    <w:rsid w:val="00625740"/>
    <w:rsid w:val="0062721C"/>
    <w:rsid w:val="00627765"/>
    <w:rsid w:val="00627F5C"/>
    <w:rsid w:val="00630741"/>
    <w:rsid w:val="00632183"/>
    <w:rsid w:val="00633EE5"/>
    <w:rsid w:val="0063425F"/>
    <w:rsid w:val="006343AF"/>
    <w:rsid w:val="00634B9D"/>
    <w:rsid w:val="00634CBE"/>
    <w:rsid w:val="00634E84"/>
    <w:rsid w:val="006357C1"/>
    <w:rsid w:val="0063634A"/>
    <w:rsid w:val="00637152"/>
    <w:rsid w:val="006374E0"/>
    <w:rsid w:val="00637630"/>
    <w:rsid w:val="00640B33"/>
    <w:rsid w:val="00640E0F"/>
    <w:rsid w:val="00640E8B"/>
    <w:rsid w:val="006411AD"/>
    <w:rsid w:val="00641660"/>
    <w:rsid w:val="00641965"/>
    <w:rsid w:val="00641DC6"/>
    <w:rsid w:val="0064250D"/>
    <w:rsid w:val="006432C8"/>
    <w:rsid w:val="00643CEE"/>
    <w:rsid w:val="00644B65"/>
    <w:rsid w:val="00644E27"/>
    <w:rsid w:val="00647ABD"/>
    <w:rsid w:val="006507E2"/>
    <w:rsid w:val="0065139C"/>
    <w:rsid w:val="0065222F"/>
    <w:rsid w:val="00652539"/>
    <w:rsid w:val="00652BA1"/>
    <w:rsid w:val="006535EB"/>
    <w:rsid w:val="00653B3F"/>
    <w:rsid w:val="00654289"/>
    <w:rsid w:val="0065516D"/>
    <w:rsid w:val="00655EF1"/>
    <w:rsid w:val="006575BA"/>
    <w:rsid w:val="0065778C"/>
    <w:rsid w:val="006579E3"/>
    <w:rsid w:val="00657B7D"/>
    <w:rsid w:val="00657DE4"/>
    <w:rsid w:val="00657F7F"/>
    <w:rsid w:val="00660019"/>
    <w:rsid w:val="006601E3"/>
    <w:rsid w:val="006604F3"/>
    <w:rsid w:val="006606BC"/>
    <w:rsid w:val="00660C90"/>
    <w:rsid w:val="00661C78"/>
    <w:rsid w:val="0066203F"/>
    <w:rsid w:val="00662579"/>
    <w:rsid w:val="00663016"/>
    <w:rsid w:val="0066327E"/>
    <w:rsid w:val="006640AD"/>
    <w:rsid w:val="0066468C"/>
    <w:rsid w:val="00664E46"/>
    <w:rsid w:val="00664E73"/>
    <w:rsid w:val="00665251"/>
    <w:rsid w:val="00665C47"/>
    <w:rsid w:val="00666229"/>
    <w:rsid w:val="00666484"/>
    <w:rsid w:val="00666AED"/>
    <w:rsid w:val="006670FB"/>
    <w:rsid w:val="00667BC3"/>
    <w:rsid w:val="00670BB5"/>
    <w:rsid w:val="006712D4"/>
    <w:rsid w:val="006714A0"/>
    <w:rsid w:val="006733DD"/>
    <w:rsid w:val="00673ACE"/>
    <w:rsid w:val="0067451F"/>
    <w:rsid w:val="00674605"/>
    <w:rsid w:val="006748B8"/>
    <w:rsid w:val="00674A84"/>
    <w:rsid w:val="00674B43"/>
    <w:rsid w:val="00675363"/>
    <w:rsid w:val="006755EB"/>
    <w:rsid w:val="00675B60"/>
    <w:rsid w:val="0067648C"/>
    <w:rsid w:val="00676A13"/>
    <w:rsid w:val="00676C80"/>
    <w:rsid w:val="00677348"/>
    <w:rsid w:val="00677F70"/>
    <w:rsid w:val="00680AA4"/>
    <w:rsid w:val="00680FD6"/>
    <w:rsid w:val="00681914"/>
    <w:rsid w:val="0068205E"/>
    <w:rsid w:val="0068332B"/>
    <w:rsid w:val="006833AF"/>
    <w:rsid w:val="00684D81"/>
    <w:rsid w:val="00685062"/>
    <w:rsid w:val="0068535B"/>
    <w:rsid w:val="0068579D"/>
    <w:rsid w:val="006858C2"/>
    <w:rsid w:val="00686BBC"/>
    <w:rsid w:val="0068736E"/>
    <w:rsid w:val="00687375"/>
    <w:rsid w:val="00687629"/>
    <w:rsid w:val="00690D37"/>
    <w:rsid w:val="00690F8E"/>
    <w:rsid w:val="00691D1B"/>
    <w:rsid w:val="00691F44"/>
    <w:rsid w:val="0069279D"/>
    <w:rsid w:val="0069290A"/>
    <w:rsid w:val="00693A81"/>
    <w:rsid w:val="006940CA"/>
    <w:rsid w:val="0069438F"/>
    <w:rsid w:val="00694F98"/>
    <w:rsid w:val="006952DC"/>
    <w:rsid w:val="006956DD"/>
    <w:rsid w:val="00695DEA"/>
    <w:rsid w:val="00696943"/>
    <w:rsid w:val="00696DB4"/>
    <w:rsid w:val="00697032"/>
    <w:rsid w:val="006970B0"/>
    <w:rsid w:val="006975AC"/>
    <w:rsid w:val="00697CCD"/>
    <w:rsid w:val="006A15FB"/>
    <w:rsid w:val="006A2BEA"/>
    <w:rsid w:val="006A33D1"/>
    <w:rsid w:val="006A34C2"/>
    <w:rsid w:val="006A3CC1"/>
    <w:rsid w:val="006A3E3C"/>
    <w:rsid w:val="006A403F"/>
    <w:rsid w:val="006A466F"/>
    <w:rsid w:val="006A48FB"/>
    <w:rsid w:val="006A49FF"/>
    <w:rsid w:val="006A50F0"/>
    <w:rsid w:val="006A5496"/>
    <w:rsid w:val="006A5858"/>
    <w:rsid w:val="006A72BF"/>
    <w:rsid w:val="006A74CB"/>
    <w:rsid w:val="006A7503"/>
    <w:rsid w:val="006B00FC"/>
    <w:rsid w:val="006B0890"/>
    <w:rsid w:val="006B0B03"/>
    <w:rsid w:val="006B0CEF"/>
    <w:rsid w:val="006B1618"/>
    <w:rsid w:val="006B1CF3"/>
    <w:rsid w:val="006B2BF5"/>
    <w:rsid w:val="006B332A"/>
    <w:rsid w:val="006B33BD"/>
    <w:rsid w:val="006B3AB7"/>
    <w:rsid w:val="006B45C8"/>
    <w:rsid w:val="006B46F8"/>
    <w:rsid w:val="006B49BF"/>
    <w:rsid w:val="006B5AF4"/>
    <w:rsid w:val="006B5BFA"/>
    <w:rsid w:val="006B5DCD"/>
    <w:rsid w:val="006B61B0"/>
    <w:rsid w:val="006B662D"/>
    <w:rsid w:val="006B67AB"/>
    <w:rsid w:val="006B69A9"/>
    <w:rsid w:val="006B6FE0"/>
    <w:rsid w:val="006B79EC"/>
    <w:rsid w:val="006B7E52"/>
    <w:rsid w:val="006B7F53"/>
    <w:rsid w:val="006C0EDA"/>
    <w:rsid w:val="006C14D4"/>
    <w:rsid w:val="006C1744"/>
    <w:rsid w:val="006C1AD3"/>
    <w:rsid w:val="006C21C4"/>
    <w:rsid w:val="006C2A23"/>
    <w:rsid w:val="006C3759"/>
    <w:rsid w:val="006C3B02"/>
    <w:rsid w:val="006C3F75"/>
    <w:rsid w:val="006C45D3"/>
    <w:rsid w:val="006C46C3"/>
    <w:rsid w:val="006C4981"/>
    <w:rsid w:val="006C4AF0"/>
    <w:rsid w:val="006C4DF2"/>
    <w:rsid w:val="006C657E"/>
    <w:rsid w:val="006C66B6"/>
    <w:rsid w:val="006C6BE1"/>
    <w:rsid w:val="006D09DF"/>
    <w:rsid w:val="006D136F"/>
    <w:rsid w:val="006D170E"/>
    <w:rsid w:val="006D1C6F"/>
    <w:rsid w:val="006D1F1F"/>
    <w:rsid w:val="006D2926"/>
    <w:rsid w:val="006D2CA5"/>
    <w:rsid w:val="006D2D3F"/>
    <w:rsid w:val="006D3729"/>
    <w:rsid w:val="006D3A07"/>
    <w:rsid w:val="006D436A"/>
    <w:rsid w:val="006D4870"/>
    <w:rsid w:val="006D489F"/>
    <w:rsid w:val="006D4D00"/>
    <w:rsid w:val="006D54DB"/>
    <w:rsid w:val="006D5F7F"/>
    <w:rsid w:val="006D6308"/>
    <w:rsid w:val="006D669C"/>
    <w:rsid w:val="006D6C9A"/>
    <w:rsid w:val="006D7529"/>
    <w:rsid w:val="006D7843"/>
    <w:rsid w:val="006E048E"/>
    <w:rsid w:val="006E06AF"/>
    <w:rsid w:val="006E0A02"/>
    <w:rsid w:val="006E1174"/>
    <w:rsid w:val="006E1D81"/>
    <w:rsid w:val="006E2129"/>
    <w:rsid w:val="006E38FF"/>
    <w:rsid w:val="006E3C39"/>
    <w:rsid w:val="006E4EF6"/>
    <w:rsid w:val="006E51D9"/>
    <w:rsid w:val="006E64F2"/>
    <w:rsid w:val="006E65AC"/>
    <w:rsid w:val="006E6C2C"/>
    <w:rsid w:val="006E6FF8"/>
    <w:rsid w:val="006E7837"/>
    <w:rsid w:val="006F008D"/>
    <w:rsid w:val="006F0183"/>
    <w:rsid w:val="006F03E6"/>
    <w:rsid w:val="006F0DA6"/>
    <w:rsid w:val="006F108C"/>
    <w:rsid w:val="006F11C8"/>
    <w:rsid w:val="006F1789"/>
    <w:rsid w:val="006F2D69"/>
    <w:rsid w:val="006F2D82"/>
    <w:rsid w:val="006F3877"/>
    <w:rsid w:val="006F398D"/>
    <w:rsid w:val="006F4068"/>
    <w:rsid w:val="006F4F48"/>
    <w:rsid w:val="006F519C"/>
    <w:rsid w:val="006F5A63"/>
    <w:rsid w:val="006F772C"/>
    <w:rsid w:val="00700445"/>
    <w:rsid w:val="0070101F"/>
    <w:rsid w:val="007012E3"/>
    <w:rsid w:val="007012FA"/>
    <w:rsid w:val="00701C0D"/>
    <w:rsid w:val="00704241"/>
    <w:rsid w:val="00704976"/>
    <w:rsid w:val="007050DC"/>
    <w:rsid w:val="007066B5"/>
    <w:rsid w:val="00706C5D"/>
    <w:rsid w:val="00706FBE"/>
    <w:rsid w:val="00707431"/>
    <w:rsid w:val="007075D3"/>
    <w:rsid w:val="00707ACE"/>
    <w:rsid w:val="007108AE"/>
    <w:rsid w:val="00710920"/>
    <w:rsid w:val="007109D6"/>
    <w:rsid w:val="00710B68"/>
    <w:rsid w:val="00710F06"/>
    <w:rsid w:val="00710FC7"/>
    <w:rsid w:val="007116C3"/>
    <w:rsid w:val="007118E6"/>
    <w:rsid w:val="00712169"/>
    <w:rsid w:val="00712372"/>
    <w:rsid w:val="00712C8C"/>
    <w:rsid w:val="00713752"/>
    <w:rsid w:val="00714404"/>
    <w:rsid w:val="0071491B"/>
    <w:rsid w:val="007149E1"/>
    <w:rsid w:val="00714A22"/>
    <w:rsid w:val="00714C52"/>
    <w:rsid w:val="007151C4"/>
    <w:rsid w:val="007160A8"/>
    <w:rsid w:val="00716599"/>
    <w:rsid w:val="007175A2"/>
    <w:rsid w:val="00717C95"/>
    <w:rsid w:val="00717DDF"/>
    <w:rsid w:val="00720314"/>
    <w:rsid w:val="00721025"/>
    <w:rsid w:val="0072160A"/>
    <w:rsid w:val="0072167B"/>
    <w:rsid w:val="00721765"/>
    <w:rsid w:val="007225C9"/>
    <w:rsid w:val="00722762"/>
    <w:rsid w:val="007247F7"/>
    <w:rsid w:val="00725714"/>
    <w:rsid w:val="007259B3"/>
    <w:rsid w:val="00726121"/>
    <w:rsid w:val="0072666D"/>
    <w:rsid w:val="00727715"/>
    <w:rsid w:val="007304A0"/>
    <w:rsid w:val="00730A53"/>
    <w:rsid w:val="00731C9E"/>
    <w:rsid w:val="00731E8F"/>
    <w:rsid w:val="00732396"/>
    <w:rsid w:val="00732AB5"/>
    <w:rsid w:val="00732ACE"/>
    <w:rsid w:val="0073325D"/>
    <w:rsid w:val="00733445"/>
    <w:rsid w:val="0073350E"/>
    <w:rsid w:val="00734B35"/>
    <w:rsid w:val="00734C4C"/>
    <w:rsid w:val="0073546E"/>
    <w:rsid w:val="00735546"/>
    <w:rsid w:val="00735CD7"/>
    <w:rsid w:val="00735EF6"/>
    <w:rsid w:val="00736E09"/>
    <w:rsid w:val="007370C7"/>
    <w:rsid w:val="0073755F"/>
    <w:rsid w:val="00740142"/>
    <w:rsid w:val="00740C2A"/>
    <w:rsid w:val="00740EEF"/>
    <w:rsid w:val="0074112A"/>
    <w:rsid w:val="00741A2E"/>
    <w:rsid w:val="0074454F"/>
    <w:rsid w:val="007450E3"/>
    <w:rsid w:val="007454B2"/>
    <w:rsid w:val="00745C72"/>
    <w:rsid w:val="00745F06"/>
    <w:rsid w:val="00746924"/>
    <w:rsid w:val="007474BF"/>
    <w:rsid w:val="00747B63"/>
    <w:rsid w:val="007504F9"/>
    <w:rsid w:val="007523E0"/>
    <w:rsid w:val="00754034"/>
    <w:rsid w:val="0075408D"/>
    <w:rsid w:val="00754507"/>
    <w:rsid w:val="00754BF1"/>
    <w:rsid w:val="00755023"/>
    <w:rsid w:val="00755A30"/>
    <w:rsid w:val="00755E1C"/>
    <w:rsid w:val="00756556"/>
    <w:rsid w:val="00756645"/>
    <w:rsid w:val="00756A14"/>
    <w:rsid w:val="00757861"/>
    <w:rsid w:val="00757EBE"/>
    <w:rsid w:val="007609AD"/>
    <w:rsid w:val="0076132B"/>
    <w:rsid w:val="0076140B"/>
    <w:rsid w:val="007623AE"/>
    <w:rsid w:val="007625BC"/>
    <w:rsid w:val="0076274B"/>
    <w:rsid w:val="00762AA1"/>
    <w:rsid w:val="00762BA3"/>
    <w:rsid w:val="00762C6F"/>
    <w:rsid w:val="00764659"/>
    <w:rsid w:val="0076483F"/>
    <w:rsid w:val="0076493E"/>
    <w:rsid w:val="007649CD"/>
    <w:rsid w:val="00764D71"/>
    <w:rsid w:val="007653FB"/>
    <w:rsid w:val="0076620A"/>
    <w:rsid w:val="00766771"/>
    <w:rsid w:val="007668B7"/>
    <w:rsid w:val="007672C0"/>
    <w:rsid w:val="0076761F"/>
    <w:rsid w:val="00767FBC"/>
    <w:rsid w:val="00770A63"/>
    <w:rsid w:val="00770B19"/>
    <w:rsid w:val="0077225F"/>
    <w:rsid w:val="007729D0"/>
    <w:rsid w:val="00772E18"/>
    <w:rsid w:val="007731E8"/>
    <w:rsid w:val="00773F5D"/>
    <w:rsid w:val="00774129"/>
    <w:rsid w:val="007743BB"/>
    <w:rsid w:val="00774574"/>
    <w:rsid w:val="00774FA0"/>
    <w:rsid w:val="00775553"/>
    <w:rsid w:val="00776620"/>
    <w:rsid w:val="00776B4D"/>
    <w:rsid w:val="00776C46"/>
    <w:rsid w:val="007771FA"/>
    <w:rsid w:val="0077721F"/>
    <w:rsid w:val="00777B6D"/>
    <w:rsid w:val="00780A2F"/>
    <w:rsid w:val="00782271"/>
    <w:rsid w:val="00782BF1"/>
    <w:rsid w:val="00782D52"/>
    <w:rsid w:val="00784855"/>
    <w:rsid w:val="00784F39"/>
    <w:rsid w:val="007851E5"/>
    <w:rsid w:val="007852FF"/>
    <w:rsid w:val="0078545C"/>
    <w:rsid w:val="007855A8"/>
    <w:rsid w:val="0078562C"/>
    <w:rsid w:val="00785F1B"/>
    <w:rsid w:val="00785F96"/>
    <w:rsid w:val="0078677B"/>
    <w:rsid w:val="00786C14"/>
    <w:rsid w:val="00786C32"/>
    <w:rsid w:val="00787547"/>
    <w:rsid w:val="00790074"/>
    <w:rsid w:val="007905DA"/>
    <w:rsid w:val="007906C4"/>
    <w:rsid w:val="0079130D"/>
    <w:rsid w:val="00791695"/>
    <w:rsid w:val="00791F66"/>
    <w:rsid w:val="007925A9"/>
    <w:rsid w:val="00793177"/>
    <w:rsid w:val="00793909"/>
    <w:rsid w:val="007940EA"/>
    <w:rsid w:val="007941D6"/>
    <w:rsid w:val="00794B32"/>
    <w:rsid w:val="00796215"/>
    <w:rsid w:val="007967E8"/>
    <w:rsid w:val="00797E6A"/>
    <w:rsid w:val="00797EE0"/>
    <w:rsid w:val="007A05D0"/>
    <w:rsid w:val="007A0EF3"/>
    <w:rsid w:val="007A238F"/>
    <w:rsid w:val="007A2479"/>
    <w:rsid w:val="007A24E2"/>
    <w:rsid w:val="007A2937"/>
    <w:rsid w:val="007A2AB6"/>
    <w:rsid w:val="007A2EC2"/>
    <w:rsid w:val="007A3F0B"/>
    <w:rsid w:val="007A4A00"/>
    <w:rsid w:val="007A5475"/>
    <w:rsid w:val="007A63F2"/>
    <w:rsid w:val="007A6922"/>
    <w:rsid w:val="007A7B01"/>
    <w:rsid w:val="007B06C3"/>
    <w:rsid w:val="007B076B"/>
    <w:rsid w:val="007B0F49"/>
    <w:rsid w:val="007B22FF"/>
    <w:rsid w:val="007B2C41"/>
    <w:rsid w:val="007B2CD5"/>
    <w:rsid w:val="007B2F79"/>
    <w:rsid w:val="007B2FC0"/>
    <w:rsid w:val="007B3340"/>
    <w:rsid w:val="007B51BB"/>
    <w:rsid w:val="007B5499"/>
    <w:rsid w:val="007B5D55"/>
    <w:rsid w:val="007B65A6"/>
    <w:rsid w:val="007B68DE"/>
    <w:rsid w:val="007B6C6B"/>
    <w:rsid w:val="007B7624"/>
    <w:rsid w:val="007C0C3C"/>
    <w:rsid w:val="007C1857"/>
    <w:rsid w:val="007C1AAB"/>
    <w:rsid w:val="007C20B5"/>
    <w:rsid w:val="007C2988"/>
    <w:rsid w:val="007C3C5D"/>
    <w:rsid w:val="007C4286"/>
    <w:rsid w:val="007C4FFC"/>
    <w:rsid w:val="007C514F"/>
    <w:rsid w:val="007C58C6"/>
    <w:rsid w:val="007C6851"/>
    <w:rsid w:val="007C720D"/>
    <w:rsid w:val="007C7CD0"/>
    <w:rsid w:val="007C7D12"/>
    <w:rsid w:val="007D0711"/>
    <w:rsid w:val="007D0920"/>
    <w:rsid w:val="007D095B"/>
    <w:rsid w:val="007D0F95"/>
    <w:rsid w:val="007D1FF3"/>
    <w:rsid w:val="007D29FB"/>
    <w:rsid w:val="007D362A"/>
    <w:rsid w:val="007D3A34"/>
    <w:rsid w:val="007D3E6F"/>
    <w:rsid w:val="007D3FA6"/>
    <w:rsid w:val="007D472E"/>
    <w:rsid w:val="007D488A"/>
    <w:rsid w:val="007D5B02"/>
    <w:rsid w:val="007D6507"/>
    <w:rsid w:val="007D6A3B"/>
    <w:rsid w:val="007D6AC1"/>
    <w:rsid w:val="007D79C9"/>
    <w:rsid w:val="007D7DC9"/>
    <w:rsid w:val="007D7ECB"/>
    <w:rsid w:val="007E053E"/>
    <w:rsid w:val="007E0775"/>
    <w:rsid w:val="007E0CD4"/>
    <w:rsid w:val="007E1433"/>
    <w:rsid w:val="007E1685"/>
    <w:rsid w:val="007E1812"/>
    <w:rsid w:val="007E1B1D"/>
    <w:rsid w:val="007E1CC9"/>
    <w:rsid w:val="007E258F"/>
    <w:rsid w:val="007E25A1"/>
    <w:rsid w:val="007E2CE8"/>
    <w:rsid w:val="007E2E86"/>
    <w:rsid w:val="007E4BD2"/>
    <w:rsid w:val="007E52EC"/>
    <w:rsid w:val="007E54BE"/>
    <w:rsid w:val="007E60DB"/>
    <w:rsid w:val="007E6194"/>
    <w:rsid w:val="007E654B"/>
    <w:rsid w:val="007E6D5C"/>
    <w:rsid w:val="007E7145"/>
    <w:rsid w:val="007E7729"/>
    <w:rsid w:val="007E7EFD"/>
    <w:rsid w:val="007E7F1A"/>
    <w:rsid w:val="007F00BB"/>
    <w:rsid w:val="007F0ABD"/>
    <w:rsid w:val="007F11D6"/>
    <w:rsid w:val="007F1243"/>
    <w:rsid w:val="007F145D"/>
    <w:rsid w:val="007F1864"/>
    <w:rsid w:val="007F25F8"/>
    <w:rsid w:val="007F3916"/>
    <w:rsid w:val="007F428D"/>
    <w:rsid w:val="007F5830"/>
    <w:rsid w:val="007F5F8C"/>
    <w:rsid w:val="007F64CB"/>
    <w:rsid w:val="007F64EB"/>
    <w:rsid w:val="007F651A"/>
    <w:rsid w:val="007F6CC7"/>
    <w:rsid w:val="008002AF"/>
    <w:rsid w:val="00800605"/>
    <w:rsid w:val="00800AA4"/>
    <w:rsid w:val="00801179"/>
    <w:rsid w:val="0080119A"/>
    <w:rsid w:val="008012DC"/>
    <w:rsid w:val="008019D2"/>
    <w:rsid w:val="0080213C"/>
    <w:rsid w:val="00802479"/>
    <w:rsid w:val="008024E2"/>
    <w:rsid w:val="0080264D"/>
    <w:rsid w:val="00802B5B"/>
    <w:rsid w:val="008030CA"/>
    <w:rsid w:val="008042D9"/>
    <w:rsid w:val="008051E9"/>
    <w:rsid w:val="00805372"/>
    <w:rsid w:val="00805495"/>
    <w:rsid w:val="00805B7B"/>
    <w:rsid w:val="00806405"/>
    <w:rsid w:val="00807AB9"/>
    <w:rsid w:val="0081126C"/>
    <w:rsid w:val="00812435"/>
    <w:rsid w:val="0081293E"/>
    <w:rsid w:val="00812FA4"/>
    <w:rsid w:val="00813363"/>
    <w:rsid w:val="00814231"/>
    <w:rsid w:val="00814CFD"/>
    <w:rsid w:val="00814FFB"/>
    <w:rsid w:val="00815029"/>
    <w:rsid w:val="00815316"/>
    <w:rsid w:val="00815908"/>
    <w:rsid w:val="008159C2"/>
    <w:rsid w:val="008163B4"/>
    <w:rsid w:val="008179B5"/>
    <w:rsid w:val="008203CD"/>
    <w:rsid w:val="00820568"/>
    <w:rsid w:val="008206F5"/>
    <w:rsid w:val="00820CD9"/>
    <w:rsid w:val="008211C6"/>
    <w:rsid w:val="00821218"/>
    <w:rsid w:val="008215A7"/>
    <w:rsid w:val="00821AA5"/>
    <w:rsid w:val="008225C1"/>
    <w:rsid w:val="00822BAB"/>
    <w:rsid w:val="00822D28"/>
    <w:rsid w:val="00822E1F"/>
    <w:rsid w:val="0082321C"/>
    <w:rsid w:val="00824056"/>
    <w:rsid w:val="0082432D"/>
    <w:rsid w:val="008244AC"/>
    <w:rsid w:val="00824B65"/>
    <w:rsid w:val="0082500B"/>
    <w:rsid w:val="00825691"/>
    <w:rsid w:val="0082569C"/>
    <w:rsid w:val="00825991"/>
    <w:rsid w:val="00825FC4"/>
    <w:rsid w:val="008260C0"/>
    <w:rsid w:val="008260CB"/>
    <w:rsid w:val="00827AEF"/>
    <w:rsid w:val="008307C8"/>
    <w:rsid w:val="008307E4"/>
    <w:rsid w:val="00830A17"/>
    <w:rsid w:val="00830F24"/>
    <w:rsid w:val="00831A80"/>
    <w:rsid w:val="00831BC6"/>
    <w:rsid w:val="0083312E"/>
    <w:rsid w:val="008332C8"/>
    <w:rsid w:val="0083331F"/>
    <w:rsid w:val="008333DF"/>
    <w:rsid w:val="00833742"/>
    <w:rsid w:val="00833743"/>
    <w:rsid w:val="008340A4"/>
    <w:rsid w:val="008342F5"/>
    <w:rsid w:val="00834B78"/>
    <w:rsid w:val="00834FED"/>
    <w:rsid w:val="008358AC"/>
    <w:rsid w:val="00835A25"/>
    <w:rsid w:val="00836099"/>
    <w:rsid w:val="00836679"/>
    <w:rsid w:val="00836799"/>
    <w:rsid w:val="00837028"/>
    <w:rsid w:val="00837046"/>
    <w:rsid w:val="008370E1"/>
    <w:rsid w:val="00837131"/>
    <w:rsid w:val="008371BE"/>
    <w:rsid w:val="008401C9"/>
    <w:rsid w:val="008408D5"/>
    <w:rsid w:val="008435C9"/>
    <w:rsid w:val="00843989"/>
    <w:rsid w:val="00844126"/>
    <w:rsid w:val="008446CF"/>
    <w:rsid w:val="008446E0"/>
    <w:rsid w:val="00845122"/>
    <w:rsid w:val="00845AE0"/>
    <w:rsid w:val="00845C9E"/>
    <w:rsid w:val="00845F57"/>
    <w:rsid w:val="00846224"/>
    <w:rsid w:val="00846DFD"/>
    <w:rsid w:val="00847098"/>
    <w:rsid w:val="00847E8A"/>
    <w:rsid w:val="00850747"/>
    <w:rsid w:val="00850949"/>
    <w:rsid w:val="00850E1A"/>
    <w:rsid w:val="00850E6B"/>
    <w:rsid w:val="008513D9"/>
    <w:rsid w:val="008517E8"/>
    <w:rsid w:val="0085202D"/>
    <w:rsid w:val="0085206C"/>
    <w:rsid w:val="008521E0"/>
    <w:rsid w:val="00852330"/>
    <w:rsid w:val="008525B0"/>
    <w:rsid w:val="00852B16"/>
    <w:rsid w:val="00853C8D"/>
    <w:rsid w:val="00853E5B"/>
    <w:rsid w:val="008545BD"/>
    <w:rsid w:val="0085564C"/>
    <w:rsid w:val="008557D8"/>
    <w:rsid w:val="008570EA"/>
    <w:rsid w:val="00857590"/>
    <w:rsid w:val="008601F9"/>
    <w:rsid w:val="00861518"/>
    <w:rsid w:val="00862DCD"/>
    <w:rsid w:val="00862F32"/>
    <w:rsid w:val="008630AF"/>
    <w:rsid w:val="008633AD"/>
    <w:rsid w:val="0086476E"/>
    <w:rsid w:val="00864778"/>
    <w:rsid w:val="00864A34"/>
    <w:rsid w:val="00865009"/>
    <w:rsid w:val="008655BA"/>
    <w:rsid w:val="00865740"/>
    <w:rsid w:val="00865C67"/>
    <w:rsid w:val="00866AE9"/>
    <w:rsid w:val="00866D03"/>
    <w:rsid w:val="00867CBC"/>
    <w:rsid w:val="00867D0F"/>
    <w:rsid w:val="00867E15"/>
    <w:rsid w:val="00867E5D"/>
    <w:rsid w:val="008705EE"/>
    <w:rsid w:val="008709D9"/>
    <w:rsid w:val="00871528"/>
    <w:rsid w:val="00871ED3"/>
    <w:rsid w:val="00872406"/>
    <w:rsid w:val="008725D9"/>
    <w:rsid w:val="008727E6"/>
    <w:rsid w:val="00872F9D"/>
    <w:rsid w:val="00873697"/>
    <w:rsid w:val="00874CCD"/>
    <w:rsid w:val="00874D40"/>
    <w:rsid w:val="00875949"/>
    <w:rsid w:val="00876B2A"/>
    <w:rsid w:val="00876C30"/>
    <w:rsid w:val="00877017"/>
    <w:rsid w:val="00877134"/>
    <w:rsid w:val="008773C0"/>
    <w:rsid w:val="0087781D"/>
    <w:rsid w:val="00877CD3"/>
    <w:rsid w:val="00880127"/>
    <w:rsid w:val="008802E4"/>
    <w:rsid w:val="00880364"/>
    <w:rsid w:val="00880787"/>
    <w:rsid w:val="008807FB"/>
    <w:rsid w:val="00880CC9"/>
    <w:rsid w:val="00881627"/>
    <w:rsid w:val="00882072"/>
    <w:rsid w:val="00882112"/>
    <w:rsid w:val="00882477"/>
    <w:rsid w:val="0088290F"/>
    <w:rsid w:val="00883D7D"/>
    <w:rsid w:val="00883E63"/>
    <w:rsid w:val="008846F9"/>
    <w:rsid w:val="00884A67"/>
    <w:rsid w:val="008857C4"/>
    <w:rsid w:val="00885B39"/>
    <w:rsid w:val="00886C4C"/>
    <w:rsid w:val="0088711C"/>
    <w:rsid w:val="00887432"/>
    <w:rsid w:val="008875F1"/>
    <w:rsid w:val="008876DA"/>
    <w:rsid w:val="00887817"/>
    <w:rsid w:val="00890643"/>
    <w:rsid w:val="00890F6A"/>
    <w:rsid w:val="00890FF6"/>
    <w:rsid w:val="008919BA"/>
    <w:rsid w:val="00891BB1"/>
    <w:rsid w:val="00892602"/>
    <w:rsid w:val="00892D89"/>
    <w:rsid w:val="00892ECF"/>
    <w:rsid w:val="00892F06"/>
    <w:rsid w:val="00892FC2"/>
    <w:rsid w:val="00893050"/>
    <w:rsid w:val="008935FB"/>
    <w:rsid w:val="008937EF"/>
    <w:rsid w:val="00893971"/>
    <w:rsid w:val="00894141"/>
    <w:rsid w:val="008941BB"/>
    <w:rsid w:val="00894285"/>
    <w:rsid w:val="008943A1"/>
    <w:rsid w:val="0089477A"/>
    <w:rsid w:val="00895307"/>
    <w:rsid w:val="0089605E"/>
    <w:rsid w:val="00897707"/>
    <w:rsid w:val="00897A4E"/>
    <w:rsid w:val="008A054B"/>
    <w:rsid w:val="008A0DF9"/>
    <w:rsid w:val="008A1B1F"/>
    <w:rsid w:val="008A2A03"/>
    <w:rsid w:val="008A2C60"/>
    <w:rsid w:val="008A3931"/>
    <w:rsid w:val="008A3AB6"/>
    <w:rsid w:val="008A3D7F"/>
    <w:rsid w:val="008A40AE"/>
    <w:rsid w:val="008A4D81"/>
    <w:rsid w:val="008A4E19"/>
    <w:rsid w:val="008A5F04"/>
    <w:rsid w:val="008A66E8"/>
    <w:rsid w:val="008A67C5"/>
    <w:rsid w:val="008A6B51"/>
    <w:rsid w:val="008A6EEA"/>
    <w:rsid w:val="008B0A04"/>
    <w:rsid w:val="008B129D"/>
    <w:rsid w:val="008B1382"/>
    <w:rsid w:val="008B13AD"/>
    <w:rsid w:val="008B17AE"/>
    <w:rsid w:val="008B1B7D"/>
    <w:rsid w:val="008B1E04"/>
    <w:rsid w:val="008B2285"/>
    <w:rsid w:val="008B22E1"/>
    <w:rsid w:val="008B37CD"/>
    <w:rsid w:val="008B3831"/>
    <w:rsid w:val="008B3C78"/>
    <w:rsid w:val="008B4482"/>
    <w:rsid w:val="008B4AE9"/>
    <w:rsid w:val="008B52BE"/>
    <w:rsid w:val="008B5BD1"/>
    <w:rsid w:val="008B64F7"/>
    <w:rsid w:val="008B65B6"/>
    <w:rsid w:val="008B6825"/>
    <w:rsid w:val="008B6A2D"/>
    <w:rsid w:val="008B7034"/>
    <w:rsid w:val="008B73E2"/>
    <w:rsid w:val="008B7670"/>
    <w:rsid w:val="008C0AAE"/>
    <w:rsid w:val="008C0C7B"/>
    <w:rsid w:val="008C12C0"/>
    <w:rsid w:val="008C2FC2"/>
    <w:rsid w:val="008C30AD"/>
    <w:rsid w:val="008C3700"/>
    <w:rsid w:val="008C3960"/>
    <w:rsid w:val="008C59D8"/>
    <w:rsid w:val="008C5CAE"/>
    <w:rsid w:val="008C660E"/>
    <w:rsid w:val="008C6A48"/>
    <w:rsid w:val="008C7961"/>
    <w:rsid w:val="008C7E82"/>
    <w:rsid w:val="008D0253"/>
    <w:rsid w:val="008D0296"/>
    <w:rsid w:val="008D068E"/>
    <w:rsid w:val="008D0F7A"/>
    <w:rsid w:val="008D2AE8"/>
    <w:rsid w:val="008D3357"/>
    <w:rsid w:val="008D3C9E"/>
    <w:rsid w:val="008D3DA3"/>
    <w:rsid w:val="008D40C9"/>
    <w:rsid w:val="008D4DE6"/>
    <w:rsid w:val="008D5EE6"/>
    <w:rsid w:val="008D6341"/>
    <w:rsid w:val="008D63BE"/>
    <w:rsid w:val="008D6740"/>
    <w:rsid w:val="008D6B7D"/>
    <w:rsid w:val="008D73E2"/>
    <w:rsid w:val="008D7999"/>
    <w:rsid w:val="008D7EB0"/>
    <w:rsid w:val="008D7FF0"/>
    <w:rsid w:val="008E01A7"/>
    <w:rsid w:val="008E0CFF"/>
    <w:rsid w:val="008E11D7"/>
    <w:rsid w:val="008E1D3F"/>
    <w:rsid w:val="008E2572"/>
    <w:rsid w:val="008E26E6"/>
    <w:rsid w:val="008E3BA4"/>
    <w:rsid w:val="008E3D4D"/>
    <w:rsid w:val="008E4281"/>
    <w:rsid w:val="008E434D"/>
    <w:rsid w:val="008E4CCB"/>
    <w:rsid w:val="008E51D9"/>
    <w:rsid w:val="008E5256"/>
    <w:rsid w:val="008E53C6"/>
    <w:rsid w:val="008E5D6B"/>
    <w:rsid w:val="008E689B"/>
    <w:rsid w:val="008E6D29"/>
    <w:rsid w:val="008E6F11"/>
    <w:rsid w:val="008E76F0"/>
    <w:rsid w:val="008E77EA"/>
    <w:rsid w:val="008F0BB6"/>
    <w:rsid w:val="008F1435"/>
    <w:rsid w:val="008F14C5"/>
    <w:rsid w:val="008F15FE"/>
    <w:rsid w:val="008F16E5"/>
    <w:rsid w:val="008F210F"/>
    <w:rsid w:val="008F2A94"/>
    <w:rsid w:val="008F2E96"/>
    <w:rsid w:val="008F309F"/>
    <w:rsid w:val="008F3716"/>
    <w:rsid w:val="008F3CE8"/>
    <w:rsid w:val="008F3FC8"/>
    <w:rsid w:val="008F4757"/>
    <w:rsid w:val="008F5187"/>
    <w:rsid w:val="008F53FF"/>
    <w:rsid w:val="008F543D"/>
    <w:rsid w:val="008F54CE"/>
    <w:rsid w:val="008F590F"/>
    <w:rsid w:val="008F5D0D"/>
    <w:rsid w:val="008F5FDF"/>
    <w:rsid w:val="008F6860"/>
    <w:rsid w:val="008F6A6D"/>
    <w:rsid w:val="008F6AD2"/>
    <w:rsid w:val="008F6BB5"/>
    <w:rsid w:val="008F709C"/>
    <w:rsid w:val="008F78B4"/>
    <w:rsid w:val="008F7F16"/>
    <w:rsid w:val="00900546"/>
    <w:rsid w:val="00901E96"/>
    <w:rsid w:val="0090312B"/>
    <w:rsid w:val="009039C7"/>
    <w:rsid w:val="00904282"/>
    <w:rsid w:val="00904961"/>
    <w:rsid w:val="00904B32"/>
    <w:rsid w:val="00904BBB"/>
    <w:rsid w:val="00905597"/>
    <w:rsid w:val="0090631E"/>
    <w:rsid w:val="00906747"/>
    <w:rsid w:val="009069C6"/>
    <w:rsid w:val="00906B2E"/>
    <w:rsid w:val="00906D97"/>
    <w:rsid w:val="00906DEC"/>
    <w:rsid w:val="00911319"/>
    <w:rsid w:val="00911F8F"/>
    <w:rsid w:val="009132FB"/>
    <w:rsid w:val="009133FD"/>
    <w:rsid w:val="00913428"/>
    <w:rsid w:val="00913B16"/>
    <w:rsid w:val="00913CDA"/>
    <w:rsid w:val="00913CFA"/>
    <w:rsid w:val="009147FB"/>
    <w:rsid w:val="0091495E"/>
    <w:rsid w:val="009154F5"/>
    <w:rsid w:val="00915F72"/>
    <w:rsid w:val="00916986"/>
    <w:rsid w:val="0091736D"/>
    <w:rsid w:val="009174EE"/>
    <w:rsid w:val="00917CFB"/>
    <w:rsid w:val="0092056F"/>
    <w:rsid w:val="0092101C"/>
    <w:rsid w:val="009210BF"/>
    <w:rsid w:val="00921153"/>
    <w:rsid w:val="0092125B"/>
    <w:rsid w:val="00923E49"/>
    <w:rsid w:val="009243DA"/>
    <w:rsid w:val="00925271"/>
    <w:rsid w:val="009252EA"/>
    <w:rsid w:val="009268CF"/>
    <w:rsid w:val="00926A2C"/>
    <w:rsid w:val="00926EEC"/>
    <w:rsid w:val="009302A9"/>
    <w:rsid w:val="00930F57"/>
    <w:rsid w:val="00931001"/>
    <w:rsid w:val="00931863"/>
    <w:rsid w:val="009330FA"/>
    <w:rsid w:val="00933524"/>
    <w:rsid w:val="0093418D"/>
    <w:rsid w:val="00934295"/>
    <w:rsid w:val="00934A2B"/>
    <w:rsid w:val="009358DD"/>
    <w:rsid w:val="0093616B"/>
    <w:rsid w:val="00936BEF"/>
    <w:rsid w:val="00936DE6"/>
    <w:rsid w:val="00936FF0"/>
    <w:rsid w:val="0093727C"/>
    <w:rsid w:val="00937AE3"/>
    <w:rsid w:val="009400E2"/>
    <w:rsid w:val="00940958"/>
    <w:rsid w:val="00940AD6"/>
    <w:rsid w:val="009417BF"/>
    <w:rsid w:val="00942306"/>
    <w:rsid w:val="0094278D"/>
    <w:rsid w:val="00942A72"/>
    <w:rsid w:val="00942EE1"/>
    <w:rsid w:val="00945238"/>
    <w:rsid w:val="00945B6A"/>
    <w:rsid w:val="00946126"/>
    <w:rsid w:val="00946AD1"/>
    <w:rsid w:val="009500E4"/>
    <w:rsid w:val="00951362"/>
    <w:rsid w:val="00951477"/>
    <w:rsid w:val="00952680"/>
    <w:rsid w:val="009527AB"/>
    <w:rsid w:val="00952B00"/>
    <w:rsid w:val="0095308A"/>
    <w:rsid w:val="009536E8"/>
    <w:rsid w:val="00953B6C"/>
    <w:rsid w:val="00954572"/>
    <w:rsid w:val="00955055"/>
    <w:rsid w:val="009557AB"/>
    <w:rsid w:val="009558E9"/>
    <w:rsid w:val="00955AEE"/>
    <w:rsid w:val="00955D3F"/>
    <w:rsid w:val="00955F70"/>
    <w:rsid w:val="009564E7"/>
    <w:rsid w:val="00956505"/>
    <w:rsid w:val="00956F14"/>
    <w:rsid w:val="00957403"/>
    <w:rsid w:val="00960E17"/>
    <w:rsid w:val="00960FC0"/>
    <w:rsid w:val="00961904"/>
    <w:rsid w:val="009620FD"/>
    <w:rsid w:val="0096247A"/>
    <w:rsid w:val="009626F8"/>
    <w:rsid w:val="00962C8E"/>
    <w:rsid w:val="00962DF8"/>
    <w:rsid w:val="00962FA3"/>
    <w:rsid w:val="009635F1"/>
    <w:rsid w:val="00963E74"/>
    <w:rsid w:val="0096413D"/>
    <w:rsid w:val="009642D6"/>
    <w:rsid w:val="009649A4"/>
    <w:rsid w:val="00965487"/>
    <w:rsid w:val="009654A2"/>
    <w:rsid w:val="00965F4B"/>
    <w:rsid w:val="00965F4D"/>
    <w:rsid w:val="0096618A"/>
    <w:rsid w:val="009665DB"/>
    <w:rsid w:val="0096674B"/>
    <w:rsid w:val="00967026"/>
    <w:rsid w:val="00967C7C"/>
    <w:rsid w:val="009704BA"/>
    <w:rsid w:val="00970677"/>
    <w:rsid w:val="00970DF5"/>
    <w:rsid w:val="00970F8A"/>
    <w:rsid w:val="009712E6"/>
    <w:rsid w:val="00971970"/>
    <w:rsid w:val="00971AFA"/>
    <w:rsid w:val="00971FB5"/>
    <w:rsid w:val="0097296D"/>
    <w:rsid w:val="00972D2A"/>
    <w:rsid w:val="00973036"/>
    <w:rsid w:val="009731E9"/>
    <w:rsid w:val="0097382E"/>
    <w:rsid w:val="009738D6"/>
    <w:rsid w:val="009739A7"/>
    <w:rsid w:val="009739B7"/>
    <w:rsid w:val="00974235"/>
    <w:rsid w:val="00975155"/>
    <w:rsid w:val="00975CC5"/>
    <w:rsid w:val="00975D15"/>
    <w:rsid w:val="00975D6E"/>
    <w:rsid w:val="00976328"/>
    <w:rsid w:val="00976331"/>
    <w:rsid w:val="009767A0"/>
    <w:rsid w:val="00976B4E"/>
    <w:rsid w:val="00976D7D"/>
    <w:rsid w:val="00980075"/>
    <w:rsid w:val="0098026B"/>
    <w:rsid w:val="00980341"/>
    <w:rsid w:val="00980B03"/>
    <w:rsid w:val="00980D24"/>
    <w:rsid w:val="00981F62"/>
    <w:rsid w:val="00982B47"/>
    <w:rsid w:val="0098315B"/>
    <w:rsid w:val="00984458"/>
    <w:rsid w:val="009848F8"/>
    <w:rsid w:val="00985283"/>
    <w:rsid w:val="00985D1D"/>
    <w:rsid w:val="00985FBC"/>
    <w:rsid w:val="00986F80"/>
    <w:rsid w:val="009871A6"/>
    <w:rsid w:val="00987322"/>
    <w:rsid w:val="00987B5F"/>
    <w:rsid w:val="0099048F"/>
    <w:rsid w:val="00990BFA"/>
    <w:rsid w:val="00991099"/>
    <w:rsid w:val="009911F8"/>
    <w:rsid w:val="0099162E"/>
    <w:rsid w:val="0099264A"/>
    <w:rsid w:val="00992E83"/>
    <w:rsid w:val="00992F61"/>
    <w:rsid w:val="009933DD"/>
    <w:rsid w:val="0099432B"/>
    <w:rsid w:val="009951EF"/>
    <w:rsid w:val="009955C9"/>
    <w:rsid w:val="00995807"/>
    <w:rsid w:val="0099622F"/>
    <w:rsid w:val="00997018"/>
    <w:rsid w:val="009972BA"/>
    <w:rsid w:val="00997D9C"/>
    <w:rsid w:val="00997EF9"/>
    <w:rsid w:val="009A0D64"/>
    <w:rsid w:val="009A0F3B"/>
    <w:rsid w:val="009A119F"/>
    <w:rsid w:val="009A15B6"/>
    <w:rsid w:val="009A1A77"/>
    <w:rsid w:val="009A1EF1"/>
    <w:rsid w:val="009A2230"/>
    <w:rsid w:val="009A2718"/>
    <w:rsid w:val="009A2744"/>
    <w:rsid w:val="009A3446"/>
    <w:rsid w:val="009A40DA"/>
    <w:rsid w:val="009A42EC"/>
    <w:rsid w:val="009A4AA5"/>
    <w:rsid w:val="009A5284"/>
    <w:rsid w:val="009A6306"/>
    <w:rsid w:val="009A6316"/>
    <w:rsid w:val="009A72C7"/>
    <w:rsid w:val="009B05A5"/>
    <w:rsid w:val="009B0897"/>
    <w:rsid w:val="009B1417"/>
    <w:rsid w:val="009B189C"/>
    <w:rsid w:val="009B2264"/>
    <w:rsid w:val="009B22AD"/>
    <w:rsid w:val="009B25A4"/>
    <w:rsid w:val="009B2678"/>
    <w:rsid w:val="009B2C28"/>
    <w:rsid w:val="009B35C9"/>
    <w:rsid w:val="009B44BA"/>
    <w:rsid w:val="009B44DF"/>
    <w:rsid w:val="009B5BE7"/>
    <w:rsid w:val="009B626F"/>
    <w:rsid w:val="009B6936"/>
    <w:rsid w:val="009B694A"/>
    <w:rsid w:val="009B6FFC"/>
    <w:rsid w:val="009C0468"/>
    <w:rsid w:val="009C0C8E"/>
    <w:rsid w:val="009C16D6"/>
    <w:rsid w:val="009C19C1"/>
    <w:rsid w:val="009C1AD5"/>
    <w:rsid w:val="009C2214"/>
    <w:rsid w:val="009C299E"/>
    <w:rsid w:val="009C3A42"/>
    <w:rsid w:val="009C3CF0"/>
    <w:rsid w:val="009C3D7A"/>
    <w:rsid w:val="009C4489"/>
    <w:rsid w:val="009C4A62"/>
    <w:rsid w:val="009C4DE2"/>
    <w:rsid w:val="009C5D19"/>
    <w:rsid w:val="009C5E96"/>
    <w:rsid w:val="009C5F56"/>
    <w:rsid w:val="009C69FB"/>
    <w:rsid w:val="009C71FC"/>
    <w:rsid w:val="009C74E3"/>
    <w:rsid w:val="009C7B4B"/>
    <w:rsid w:val="009D0852"/>
    <w:rsid w:val="009D0E35"/>
    <w:rsid w:val="009D0F37"/>
    <w:rsid w:val="009D0F8A"/>
    <w:rsid w:val="009D12DD"/>
    <w:rsid w:val="009D134C"/>
    <w:rsid w:val="009D1FBF"/>
    <w:rsid w:val="009D2211"/>
    <w:rsid w:val="009D2632"/>
    <w:rsid w:val="009D31F6"/>
    <w:rsid w:val="009D3B5F"/>
    <w:rsid w:val="009D3D7B"/>
    <w:rsid w:val="009D3F1B"/>
    <w:rsid w:val="009D48B5"/>
    <w:rsid w:val="009D5388"/>
    <w:rsid w:val="009D6DF4"/>
    <w:rsid w:val="009D7CAE"/>
    <w:rsid w:val="009E0050"/>
    <w:rsid w:val="009E09EB"/>
    <w:rsid w:val="009E0AF5"/>
    <w:rsid w:val="009E1565"/>
    <w:rsid w:val="009E3172"/>
    <w:rsid w:val="009E399C"/>
    <w:rsid w:val="009E3E4D"/>
    <w:rsid w:val="009E43C1"/>
    <w:rsid w:val="009E5712"/>
    <w:rsid w:val="009E599C"/>
    <w:rsid w:val="009E5FAF"/>
    <w:rsid w:val="009E6B61"/>
    <w:rsid w:val="009E6EB8"/>
    <w:rsid w:val="009E70EF"/>
    <w:rsid w:val="009E712C"/>
    <w:rsid w:val="009E75D6"/>
    <w:rsid w:val="009E7751"/>
    <w:rsid w:val="009E7E95"/>
    <w:rsid w:val="009F03B4"/>
    <w:rsid w:val="009F0EC9"/>
    <w:rsid w:val="009F116F"/>
    <w:rsid w:val="009F1D73"/>
    <w:rsid w:val="009F2500"/>
    <w:rsid w:val="009F329E"/>
    <w:rsid w:val="009F3E88"/>
    <w:rsid w:val="009F3F62"/>
    <w:rsid w:val="009F409A"/>
    <w:rsid w:val="009F487B"/>
    <w:rsid w:val="009F4C46"/>
    <w:rsid w:val="009F4FE3"/>
    <w:rsid w:val="009F57A6"/>
    <w:rsid w:val="009F5A96"/>
    <w:rsid w:val="009F6CC9"/>
    <w:rsid w:val="009F6E5C"/>
    <w:rsid w:val="009F719A"/>
    <w:rsid w:val="009F796E"/>
    <w:rsid w:val="009F7ED3"/>
    <w:rsid w:val="00A00FD9"/>
    <w:rsid w:val="00A01C62"/>
    <w:rsid w:val="00A02168"/>
    <w:rsid w:val="00A02687"/>
    <w:rsid w:val="00A027EF"/>
    <w:rsid w:val="00A0282C"/>
    <w:rsid w:val="00A02A4B"/>
    <w:rsid w:val="00A03354"/>
    <w:rsid w:val="00A03607"/>
    <w:rsid w:val="00A04680"/>
    <w:rsid w:val="00A046E4"/>
    <w:rsid w:val="00A047FF"/>
    <w:rsid w:val="00A04806"/>
    <w:rsid w:val="00A04FD8"/>
    <w:rsid w:val="00A04FEF"/>
    <w:rsid w:val="00A0587C"/>
    <w:rsid w:val="00A064DE"/>
    <w:rsid w:val="00A06C67"/>
    <w:rsid w:val="00A06D53"/>
    <w:rsid w:val="00A06F1D"/>
    <w:rsid w:val="00A074B5"/>
    <w:rsid w:val="00A1123A"/>
    <w:rsid w:val="00A112CE"/>
    <w:rsid w:val="00A11574"/>
    <w:rsid w:val="00A11770"/>
    <w:rsid w:val="00A11834"/>
    <w:rsid w:val="00A11955"/>
    <w:rsid w:val="00A11AFB"/>
    <w:rsid w:val="00A11AFC"/>
    <w:rsid w:val="00A11C1A"/>
    <w:rsid w:val="00A122CD"/>
    <w:rsid w:val="00A12A32"/>
    <w:rsid w:val="00A12F08"/>
    <w:rsid w:val="00A13391"/>
    <w:rsid w:val="00A13DEE"/>
    <w:rsid w:val="00A14248"/>
    <w:rsid w:val="00A1448B"/>
    <w:rsid w:val="00A14504"/>
    <w:rsid w:val="00A14947"/>
    <w:rsid w:val="00A16FA5"/>
    <w:rsid w:val="00A17838"/>
    <w:rsid w:val="00A17DB8"/>
    <w:rsid w:val="00A21D67"/>
    <w:rsid w:val="00A21F78"/>
    <w:rsid w:val="00A226FA"/>
    <w:rsid w:val="00A22B7E"/>
    <w:rsid w:val="00A23DC5"/>
    <w:rsid w:val="00A2439B"/>
    <w:rsid w:val="00A24B75"/>
    <w:rsid w:val="00A2500D"/>
    <w:rsid w:val="00A25624"/>
    <w:rsid w:val="00A25680"/>
    <w:rsid w:val="00A2604B"/>
    <w:rsid w:val="00A267A1"/>
    <w:rsid w:val="00A27583"/>
    <w:rsid w:val="00A278B3"/>
    <w:rsid w:val="00A27EA2"/>
    <w:rsid w:val="00A30219"/>
    <w:rsid w:val="00A30F59"/>
    <w:rsid w:val="00A30F7E"/>
    <w:rsid w:val="00A316DF"/>
    <w:rsid w:val="00A31EAF"/>
    <w:rsid w:val="00A3222A"/>
    <w:rsid w:val="00A3225F"/>
    <w:rsid w:val="00A336D7"/>
    <w:rsid w:val="00A33B25"/>
    <w:rsid w:val="00A33CE9"/>
    <w:rsid w:val="00A34028"/>
    <w:rsid w:val="00A3420E"/>
    <w:rsid w:val="00A35319"/>
    <w:rsid w:val="00A35568"/>
    <w:rsid w:val="00A3590A"/>
    <w:rsid w:val="00A35C92"/>
    <w:rsid w:val="00A35E77"/>
    <w:rsid w:val="00A36357"/>
    <w:rsid w:val="00A37056"/>
    <w:rsid w:val="00A374A5"/>
    <w:rsid w:val="00A37EB8"/>
    <w:rsid w:val="00A4000C"/>
    <w:rsid w:val="00A406F4"/>
    <w:rsid w:val="00A40D6F"/>
    <w:rsid w:val="00A41E1B"/>
    <w:rsid w:val="00A423A0"/>
    <w:rsid w:val="00A4266F"/>
    <w:rsid w:val="00A42E99"/>
    <w:rsid w:val="00A4358F"/>
    <w:rsid w:val="00A43599"/>
    <w:rsid w:val="00A43AE9"/>
    <w:rsid w:val="00A44944"/>
    <w:rsid w:val="00A4601C"/>
    <w:rsid w:val="00A469D3"/>
    <w:rsid w:val="00A46F67"/>
    <w:rsid w:val="00A4716D"/>
    <w:rsid w:val="00A47270"/>
    <w:rsid w:val="00A47574"/>
    <w:rsid w:val="00A477F5"/>
    <w:rsid w:val="00A47800"/>
    <w:rsid w:val="00A47CEE"/>
    <w:rsid w:val="00A50412"/>
    <w:rsid w:val="00A50F3C"/>
    <w:rsid w:val="00A51008"/>
    <w:rsid w:val="00A511A1"/>
    <w:rsid w:val="00A51E21"/>
    <w:rsid w:val="00A53744"/>
    <w:rsid w:val="00A54053"/>
    <w:rsid w:val="00A5428D"/>
    <w:rsid w:val="00A54AA1"/>
    <w:rsid w:val="00A54F20"/>
    <w:rsid w:val="00A557B6"/>
    <w:rsid w:val="00A5601E"/>
    <w:rsid w:val="00A568FF"/>
    <w:rsid w:val="00A569FF"/>
    <w:rsid w:val="00A56C2C"/>
    <w:rsid w:val="00A601CD"/>
    <w:rsid w:val="00A605D6"/>
    <w:rsid w:val="00A60C10"/>
    <w:rsid w:val="00A61496"/>
    <w:rsid w:val="00A617DA"/>
    <w:rsid w:val="00A61833"/>
    <w:rsid w:val="00A624C6"/>
    <w:rsid w:val="00A624DC"/>
    <w:rsid w:val="00A625BA"/>
    <w:rsid w:val="00A63161"/>
    <w:rsid w:val="00A632A7"/>
    <w:rsid w:val="00A638BB"/>
    <w:rsid w:val="00A63CEC"/>
    <w:rsid w:val="00A64BD3"/>
    <w:rsid w:val="00A64DFE"/>
    <w:rsid w:val="00A65064"/>
    <w:rsid w:val="00A65302"/>
    <w:rsid w:val="00A65505"/>
    <w:rsid w:val="00A67458"/>
    <w:rsid w:val="00A7031E"/>
    <w:rsid w:val="00A7037E"/>
    <w:rsid w:val="00A718A4"/>
    <w:rsid w:val="00A71ACA"/>
    <w:rsid w:val="00A71D15"/>
    <w:rsid w:val="00A728B1"/>
    <w:rsid w:val="00A72CEB"/>
    <w:rsid w:val="00A72F0C"/>
    <w:rsid w:val="00A735E4"/>
    <w:rsid w:val="00A739F5"/>
    <w:rsid w:val="00A73B39"/>
    <w:rsid w:val="00A74084"/>
    <w:rsid w:val="00A74C32"/>
    <w:rsid w:val="00A74FEF"/>
    <w:rsid w:val="00A7520F"/>
    <w:rsid w:val="00A75385"/>
    <w:rsid w:val="00A756D1"/>
    <w:rsid w:val="00A7639F"/>
    <w:rsid w:val="00A763DE"/>
    <w:rsid w:val="00A764F2"/>
    <w:rsid w:val="00A77466"/>
    <w:rsid w:val="00A77F3E"/>
    <w:rsid w:val="00A80261"/>
    <w:rsid w:val="00A8026E"/>
    <w:rsid w:val="00A803D6"/>
    <w:rsid w:val="00A806B7"/>
    <w:rsid w:val="00A8077A"/>
    <w:rsid w:val="00A80A09"/>
    <w:rsid w:val="00A80DB0"/>
    <w:rsid w:val="00A81174"/>
    <w:rsid w:val="00A81282"/>
    <w:rsid w:val="00A81F1F"/>
    <w:rsid w:val="00A826E0"/>
    <w:rsid w:val="00A84E97"/>
    <w:rsid w:val="00A84F49"/>
    <w:rsid w:val="00A85747"/>
    <w:rsid w:val="00A85980"/>
    <w:rsid w:val="00A85BA9"/>
    <w:rsid w:val="00A8713F"/>
    <w:rsid w:val="00A871FC"/>
    <w:rsid w:val="00A879A6"/>
    <w:rsid w:val="00A87F3E"/>
    <w:rsid w:val="00A90C0D"/>
    <w:rsid w:val="00A91167"/>
    <w:rsid w:val="00A91606"/>
    <w:rsid w:val="00A9171C"/>
    <w:rsid w:val="00A92491"/>
    <w:rsid w:val="00A924FA"/>
    <w:rsid w:val="00A92FFD"/>
    <w:rsid w:val="00A93D24"/>
    <w:rsid w:val="00A940EC"/>
    <w:rsid w:val="00A94779"/>
    <w:rsid w:val="00A94BF8"/>
    <w:rsid w:val="00A94D38"/>
    <w:rsid w:val="00A94FBC"/>
    <w:rsid w:val="00A95129"/>
    <w:rsid w:val="00A95975"/>
    <w:rsid w:val="00A95E0C"/>
    <w:rsid w:val="00A95EF9"/>
    <w:rsid w:val="00A96323"/>
    <w:rsid w:val="00A96AE6"/>
    <w:rsid w:val="00A9708D"/>
    <w:rsid w:val="00AA05C1"/>
    <w:rsid w:val="00AA0FE2"/>
    <w:rsid w:val="00AA1202"/>
    <w:rsid w:val="00AA1725"/>
    <w:rsid w:val="00AA2BD4"/>
    <w:rsid w:val="00AA2C17"/>
    <w:rsid w:val="00AA4172"/>
    <w:rsid w:val="00AA4A97"/>
    <w:rsid w:val="00AA4BFF"/>
    <w:rsid w:val="00AA4EFF"/>
    <w:rsid w:val="00AA532F"/>
    <w:rsid w:val="00AA57B6"/>
    <w:rsid w:val="00AA5FAA"/>
    <w:rsid w:val="00AA6811"/>
    <w:rsid w:val="00AA6C7B"/>
    <w:rsid w:val="00AA753D"/>
    <w:rsid w:val="00AA7796"/>
    <w:rsid w:val="00AA78FA"/>
    <w:rsid w:val="00AA7EF9"/>
    <w:rsid w:val="00AB0884"/>
    <w:rsid w:val="00AB119C"/>
    <w:rsid w:val="00AB179F"/>
    <w:rsid w:val="00AB1914"/>
    <w:rsid w:val="00AB24AE"/>
    <w:rsid w:val="00AB28BC"/>
    <w:rsid w:val="00AB3BDD"/>
    <w:rsid w:val="00AB3BF6"/>
    <w:rsid w:val="00AB400E"/>
    <w:rsid w:val="00AB4599"/>
    <w:rsid w:val="00AB4699"/>
    <w:rsid w:val="00AB525A"/>
    <w:rsid w:val="00AB5330"/>
    <w:rsid w:val="00AB5443"/>
    <w:rsid w:val="00AB555A"/>
    <w:rsid w:val="00AB5C1B"/>
    <w:rsid w:val="00AB7164"/>
    <w:rsid w:val="00AB7747"/>
    <w:rsid w:val="00AC054F"/>
    <w:rsid w:val="00AC1303"/>
    <w:rsid w:val="00AC1348"/>
    <w:rsid w:val="00AC2320"/>
    <w:rsid w:val="00AC2532"/>
    <w:rsid w:val="00AC314D"/>
    <w:rsid w:val="00AC36C9"/>
    <w:rsid w:val="00AC3AD4"/>
    <w:rsid w:val="00AC3FC8"/>
    <w:rsid w:val="00AC4169"/>
    <w:rsid w:val="00AC4596"/>
    <w:rsid w:val="00AC535C"/>
    <w:rsid w:val="00AC64AD"/>
    <w:rsid w:val="00AC6720"/>
    <w:rsid w:val="00AC6A90"/>
    <w:rsid w:val="00AD0026"/>
    <w:rsid w:val="00AD05B1"/>
    <w:rsid w:val="00AD090E"/>
    <w:rsid w:val="00AD1015"/>
    <w:rsid w:val="00AD1507"/>
    <w:rsid w:val="00AD17EF"/>
    <w:rsid w:val="00AD272A"/>
    <w:rsid w:val="00AD29A2"/>
    <w:rsid w:val="00AD2AC9"/>
    <w:rsid w:val="00AD2C5C"/>
    <w:rsid w:val="00AD2E80"/>
    <w:rsid w:val="00AD2E82"/>
    <w:rsid w:val="00AD3243"/>
    <w:rsid w:val="00AD33C2"/>
    <w:rsid w:val="00AD3B36"/>
    <w:rsid w:val="00AD4517"/>
    <w:rsid w:val="00AD4A56"/>
    <w:rsid w:val="00AD5A70"/>
    <w:rsid w:val="00AD632E"/>
    <w:rsid w:val="00AD678A"/>
    <w:rsid w:val="00AD70C3"/>
    <w:rsid w:val="00AD738B"/>
    <w:rsid w:val="00AD75AA"/>
    <w:rsid w:val="00AD7D96"/>
    <w:rsid w:val="00AE086D"/>
    <w:rsid w:val="00AE1310"/>
    <w:rsid w:val="00AE172B"/>
    <w:rsid w:val="00AE1A8C"/>
    <w:rsid w:val="00AE1BF4"/>
    <w:rsid w:val="00AE1E69"/>
    <w:rsid w:val="00AE204A"/>
    <w:rsid w:val="00AE2A1F"/>
    <w:rsid w:val="00AE2DE2"/>
    <w:rsid w:val="00AE311E"/>
    <w:rsid w:val="00AE3B4E"/>
    <w:rsid w:val="00AE4155"/>
    <w:rsid w:val="00AE43AC"/>
    <w:rsid w:val="00AE47A4"/>
    <w:rsid w:val="00AE49FD"/>
    <w:rsid w:val="00AE4D08"/>
    <w:rsid w:val="00AE4DA3"/>
    <w:rsid w:val="00AE5D97"/>
    <w:rsid w:val="00AE6794"/>
    <w:rsid w:val="00AE774A"/>
    <w:rsid w:val="00AF0B38"/>
    <w:rsid w:val="00AF0B3F"/>
    <w:rsid w:val="00AF0CA7"/>
    <w:rsid w:val="00AF14E5"/>
    <w:rsid w:val="00AF1974"/>
    <w:rsid w:val="00AF1AE2"/>
    <w:rsid w:val="00AF1CFF"/>
    <w:rsid w:val="00AF21F6"/>
    <w:rsid w:val="00AF2C3F"/>
    <w:rsid w:val="00AF331D"/>
    <w:rsid w:val="00AF34E0"/>
    <w:rsid w:val="00AF3F58"/>
    <w:rsid w:val="00AF480B"/>
    <w:rsid w:val="00AF4EF9"/>
    <w:rsid w:val="00AF57ED"/>
    <w:rsid w:val="00AF5F8A"/>
    <w:rsid w:val="00AF6058"/>
    <w:rsid w:val="00AF611D"/>
    <w:rsid w:val="00AF683D"/>
    <w:rsid w:val="00AF7204"/>
    <w:rsid w:val="00AF7B87"/>
    <w:rsid w:val="00AF7F6E"/>
    <w:rsid w:val="00B01062"/>
    <w:rsid w:val="00B01110"/>
    <w:rsid w:val="00B01710"/>
    <w:rsid w:val="00B019A7"/>
    <w:rsid w:val="00B01B4F"/>
    <w:rsid w:val="00B0216D"/>
    <w:rsid w:val="00B02262"/>
    <w:rsid w:val="00B028D4"/>
    <w:rsid w:val="00B02E24"/>
    <w:rsid w:val="00B03694"/>
    <w:rsid w:val="00B0394F"/>
    <w:rsid w:val="00B03CEC"/>
    <w:rsid w:val="00B044BD"/>
    <w:rsid w:val="00B05A97"/>
    <w:rsid w:val="00B063A1"/>
    <w:rsid w:val="00B065ED"/>
    <w:rsid w:val="00B06BAD"/>
    <w:rsid w:val="00B06FCA"/>
    <w:rsid w:val="00B07948"/>
    <w:rsid w:val="00B07CAA"/>
    <w:rsid w:val="00B07D26"/>
    <w:rsid w:val="00B1010E"/>
    <w:rsid w:val="00B10243"/>
    <w:rsid w:val="00B105DB"/>
    <w:rsid w:val="00B11747"/>
    <w:rsid w:val="00B1209F"/>
    <w:rsid w:val="00B125C9"/>
    <w:rsid w:val="00B12AD0"/>
    <w:rsid w:val="00B12D68"/>
    <w:rsid w:val="00B12DE3"/>
    <w:rsid w:val="00B12E35"/>
    <w:rsid w:val="00B13985"/>
    <w:rsid w:val="00B14EE1"/>
    <w:rsid w:val="00B15B31"/>
    <w:rsid w:val="00B15CA7"/>
    <w:rsid w:val="00B15D53"/>
    <w:rsid w:val="00B162F1"/>
    <w:rsid w:val="00B16444"/>
    <w:rsid w:val="00B17216"/>
    <w:rsid w:val="00B17BAB"/>
    <w:rsid w:val="00B2017F"/>
    <w:rsid w:val="00B20388"/>
    <w:rsid w:val="00B210DB"/>
    <w:rsid w:val="00B211A8"/>
    <w:rsid w:val="00B213F0"/>
    <w:rsid w:val="00B219A0"/>
    <w:rsid w:val="00B236DD"/>
    <w:rsid w:val="00B23C29"/>
    <w:rsid w:val="00B246D7"/>
    <w:rsid w:val="00B24B97"/>
    <w:rsid w:val="00B24EFB"/>
    <w:rsid w:val="00B24F30"/>
    <w:rsid w:val="00B2534A"/>
    <w:rsid w:val="00B260A1"/>
    <w:rsid w:val="00B26591"/>
    <w:rsid w:val="00B26A2C"/>
    <w:rsid w:val="00B26DB4"/>
    <w:rsid w:val="00B27371"/>
    <w:rsid w:val="00B27D5F"/>
    <w:rsid w:val="00B27F6B"/>
    <w:rsid w:val="00B30B7E"/>
    <w:rsid w:val="00B31ABF"/>
    <w:rsid w:val="00B326F9"/>
    <w:rsid w:val="00B32D0B"/>
    <w:rsid w:val="00B3359A"/>
    <w:rsid w:val="00B335AE"/>
    <w:rsid w:val="00B33E94"/>
    <w:rsid w:val="00B33EFC"/>
    <w:rsid w:val="00B34992"/>
    <w:rsid w:val="00B354A6"/>
    <w:rsid w:val="00B36413"/>
    <w:rsid w:val="00B365E2"/>
    <w:rsid w:val="00B36B90"/>
    <w:rsid w:val="00B37067"/>
    <w:rsid w:val="00B373A1"/>
    <w:rsid w:val="00B37CE1"/>
    <w:rsid w:val="00B37D82"/>
    <w:rsid w:val="00B40ACF"/>
    <w:rsid w:val="00B4184B"/>
    <w:rsid w:val="00B41C44"/>
    <w:rsid w:val="00B4212B"/>
    <w:rsid w:val="00B44865"/>
    <w:rsid w:val="00B45C40"/>
    <w:rsid w:val="00B45E03"/>
    <w:rsid w:val="00B45EA0"/>
    <w:rsid w:val="00B4613B"/>
    <w:rsid w:val="00B46696"/>
    <w:rsid w:val="00B466CB"/>
    <w:rsid w:val="00B46BAA"/>
    <w:rsid w:val="00B476D3"/>
    <w:rsid w:val="00B47DA3"/>
    <w:rsid w:val="00B50B5F"/>
    <w:rsid w:val="00B50CB2"/>
    <w:rsid w:val="00B52FEF"/>
    <w:rsid w:val="00B5339E"/>
    <w:rsid w:val="00B54128"/>
    <w:rsid w:val="00B546A3"/>
    <w:rsid w:val="00B557F0"/>
    <w:rsid w:val="00B55826"/>
    <w:rsid w:val="00B559C0"/>
    <w:rsid w:val="00B55C73"/>
    <w:rsid w:val="00B56ACF"/>
    <w:rsid w:val="00B56C52"/>
    <w:rsid w:val="00B57014"/>
    <w:rsid w:val="00B57B0B"/>
    <w:rsid w:val="00B60426"/>
    <w:rsid w:val="00B60CE5"/>
    <w:rsid w:val="00B60CFF"/>
    <w:rsid w:val="00B614FF"/>
    <w:rsid w:val="00B619B4"/>
    <w:rsid w:val="00B61C88"/>
    <w:rsid w:val="00B622DD"/>
    <w:rsid w:val="00B62D60"/>
    <w:rsid w:val="00B63522"/>
    <w:rsid w:val="00B63A11"/>
    <w:rsid w:val="00B63A9B"/>
    <w:rsid w:val="00B64EFE"/>
    <w:rsid w:val="00B6690C"/>
    <w:rsid w:val="00B66BC5"/>
    <w:rsid w:val="00B66D7E"/>
    <w:rsid w:val="00B67839"/>
    <w:rsid w:val="00B67901"/>
    <w:rsid w:val="00B67CBB"/>
    <w:rsid w:val="00B71892"/>
    <w:rsid w:val="00B71CEE"/>
    <w:rsid w:val="00B72483"/>
    <w:rsid w:val="00B72687"/>
    <w:rsid w:val="00B735D1"/>
    <w:rsid w:val="00B74B05"/>
    <w:rsid w:val="00B75389"/>
    <w:rsid w:val="00B7540D"/>
    <w:rsid w:val="00B765A3"/>
    <w:rsid w:val="00B766C9"/>
    <w:rsid w:val="00B76D0B"/>
    <w:rsid w:val="00B76F1D"/>
    <w:rsid w:val="00B77690"/>
    <w:rsid w:val="00B77C28"/>
    <w:rsid w:val="00B81052"/>
    <w:rsid w:val="00B8106E"/>
    <w:rsid w:val="00B812E1"/>
    <w:rsid w:val="00B816B9"/>
    <w:rsid w:val="00B817F4"/>
    <w:rsid w:val="00B81B2E"/>
    <w:rsid w:val="00B81F8A"/>
    <w:rsid w:val="00B82E98"/>
    <w:rsid w:val="00B82F24"/>
    <w:rsid w:val="00B83F87"/>
    <w:rsid w:val="00B83FDB"/>
    <w:rsid w:val="00B8409E"/>
    <w:rsid w:val="00B84A3E"/>
    <w:rsid w:val="00B84EE1"/>
    <w:rsid w:val="00B86BCA"/>
    <w:rsid w:val="00B86C38"/>
    <w:rsid w:val="00B870C1"/>
    <w:rsid w:val="00B87F72"/>
    <w:rsid w:val="00B900C2"/>
    <w:rsid w:val="00B91993"/>
    <w:rsid w:val="00B92A19"/>
    <w:rsid w:val="00B92ACF"/>
    <w:rsid w:val="00B92B94"/>
    <w:rsid w:val="00B93D76"/>
    <w:rsid w:val="00B944A7"/>
    <w:rsid w:val="00B950AC"/>
    <w:rsid w:val="00B9544C"/>
    <w:rsid w:val="00B961C1"/>
    <w:rsid w:val="00B96319"/>
    <w:rsid w:val="00B97072"/>
    <w:rsid w:val="00B97360"/>
    <w:rsid w:val="00B9764F"/>
    <w:rsid w:val="00BA1A4D"/>
    <w:rsid w:val="00BA1EFA"/>
    <w:rsid w:val="00BA29E9"/>
    <w:rsid w:val="00BA2D8A"/>
    <w:rsid w:val="00BA37A1"/>
    <w:rsid w:val="00BA3DFC"/>
    <w:rsid w:val="00BA43B8"/>
    <w:rsid w:val="00BA4B09"/>
    <w:rsid w:val="00BA4F62"/>
    <w:rsid w:val="00BA682E"/>
    <w:rsid w:val="00BA73CF"/>
    <w:rsid w:val="00BA73E3"/>
    <w:rsid w:val="00BA79CD"/>
    <w:rsid w:val="00BA7E94"/>
    <w:rsid w:val="00BB13D6"/>
    <w:rsid w:val="00BB1E84"/>
    <w:rsid w:val="00BB2534"/>
    <w:rsid w:val="00BB2979"/>
    <w:rsid w:val="00BB2A21"/>
    <w:rsid w:val="00BB2E66"/>
    <w:rsid w:val="00BB33B4"/>
    <w:rsid w:val="00BB35C9"/>
    <w:rsid w:val="00BB3618"/>
    <w:rsid w:val="00BB40C3"/>
    <w:rsid w:val="00BB4195"/>
    <w:rsid w:val="00BB464B"/>
    <w:rsid w:val="00BB46DE"/>
    <w:rsid w:val="00BB54F7"/>
    <w:rsid w:val="00BB59C1"/>
    <w:rsid w:val="00BB5D21"/>
    <w:rsid w:val="00BB627A"/>
    <w:rsid w:val="00BB69C9"/>
    <w:rsid w:val="00BB6CEE"/>
    <w:rsid w:val="00BB6DAE"/>
    <w:rsid w:val="00BB6F71"/>
    <w:rsid w:val="00BC0248"/>
    <w:rsid w:val="00BC05BF"/>
    <w:rsid w:val="00BC0C9E"/>
    <w:rsid w:val="00BC1499"/>
    <w:rsid w:val="00BC196B"/>
    <w:rsid w:val="00BC204D"/>
    <w:rsid w:val="00BC2322"/>
    <w:rsid w:val="00BC2F9D"/>
    <w:rsid w:val="00BC32DC"/>
    <w:rsid w:val="00BC364C"/>
    <w:rsid w:val="00BC3FE1"/>
    <w:rsid w:val="00BC4325"/>
    <w:rsid w:val="00BC4B15"/>
    <w:rsid w:val="00BC4EBD"/>
    <w:rsid w:val="00BC5905"/>
    <w:rsid w:val="00BC66B1"/>
    <w:rsid w:val="00BC71AA"/>
    <w:rsid w:val="00BC765B"/>
    <w:rsid w:val="00BC781E"/>
    <w:rsid w:val="00BC7AB0"/>
    <w:rsid w:val="00BD0320"/>
    <w:rsid w:val="00BD1814"/>
    <w:rsid w:val="00BD1B51"/>
    <w:rsid w:val="00BD1D39"/>
    <w:rsid w:val="00BD2078"/>
    <w:rsid w:val="00BD2395"/>
    <w:rsid w:val="00BD254C"/>
    <w:rsid w:val="00BD2B82"/>
    <w:rsid w:val="00BD2E89"/>
    <w:rsid w:val="00BD35C9"/>
    <w:rsid w:val="00BD3E3B"/>
    <w:rsid w:val="00BD41BD"/>
    <w:rsid w:val="00BD4368"/>
    <w:rsid w:val="00BD47F6"/>
    <w:rsid w:val="00BD4BF0"/>
    <w:rsid w:val="00BD4CE7"/>
    <w:rsid w:val="00BD54EB"/>
    <w:rsid w:val="00BD59E8"/>
    <w:rsid w:val="00BD601C"/>
    <w:rsid w:val="00BD61EF"/>
    <w:rsid w:val="00BD6667"/>
    <w:rsid w:val="00BD6FD5"/>
    <w:rsid w:val="00BD7390"/>
    <w:rsid w:val="00BE03AC"/>
    <w:rsid w:val="00BE0595"/>
    <w:rsid w:val="00BE08A1"/>
    <w:rsid w:val="00BE0DA8"/>
    <w:rsid w:val="00BE1AF0"/>
    <w:rsid w:val="00BE2C9E"/>
    <w:rsid w:val="00BE2EEA"/>
    <w:rsid w:val="00BE3079"/>
    <w:rsid w:val="00BE312D"/>
    <w:rsid w:val="00BE31E0"/>
    <w:rsid w:val="00BE3EC8"/>
    <w:rsid w:val="00BE3FCA"/>
    <w:rsid w:val="00BE4DD8"/>
    <w:rsid w:val="00BE4EB6"/>
    <w:rsid w:val="00BE50F0"/>
    <w:rsid w:val="00BE74FF"/>
    <w:rsid w:val="00BE79E2"/>
    <w:rsid w:val="00BE7E94"/>
    <w:rsid w:val="00BE7F06"/>
    <w:rsid w:val="00BF063A"/>
    <w:rsid w:val="00BF0820"/>
    <w:rsid w:val="00BF1098"/>
    <w:rsid w:val="00BF155D"/>
    <w:rsid w:val="00BF1C45"/>
    <w:rsid w:val="00BF2128"/>
    <w:rsid w:val="00BF2137"/>
    <w:rsid w:val="00BF27AC"/>
    <w:rsid w:val="00BF331C"/>
    <w:rsid w:val="00BF38E5"/>
    <w:rsid w:val="00BF4674"/>
    <w:rsid w:val="00BF49EA"/>
    <w:rsid w:val="00BF4DDD"/>
    <w:rsid w:val="00BF4FF4"/>
    <w:rsid w:val="00BF50D7"/>
    <w:rsid w:val="00BF5F80"/>
    <w:rsid w:val="00BF61BB"/>
    <w:rsid w:val="00BF6CB6"/>
    <w:rsid w:val="00BF72B2"/>
    <w:rsid w:val="00BF7B93"/>
    <w:rsid w:val="00BF7F39"/>
    <w:rsid w:val="00BF7F98"/>
    <w:rsid w:val="00C027B8"/>
    <w:rsid w:val="00C02E44"/>
    <w:rsid w:val="00C0381F"/>
    <w:rsid w:val="00C045B4"/>
    <w:rsid w:val="00C0517F"/>
    <w:rsid w:val="00C05667"/>
    <w:rsid w:val="00C05719"/>
    <w:rsid w:val="00C05B20"/>
    <w:rsid w:val="00C06138"/>
    <w:rsid w:val="00C06529"/>
    <w:rsid w:val="00C069CB"/>
    <w:rsid w:val="00C06CD0"/>
    <w:rsid w:val="00C06CDE"/>
    <w:rsid w:val="00C10466"/>
    <w:rsid w:val="00C10578"/>
    <w:rsid w:val="00C107CD"/>
    <w:rsid w:val="00C10A2D"/>
    <w:rsid w:val="00C11358"/>
    <w:rsid w:val="00C1180E"/>
    <w:rsid w:val="00C12698"/>
    <w:rsid w:val="00C12780"/>
    <w:rsid w:val="00C12946"/>
    <w:rsid w:val="00C12982"/>
    <w:rsid w:val="00C12A4F"/>
    <w:rsid w:val="00C12C78"/>
    <w:rsid w:val="00C1301B"/>
    <w:rsid w:val="00C13178"/>
    <w:rsid w:val="00C133CE"/>
    <w:rsid w:val="00C13DAD"/>
    <w:rsid w:val="00C14614"/>
    <w:rsid w:val="00C15142"/>
    <w:rsid w:val="00C17D62"/>
    <w:rsid w:val="00C212B9"/>
    <w:rsid w:val="00C21C86"/>
    <w:rsid w:val="00C21FDC"/>
    <w:rsid w:val="00C22157"/>
    <w:rsid w:val="00C22DFB"/>
    <w:rsid w:val="00C2319B"/>
    <w:rsid w:val="00C23683"/>
    <w:rsid w:val="00C23CEE"/>
    <w:rsid w:val="00C23E86"/>
    <w:rsid w:val="00C24011"/>
    <w:rsid w:val="00C24252"/>
    <w:rsid w:val="00C24EE7"/>
    <w:rsid w:val="00C2596A"/>
    <w:rsid w:val="00C262C5"/>
    <w:rsid w:val="00C26C9B"/>
    <w:rsid w:val="00C271BE"/>
    <w:rsid w:val="00C27425"/>
    <w:rsid w:val="00C27EB7"/>
    <w:rsid w:val="00C30871"/>
    <w:rsid w:val="00C30D37"/>
    <w:rsid w:val="00C31036"/>
    <w:rsid w:val="00C3113A"/>
    <w:rsid w:val="00C318DC"/>
    <w:rsid w:val="00C31DD3"/>
    <w:rsid w:val="00C328FE"/>
    <w:rsid w:val="00C32A0A"/>
    <w:rsid w:val="00C33A05"/>
    <w:rsid w:val="00C344BD"/>
    <w:rsid w:val="00C34564"/>
    <w:rsid w:val="00C35B26"/>
    <w:rsid w:val="00C35BA4"/>
    <w:rsid w:val="00C36269"/>
    <w:rsid w:val="00C364FD"/>
    <w:rsid w:val="00C366D1"/>
    <w:rsid w:val="00C36886"/>
    <w:rsid w:val="00C36987"/>
    <w:rsid w:val="00C36BAE"/>
    <w:rsid w:val="00C36D52"/>
    <w:rsid w:val="00C400AB"/>
    <w:rsid w:val="00C40186"/>
    <w:rsid w:val="00C401A2"/>
    <w:rsid w:val="00C4023A"/>
    <w:rsid w:val="00C4048C"/>
    <w:rsid w:val="00C40692"/>
    <w:rsid w:val="00C40E40"/>
    <w:rsid w:val="00C411AF"/>
    <w:rsid w:val="00C419AE"/>
    <w:rsid w:val="00C41AFC"/>
    <w:rsid w:val="00C41C09"/>
    <w:rsid w:val="00C41C39"/>
    <w:rsid w:val="00C4200A"/>
    <w:rsid w:val="00C42062"/>
    <w:rsid w:val="00C42500"/>
    <w:rsid w:val="00C429E2"/>
    <w:rsid w:val="00C42FC2"/>
    <w:rsid w:val="00C43232"/>
    <w:rsid w:val="00C43C59"/>
    <w:rsid w:val="00C43D67"/>
    <w:rsid w:val="00C43FD6"/>
    <w:rsid w:val="00C4409D"/>
    <w:rsid w:val="00C44185"/>
    <w:rsid w:val="00C4466C"/>
    <w:rsid w:val="00C44C0E"/>
    <w:rsid w:val="00C4531D"/>
    <w:rsid w:val="00C45520"/>
    <w:rsid w:val="00C455BE"/>
    <w:rsid w:val="00C45BBB"/>
    <w:rsid w:val="00C4601D"/>
    <w:rsid w:val="00C463F1"/>
    <w:rsid w:val="00C46813"/>
    <w:rsid w:val="00C46B6C"/>
    <w:rsid w:val="00C46FA8"/>
    <w:rsid w:val="00C47186"/>
    <w:rsid w:val="00C47FA7"/>
    <w:rsid w:val="00C501DF"/>
    <w:rsid w:val="00C51190"/>
    <w:rsid w:val="00C514D8"/>
    <w:rsid w:val="00C51CFB"/>
    <w:rsid w:val="00C51E5F"/>
    <w:rsid w:val="00C5227B"/>
    <w:rsid w:val="00C52841"/>
    <w:rsid w:val="00C532AB"/>
    <w:rsid w:val="00C536BA"/>
    <w:rsid w:val="00C53D3E"/>
    <w:rsid w:val="00C5407A"/>
    <w:rsid w:val="00C5446F"/>
    <w:rsid w:val="00C55EFA"/>
    <w:rsid w:val="00C55F84"/>
    <w:rsid w:val="00C563DC"/>
    <w:rsid w:val="00C5667D"/>
    <w:rsid w:val="00C569C6"/>
    <w:rsid w:val="00C56FAF"/>
    <w:rsid w:val="00C570FB"/>
    <w:rsid w:val="00C575B1"/>
    <w:rsid w:val="00C6034B"/>
    <w:rsid w:val="00C607E2"/>
    <w:rsid w:val="00C60AF0"/>
    <w:rsid w:val="00C61284"/>
    <w:rsid w:val="00C6148D"/>
    <w:rsid w:val="00C617F1"/>
    <w:rsid w:val="00C61E4B"/>
    <w:rsid w:val="00C620B0"/>
    <w:rsid w:val="00C62112"/>
    <w:rsid w:val="00C62187"/>
    <w:rsid w:val="00C62D28"/>
    <w:rsid w:val="00C62E3A"/>
    <w:rsid w:val="00C62E9C"/>
    <w:rsid w:val="00C63A60"/>
    <w:rsid w:val="00C641EE"/>
    <w:rsid w:val="00C64503"/>
    <w:rsid w:val="00C64941"/>
    <w:rsid w:val="00C64A1F"/>
    <w:rsid w:val="00C64BFF"/>
    <w:rsid w:val="00C66174"/>
    <w:rsid w:val="00C663AD"/>
    <w:rsid w:val="00C665BB"/>
    <w:rsid w:val="00C666B9"/>
    <w:rsid w:val="00C66888"/>
    <w:rsid w:val="00C668E1"/>
    <w:rsid w:val="00C66A1E"/>
    <w:rsid w:val="00C66DCA"/>
    <w:rsid w:val="00C66F7F"/>
    <w:rsid w:val="00C708B1"/>
    <w:rsid w:val="00C7123C"/>
    <w:rsid w:val="00C73B1B"/>
    <w:rsid w:val="00C743C5"/>
    <w:rsid w:val="00C7455E"/>
    <w:rsid w:val="00C74EEE"/>
    <w:rsid w:val="00C7511B"/>
    <w:rsid w:val="00C752CC"/>
    <w:rsid w:val="00C757DC"/>
    <w:rsid w:val="00C75A0D"/>
    <w:rsid w:val="00C763C9"/>
    <w:rsid w:val="00C76629"/>
    <w:rsid w:val="00C76F2C"/>
    <w:rsid w:val="00C77F7A"/>
    <w:rsid w:val="00C80057"/>
    <w:rsid w:val="00C80519"/>
    <w:rsid w:val="00C81C3E"/>
    <w:rsid w:val="00C82735"/>
    <w:rsid w:val="00C82C50"/>
    <w:rsid w:val="00C82C79"/>
    <w:rsid w:val="00C831C8"/>
    <w:rsid w:val="00C83661"/>
    <w:rsid w:val="00C844B1"/>
    <w:rsid w:val="00C8472B"/>
    <w:rsid w:val="00C84753"/>
    <w:rsid w:val="00C8522B"/>
    <w:rsid w:val="00C8526C"/>
    <w:rsid w:val="00C852B6"/>
    <w:rsid w:val="00C85A35"/>
    <w:rsid w:val="00C85C19"/>
    <w:rsid w:val="00C85EFB"/>
    <w:rsid w:val="00C8629D"/>
    <w:rsid w:val="00C87174"/>
    <w:rsid w:val="00C872EE"/>
    <w:rsid w:val="00C87879"/>
    <w:rsid w:val="00C905E1"/>
    <w:rsid w:val="00C91611"/>
    <w:rsid w:val="00C91733"/>
    <w:rsid w:val="00C9260A"/>
    <w:rsid w:val="00C92715"/>
    <w:rsid w:val="00C9288A"/>
    <w:rsid w:val="00C93184"/>
    <w:rsid w:val="00C947D9"/>
    <w:rsid w:val="00C95493"/>
    <w:rsid w:val="00C9556E"/>
    <w:rsid w:val="00C95EEF"/>
    <w:rsid w:val="00C95F42"/>
    <w:rsid w:val="00C96BE3"/>
    <w:rsid w:val="00C96BE9"/>
    <w:rsid w:val="00C97446"/>
    <w:rsid w:val="00CA09ED"/>
    <w:rsid w:val="00CA110B"/>
    <w:rsid w:val="00CA21E4"/>
    <w:rsid w:val="00CA24F1"/>
    <w:rsid w:val="00CA2751"/>
    <w:rsid w:val="00CA3585"/>
    <w:rsid w:val="00CA3591"/>
    <w:rsid w:val="00CA3D5A"/>
    <w:rsid w:val="00CA419F"/>
    <w:rsid w:val="00CA48E6"/>
    <w:rsid w:val="00CA4C7C"/>
    <w:rsid w:val="00CA57A0"/>
    <w:rsid w:val="00CA700B"/>
    <w:rsid w:val="00CA7396"/>
    <w:rsid w:val="00CA7A2E"/>
    <w:rsid w:val="00CB0183"/>
    <w:rsid w:val="00CB06DD"/>
    <w:rsid w:val="00CB1917"/>
    <w:rsid w:val="00CB1EA3"/>
    <w:rsid w:val="00CB2848"/>
    <w:rsid w:val="00CB28FB"/>
    <w:rsid w:val="00CB2F21"/>
    <w:rsid w:val="00CB33C4"/>
    <w:rsid w:val="00CB3A5B"/>
    <w:rsid w:val="00CB3A95"/>
    <w:rsid w:val="00CB3C38"/>
    <w:rsid w:val="00CB3DFB"/>
    <w:rsid w:val="00CB552C"/>
    <w:rsid w:val="00CB5943"/>
    <w:rsid w:val="00CB59E3"/>
    <w:rsid w:val="00CB6113"/>
    <w:rsid w:val="00CB61E2"/>
    <w:rsid w:val="00CB6A9E"/>
    <w:rsid w:val="00CB7FC9"/>
    <w:rsid w:val="00CC0E82"/>
    <w:rsid w:val="00CC1488"/>
    <w:rsid w:val="00CC18B4"/>
    <w:rsid w:val="00CC1F58"/>
    <w:rsid w:val="00CC2139"/>
    <w:rsid w:val="00CC258D"/>
    <w:rsid w:val="00CC32A1"/>
    <w:rsid w:val="00CC40D3"/>
    <w:rsid w:val="00CC56CD"/>
    <w:rsid w:val="00CC6053"/>
    <w:rsid w:val="00CC614A"/>
    <w:rsid w:val="00CC6181"/>
    <w:rsid w:val="00CC6216"/>
    <w:rsid w:val="00CC6BD5"/>
    <w:rsid w:val="00CC73CC"/>
    <w:rsid w:val="00CC7AC1"/>
    <w:rsid w:val="00CD0207"/>
    <w:rsid w:val="00CD03C6"/>
    <w:rsid w:val="00CD07B7"/>
    <w:rsid w:val="00CD17DB"/>
    <w:rsid w:val="00CD2811"/>
    <w:rsid w:val="00CD2BCD"/>
    <w:rsid w:val="00CD36AA"/>
    <w:rsid w:val="00CD3791"/>
    <w:rsid w:val="00CD41BB"/>
    <w:rsid w:val="00CD435E"/>
    <w:rsid w:val="00CD439C"/>
    <w:rsid w:val="00CD4AA2"/>
    <w:rsid w:val="00CD4B80"/>
    <w:rsid w:val="00CD633B"/>
    <w:rsid w:val="00CD65B0"/>
    <w:rsid w:val="00CD6808"/>
    <w:rsid w:val="00CD6959"/>
    <w:rsid w:val="00CD72ED"/>
    <w:rsid w:val="00CD7A99"/>
    <w:rsid w:val="00CD7F07"/>
    <w:rsid w:val="00CE02CD"/>
    <w:rsid w:val="00CE03A1"/>
    <w:rsid w:val="00CE09B8"/>
    <w:rsid w:val="00CE10E9"/>
    <w:rsid w:val="00CE1AF7"/>
    <w:rsid w:val="00CE2459"/>
    <w:rsid w:val="00CE2713"/>
    <w:rsid w:val="00CE31A8"/>
    <w:rsid w:val="00CE3A14"/>
    <w:rsid w:val="00CE4A3C"/>
    <w:rsid w:val="00CE4C2D"/>
    <w:rsid w:val="00CE4F21"/>
    <w:rsid w:val="00CE5E65"/>
    <w:rsid w:val="00CE5F47"/>
    <w:rsid w:val="00CE643E"/>
    <w:rsid w:val="00CE7F48"/>
    <w:rsid w:val="00CF066A"/>
    <w:rsid w:val="00CF07BB"/>
    <w:rsid w:val="00CF2E26"/>
    <w:rsid w:val="00CF31C8"/>
    <w:rsid w:val="00CF3259"/>
    <w:rsid w:val="00CF4827"/>
    <w:rsid w:val="00CF48D6"/>
    <w:rsid w:val="00CF608A"/>
    <w:rsid w:val="00CF63A8"/>
    <w:rsid w:val="00CF671B"/>
    <w:rsid w:val="00CF678D"/>
    <w:rsid w:val="00CF7950"/>
    <w:rsid w:val="00CF79FF"/>
    <w:rsid w:val="00CF7C09"/>
    <w:rsid w:val="00CF7DF5"/>
    <w:rsid w:val="00D002B7"/>
    <w:rsid w:val="00D004A8"/>
    <w:rsid w:val="00D0070F"/>
    <w:rsid w:val="00D0072E"/>
    <w:rsid w:val="00D007BC"/>
    <w:rsid w:val="00D01F26"/>
    <w:rsid w:val="00D028FC"/>
    <w:rsid w:val="00D02C8A"/>
    <w:rsid w:val="00D03E22"/>
    <w:rsid w:val="00D054B7"/>
    <w:rsid w:val="00D055C6"/>
    <w:rsid w:val="00D05766"/>
    <w:rsid w:val="00D057DA"/>
    <w:rsid w:val="00D05E73"/>
    <w:rsid w:val="00D06DE8"/>
    <w:rsid w:val="00D07068"/>
    <w:rsid w:val="00D079F6"/>
    <w:rsid w:val="00D07D52"/>
    <w:rsid w:val="00D1020A"/>
    <w:rsid w:val="00D10AF5"/>
    <w:rsid w:val="00D1113D"/>
    <w:rsid w:val="00D1132E"/>
    <w:rsid w:val="00D1158B"/>
    <w:rsid w:val="00D11C1D"/>
    <w:rsid w:val="00D11C2C"/>
    <w:rsid w:val="00D11CDA"/>
    <w:rsid w:val="00D120E8"/>
    <w:rsid w:val="00D12261"/>
    <w:rsid w:val="00D12328"/>
    <w:rsid w:val="00D12422"/>
    <w:rsid w:val="00D1258D"/>
    <w:rsid w:val="00D12688"/>
    <w:rsid w:val="00D1301D"/>
    <w:rsid w:val="00D13618"/>
    <w:rsid w:val="00D13DDE"/>
    <w:rsid w:val="00D1463F"/>
    <w:rsid w:val="00D15109"/>
    <w:rsid w:val="00D1551B"/>
    <w:rsid w:val="00D15727"/>
    <w:rsid w:val="00D15AC5"/>
    <w:rsid w:val="00D15E06"/>
    <w:rsid w:val="00D16332"/>
    <w:rsid w:val="00D16479"/>
    <w:rsid w:val="00D16B64"/>
    <w:rsid w:val="00D16C7C"/>
    <w:rsid w:val="00D1700D"/>
    <w:rsid w:val="00D17560"/>
    <w:rsid w:val="00D1767C"/>
    <w:rsid w:val="00D17F33"/>
    <w:rsid w:val="00D207A9"/>
    <w:rsid w:val="00D20DF6"/>
    <w:rsid w:val="00D21F8F"/>
    <w:rsid w:val="00D22223"/>
    <w:rsid w:val="00D222DF"/>
    <w:rsid w:val="00D22A3B"/>
    <w:rsid w:val="00D22BC7"/>
    <w:rsid w:val="00D23020"/>
    <w:rsid w:val="00D23190"/>
    <w:rsid w:val="00D23AB0"/>
    <w:rsid w:val="00D2415B"/>
    <w:rsid w:val="00D24972"/>
    <w:rsid w:val="00D2515E"/>
    <w:rsid w:val="00D26082"/>
    <w:rsid w:val="00D27C06"/>
    <w:rsid w:val="00D27D73"/>
    <w:rsid w:val="00D303B0"/>
    <w:rsid w:val="00D308ED"/>
    <w:rsid w:val="00D315B9"/>
    <w:rsid w:val="00D318A2"/>
    <w:rsid w:val="00D32156"/>
    <w:rsid w:val="00D32659"/>
    <w:rsid w:val="00D3289E"/>
    <w:rsid w:val="00D32A3A"/>
    <w:rsid w:val="00D33C2A"/>
    <w:rsid w:val="00D34E0C"/>
    <w:rsid w:val="00D357EA"/>
    <w:rsid w:val="00D35C01"/>
    <w:rsid w:val="00D3606E"/>
    <w:rsid w:val="00D36AAF"/>
    <w:rsid w:val="00D36B11"/>
    <w:rsid w:val="00D408C5"/>
    <w:rsid w:val="00D40D2E"/>
    <w:rsid w:val="00D41249"/>
    <w:rsid w:val="00D41638"/>
    <w:rsid w:val="00D41BF2"/>
    <w:rsid w:val="00D41D9F"/>
    <w:rsid w:val="00D41E1B"/>
    <w:rsid w:val="00D41FA5"/>
    <w:rsid w:val="00D41FCD"/>
    <w:rsid w:val="00D421C2"/>
    <w:rsid w:val="00D42876"/>
    <w:rsid w:val="00D42A5A"/>
    <w:rsid w:val="00D42B7B"/>
    <w:rsid w:val="00D43471"/>
    <w:rsid w:val="00D442CC"/>
    <w:rsid w:val="00D449BF"/>
    <w:rsid w:val="00D44BCD"/>
    <w:rsid w:val="00D46497"/>
    <w:rsid w:val="00D464B3"/>
    <w:rsid w:val="00D47463"/>
    <w:rsid w:val="00D477B3"/>
    <w:rsid w:val="00D47B76"/>
    <w:rsid w:val="00D50A29"/>
    <w:rsid w:val="00D50EC9"/>
    <w:rsid w:val="00D51285"/>
    <w:rsid w:val="00D52B96"/>
    <w:rsid w:val="00D531BE"/>
    <w:rsid w:val="00D53414"/>
    <w:rsid w:val="00D5351D"/>
    <w:rsid w:val="00D549F6"/>
    <w:rsid w:val="00D551E2"/>
    <w:rsid w:val="00D5532A"/>
    <w:rsid w:val="00D55691"/>
    <w:rsid w:val="00D56178"/>
    <w:rsid w:val="00D56CF0"/>
    <w:rsid w:val="00D56F5C"/>
    <w:rsid w:val="00D57DEE"/>
    <w:rsid w:val="00D61820"/>
    <w:rsid w:val="00D626F3"/>
    <w:rsid w:val="00D6275F"/>
    <w:rsid w:val="00D6281B"/>
    <w:rsid w:val="00D62FE8"/>
    <w:rsid w:val="00D63646"/>
    <w:rsid w:val="00D63BA5"/>
    <w:rsid w:val="00D63DC1"/>
    <w:rsid w:val="00D644CE"/>
    <w:rsid w:val="00D64F6C"/>
    <w:rsid w:val="00D657BC"/>
    <w:rsid w:val="00D659BF"/>
    <w:rsid w:val="00D65D99"/>
    <w:rsid w:val="00D65F74"/>
    <w:rsid w:val="00D6635E"/>
    <w:rsid w:val="00D66F50"/>
    <w:rsid w:val="00D676B4"/>
    <w:rsid w:val="00D676EF"/>
    <w:rsid w:val="00D701B3"/>
    <w:rsid w:val="00D704B1"/>
    <w:rsid w:val="00D70A0E"/>
    <w:rsid w:val="00D70B63"/>
    <w:rsid w:val="00D71440"/>
    <w:rsid w:val="00D714D8"/>
    <w:rsid w:val="00D71734"/>
    <w:rsid w:val="00D72464"/>
    <w:rsid w:val="00D72B92"/>
    <w:rsid w:val="00D72ED4"/>
    <w:rsid w:val="00D7302D"/>
    <w:rsid w:val="00D730CB"/>
    <w:rsid w:val="00D731EB"/>
    <w:rsid w:val="00D73F61"/>
    <w:rsid w:val="00D745AD"/>
    <w:rsid w:val="00D745D2"/>
    <w:rsid w:val="00D74A6A"/>
    <w:rsid w:val="00D754C0"/>
    <w:rsid w:val="00D766F1"/>
    <w:rsid w:val="00D76934"/>
    <w:rsid w:val="00D76C08"/>
    <w:rsid w:val="00D7704B"/>
    <w:rsid w:val="00D7757B"/>
    <w:rsid w:val="00D776A2"/>
    <w:rsid w:val="00D77CE7"/>
    <w:rsid w:val="00D801C4"/>
    <w:rsid w:val="00D80E46"/>
    <w:rsid w:val="00D811BD"/>
    <w:rsid w:val="00D8186C"/>
    <w:rsid w:val="00D8225E"/>
    <w:rsid w:val="00D82308"/>
    <w:rsid w:val="00D82D0A"/>
    <w:rsid w:val="00D8359C"/>
    <w:rsid w:val="00D83D10"/>
    <w:rsid w:val="00D83E87"/>
    <w:rsid w:val="00D85270"/>
    <w:rsid w:val="00D858E5"/>
    <w:rsid w:val="00D86DCD"/>
    <w:rsid w:val="00D86FD8"/>
    <w:rsid w:val="00D87711"/>
    <w:rsid w:val="00D87AE6"/>
    <w:rsid w:val="00D9053C"/>
    <w:rsid w:val="00D90836"/>
    <w:rsid w:val="00D92720"/>
    <w:rsid w:val="00D92DA4"/>
    <w:rsid w:val="00D931C6"/>
    <w:rsid w:val="00D93441"/>
    <w:rsid w:val="00D936ED"/>
    <w:rsid w:val="00D93B0A"/>
    <w:rsid w:val="00D93B32"/>
    <w:rsid w:val="00D93F17"/>
    <w:rsid w:val="00D95896"/>
    <w:rsid w:val="00D95CC6"/>
    <w:rsid w:val="00D966B3"/>
    <w:rsid w:val="00D9732E"/>
    <w:rsid w:val="00D97892"/>
    <w:rsid w:val="00DA0C18"/>
    <w:rsid w:val="00DA19BB"/>
    <w:rsid w:val="00DA2A82"/>
    <w:rsid w:val="00DA2DA3"/>
    <w:rsid w:val="00DA3340"/>
    <w:rsid w:val="00DA3882"/>
    <w:rsid w:val="00DA3DBA"/>
    <w:rsid w:val="00DA413E"/>
    <w:rsid w:val="00DA415B"/>
    <w:rsid w:val="00DA4AF9"/>
    <w:rsid w:val="00DA4C68"/>
    <w:rsid w:val="00DA5B72"/>
    <w:rsid w:val="00DA6615"/>
    <w:rsid w:val="00DA6D12"/>
    <w:rsid w:val="00DA76AE"/>
    <w:rsid w:val="00DA7827"/>
    <w:rsid w:val="00DA796D"/>
    <w:rsid w:val="00DB0658"/>
    <w:rsid w:val="00DB0A90"/>
    <w:rsid w:val="00DB181E"/>
    <w:rsid w:val="00DB1C7A"/>
    <w:rsid w:val="00DB22FB"/>
    <w:rsid w:val="00DB2983"/>
    <w:rsid w:val="00DB2CD8"/>
    <w:rsid w:val="00DB31E9"/>
    <w:rsid w:val="00DB343D"/>
    <w:rsid w:val="00DB3ACC"/>
    <w:rsid w:val="00DB3B66"/>
    <w:rsid w:val="00DB4987"/>
    <w:rsid w:val="00DB5579"/>
    <w:rsid w:val="00DB5A00"/>
    <w:rsid w:val="00DB5CFE"/>
    <w:rsid w:val="00DB6D1E"/>
    <w:rsid w:val="00DB7906"/>
    <w:rsid w:val="00DB7EB4"/>
    <w:rsid w:val="00DC0287"/>
    <w:rsid w:val="00DC0E6C"/>
    <w:rsid w:val="00DC0FCB"/>
    <w:rsid w:val="00DC1174"/>
    <w:rsid w:val="00DC1D91"/>
    <w:rsid w:val="00DC2714"/>
    <w:rsid w:val="00DC2FA4"/>
    <w:rsid w:val="00DC3881"/>
    <w:rsid w:val="00DC43A0"/>
    <w:rsid w:val="00DC466F"/>
    <w:rsid w:val="00DC4B91"/>
    <w:rsid w:val="00DC5F48"/>
    <w:rsid w:val="00DC6001"/>
    <w:rsid w:val="00DC72A6"/>
    <w:rsid w:val="00DC74C8"/>
    <w:rsid w:val="00DC7967"/>
    <w:rsid w:val="00DD0F43"/>
    <w:rsid w:val="00DD149F"/>
    <w:rsid w:val="00DD2113"/>
    <w:rsid w:val="00DD265E"/>
    <w:rsid w:val="00DD378A"/>
    <w:rsid w:val="00DD397E"/>
    <w:rsid w:val="00DD4A8C"/>
    <w:rsid w:val="00DD5215"/>
    <w:rsid w:val="00DD560C"/>
    <w:rsid w:val="00DD6540"/>
    <w:rsid w:val="00DD665B"/>
    <w:rsid w:val="00DD6AF1"/>
    <w:rsid w:val="00DD79E9"/>
    <w:rsid w:val="00DE0898"/>
    <w:rsid w:val="00DE10BC"/>
    <w:rsid w:val="00DE1521"/>
    <w:rsid w:val="00DE153F"/>
    <w:rsid w:val="00DE1576"/>
    <w:rsid w:val="00DE221C"/>
    <w:rsid w:val="00DE2AD4"/>
    <w:rsid w:val="00DE3298"/>
    <w:rsid w:val="00DE32EE"/>
    <w:rsid w:val="00DE3DA5"/>
    <w:rsid w:val="00DE4E24"/>
    <w:rsid w:val="00DE65B2"/>
    <w:rsid w:val="00DE6F6A"/>
    <w:rsid w:val="00DE7D37"/>
    <w:rsid w:val="00DF048C"/>
    <w:rsid w:val="00DF0D0B"/>
    <w:rsid w:val="00DF0E57"/>
    <w:rsid w:val="00DF11DF"/>
    <w:rsid w:val="00DF1930"/>
    <w:rsid w:val="00DF3223"/>
    <w:rsid w:val="00DF32C0"/>
    <w:rsid w:val="00DF514A"/>
    <w:rsid w:val="00DF55EC"/>
    <w:rsid w:val="00DF58C6"/>
    <w:rsid w:val="00DF605F"/>
    <w:rsid w:val="00DF6A4B"/>
    <w:rsid w:val="00DF7758"/>
    <w:rsid w:val="00DF79C6"/>
    <w:rsid w:val="00DF7C10"/>
    <w:rsid w:val="00DF7CAD"/>
    <w:rsid w:val="00E007D8"/>
    <w:rsid w:val="00E01C94"/>
    <w:rsid w:val="00E01EBB"/>
    <w:rsid w:val="00E028CB"/>
    <w:rsid w:val="00E02C53"/>
    <w:rsid w:val="00E0301B"/>
    <w:rsid w:val="00E0358D"/>
    <w:rsid w:val="00E03BAE"/>
    <w:rsid w:val="00E04B2C"/>
    <w:rsid w:val="00E05008"/>
    <w:rsid w:val="00E0528A"/>
    <w:rsid w:val="00E06327"/>
    <w:rsid w:val="00E0634A"/>
    <w:rsid w:val="00E063DE"/>
    <w:rsid w:val="00E10589"/>
    <w:rsid w:val="00E107DB"/>
    <w:rsid w:val="00E11C36"/>
    <w:rsid w:val="00E11D86"/>
    <w:rsid w:val="00E126C9"/>
    <w:rsid w:val="00E138D4"/>
    <w:rsid w:val="00E13C47"/>
    <w:rsid w:val="00E165A6"/>
    <w:rsid w:val="00E166E6"/>
    <w:rsid w:val="00E2064B"/>
    <w:rsid w:val="00E20710"/>
    <w:rsid w:val="00E20D9C"/>
    <w:rsid w:val="00E214E2"/>
    <w:rsid w:val="00E2157D"/>
    <w:rsid w:val="00E2168D"/>
    <w:rsid w:val="00E216B2"/>
    <w:rsid w:val="00E21C44"/>
    <w:rsid w:val="00E21C97"/>
    <w:rsid w:val="00E22335"/>
    <w:rsid w:val="00E22CA2"/>
    <w:rsid w:val="00E22EAE"/>
    <w:rsid w:val="00E23B9A"/>
    <w:rsid w:val="00E241A9"/>
    <w:rsid w:val="00E24D44"/>
    <w:rsid w:val="00E24F69"/>
    <w:rsid w:val="00E25239"/>
    <w:rsid w:val="00E25620"/>
    <w:rsid w:val="00E2592D"/>
    <w:rsid w:val="00E25E81"/>
    <w:rsid w:val="00E265B1"/>
    <w:rsid w:val="00E275B0"/>
    <w:rsid w:val="00E3050D"/>
    <w:rsid w:val="00E305C5"/>
    <w:rsid w:val="00E306A5"/>
    <w:rsid w:val="00E309FE"/>
    <w:rsid w:val="00E31198"/>
    <w:rsid w:val="00E31FD7"/>
    <w:rsid w:val="00E32546"/>
    <w:rsid w:val="00E32574"/>
    <w:rsid w:val="00E3258A"/>
    <w:rsid w:val="00E339FD"/>
    <w:rsid w:val="00E33DC7"/>
    <w:rsid w:val="00E33E7B"/>
    <w:rsid w:val="00E34EA0"/>
    <w:rsid w:val="00E352B3"/>
    <w:rsid w:val="00E35564"/>
    <w:rsid w:val="00E364ED"/>
    <w:rsid w:val="00E36E9C"/>
    <w:rsid w:val="00E40C08"/>
    <w:rsid w:val="00E412D0"/>
    <w:rsid w:val="00E4166D"/>
    <w:rsid w:val="00E41AA9"/>
    <w:rsid w:val="00E41C2B"/>
    <w:rsid w:val="00E425EB"/>
    <w:rsid w:val="00E427EF"/>
    <w:rsid w:val="00E43106"/>
    <w:rsid w:val="00E43388"/>
    <w:rsid w:val="00E4366B"/>
    <w:rsid w:val="00E43A79"/>
    <w:rsid w:val="00E454AF"/>
    <w:rsid w:val="00E47590"/>
    <w:rsid w:val="00E47608"/>
    <w:rsid w:val="00E47CDB"/>
    <w:rsid w:val="00E5007C"/>
    <w:rsid w:val="00E50200"/>
    <w:rsid w:val="00E5082F"/>
    <w:rsid w:val="00E5163A"/>
    <w:rsid w:val="00E51C49"/>
    <w:rsid w:val="00E51E48"/>
    <w:rsid w:val="00E530FC"/>
    <w:rsid w:val="00E53138"/>
    <w:rsid w:val="00E53665"/>
    <w:rsid w:val="00E545C2"/>
    <w:rsid w:val="00E5463F"/>
    <w:rsid w:val="00E55016"/>
    <w:rsid w:val="00E55398"/>
    <w:rsid w:val="00E55B9A"/>
    <w:rsid w:val="00E560DF"/>
    <w:rsid w:val="00E5624B"/>
    <w:rsid w:val="00E566BC"/>
    <w:rsid w:val="00E57D92"/>
    <w:rsid w:val="00E57DDF"/>
    <w:rsid w:val="00E60982"/>
    <w:rsid w:val="00E60C8D"/>
    <w:rsid w:val="00E60F31"/>
    <w:rsid w:val="00E6162F"/>
    <w:rsid w:val="00E61ED0"/>
    <w:rsid w:val="00E62264"/>
    <w:rsid w:val="00E6280B"/>
    <w:rsid w:val="00E62B3B"/>
    <w:rsid w:val="00E6311B"/>
    <w:rsid w:val="00E63BD3"/>
    <w:rsid w:val="00E646DF"/>
    <w:rsid w:val="00E65D97"/>
    <w:rsid w:val="00E6637D"/>
    <w:rsid w:val="00E6797E"/>
    <w:rsid w:val="00E67BD4"/>
    <w:rsid w:val="00E67EFD"/>
    <w:rsid w:val="00E702DC"/>
    <w:rsid w:val="00E70AA1"/>
    <w:rsid w:val="00E70F7A"/>
    <w:rsid w:val="00E715FA"/>
    <w:rsid w:val="00E71DC3"/>
    <w:rsid w:val="00E71E84"/>
    <w:rsid w:val="00E71FFB"/>
    <w:rsid w:val="00E721DF"/>
    <w:rsid w:val="00E7275B"/>
    <w:rsid w:val="00E72ED7"/>
    <w:rsid w:val="00E73343"/>
    <w:rsid w:val="00E73648"/>
    <w:rsid w:val="00E736D3"/>
    <w:rsid w:val="00E73F88"/>
    <w:rsid w:val="00E744BC"/>
    <w:rsid w:val="00E752FE"/>
    <w:rsid w:val="00E757E5"/>
    <w:rsid w:val="00E7586F"/>
    <w:rsid w:val="00E75E8D"/>
    <w:rsid w:val="00E75F01"/>
    <w:rsid w:val="00E767B0"/>
    <w:rsid w:val="00E76D1D"/>
    <w:rsid w:val="00E806F8"/>
    <w:rsid w:val="00E81A94"/>
    <w:rsid w:val="00E82073"/>
    <w:rsid w:val="00E83634"/>
    <w:rsid w:val="00E83E1F"/>
    <w:rsid w:val="00E83F92"/>
    <w:rsid w:val="00E846AC"/>
    <w:rsid w:val="00E8525C"/>
    <w:rsid w:val="00E85535"/>
    <w:rsid w:val="00E85652"/>
    <w:rsid w:val="00E865AF"/>
    <w:rsid w:val="00E86DBD"/>
    <w:rsid w:val="00E87000"/>
    <w:rsid w:val="00E87752"/>
    <w:rsid w:val="00E8793B"/>
    <w:rsid w:val="00E87F7E"/>
    <w:rsid w:val="00E87FD4"/>
    <w:rsid w:val="00E908CB"/>
    <w:rsid w:val="00E90C31"/>
    <w:rsid w:val="00E90F81"/>
    <w:rsid w:val="00E91A6D"/>
    <w:rsid w:val="00E92035"/>
    <w:rsid w:val="00E92259"/>
    <w:rsid w:val="00E9242D"/>
    <w:rsid w:val="00E92B4B"/>
    <w:rsid w:val="00E92F1F"/>
    <w:rsid w:val="00E94484"/>
    <w:rsid w:val="00E945E9"/>
    <w:rsid w:val="00E946D7"/>
    <w:rsid w:val="00E94A7D"/>
    <w:rsid w:val="00E94D9D"/>
    <w:rsid w:val="00E9542C"/>
    <w:rsid w:val="00E9551E"/>
    <w:rsid w:val="00E9696B"/>
    <w:rsid w:val="00E96E21"/>
    <w:rsid w:val="00E97076"/>
    <w:rsid w:val="00E97888"/>
    <w:rsid w:val="00E97A6C"/>
    <w:rsid w:val="00EA064B"/>
    <w:rsid w:val="00EA0AA2"/>
    <w:rsid w:val="00EA0AE0"/>
    <w:rsid w:val="00EA12F5"/>
    <w:rsid w:val="00EA15B8"/>
    <w:rsid w:val="00EA190C"/>
    <w:rsid w:val="00EA1F83"/>
    <w:rsid w:val="00EA241A"/>
    <w:rsid w:val="00EA422C"/>
    <w:rsid w:val="00EA519E"/>
    <w:rsid w:val="00EA5BC9"/>
    <w:rsid w:val="00EA5D5D"/>
    <w:rsid w:val="00EA644E"/>
    <w:rsid w:val="00EA65B1"/>
    <w:rsid w:val="00EA6FB6"/>
    <w:rsid w:val="00EA704A"/>
    <w:rsid w:val="00EA7754"/>
    <w:rsid w:val="00EA7A4E"/>
    <w:rsid w:val="00EA7C9B"/>
    <w:rsid w:val="00EA7F3C"/>
    <w:rsid w:val="00EB0000"/>
    <w:rsid w:val="00EB041C"/>
    <w:rsid w:val="00EB0BC8"/>
    <w:rsid w:val="00EB0BE1"/>
    <w:rsid w:val="00EB1298"/>
    <w:rsid w:val="00EB1591"/>
    <w:rsid w:val="00EB218B"/>
    <w:rsid w:val="00EB280D"/>
    <w:rsid w:val="00EB348D"/>
    <w:rsid w:val="00EB377E"/>
    <w:rsid w:val="00EB38E2"/>
    <w:rsid w:val="00EB3A24"/>
    <w:rsid w:val="00EB4361"/>
    <w:rsid w:val="00EB4565"/>
    <w:rsid w:val="00EB475F"/>
    <w:rsid w:val="00EB490A"/>
    <w:rsid w:val="00EB5BE1"/>
    <w:rsid w:val="00EB63A0"/>
    <w:rsid w:val="00EB6423"/>
    <w:rsid w:val="00EB662C"/>
    <w:rsid w:val="00EB67BA"/>
    <w:rsid w:val="00EB6C5D"/>
    <w:rsid w:val="00EB6C68"/>
    <w:rsid w:val="00EB6F2F"/>
    <w:rsid w:val="00EB70C7"/>
    <w:rsid w:val="00EB7AE4"/>
    <w:rsid w:val="00EC096D"/>
    <w:rsid w:val="00EC0E46"/>
    <w:rsid w:val="00EC1130"/>
    <w:rsid w:val="00EC15CA"/>
    <w:rsid w:val="00EC192B"/>
    <w:rsid w:val="00EC1AB1"/>
    <w:rsid w:val="00EC2185"/>
    <w:rsid w:val="00EC2A06"/>
    <w:rsid w:val="00EC32B4"/>
    <w:rsid w:val="00EC3588"/>
    <w:rsid w:val="00EC3B0B"/>
    <w:rsid w:val="00EC4BF5"/>
    <w:rsid w:val="00EC4E99"/>
    <w:rsid w:val="00EC50B8"/>
    <w:rsid w:val="00EC50D8"/>
    <w:rsid w:val="00EC5695"/>
    <w:rsid w:val="00EC5701"/>
    <w:rsid w:val="00EC5874"/>
    <w:rsid w:val="00EC5C5D"/>
    <w:rsid w:val="00EC5D14"/>
    <w:rsid w:val="00EC661F"/>
    <w:rsid w:val="00EC6794"/>
    <w:rsid w:val="00EC7032"/>
    <w:rsid w:val="00EC71AE"/>
    <w:rsid w:val="00EC735E"/>
    <w:rsid w:val="00EC746E"/>
    <w:rsid w:val="00EC796F"/>
    <w:rsid w:val="00ED0110"/>
    <w:rsid w:val="00ED0286"/>
    <w:rsid w:val="00ED08F0"/>
    <w:rsid w:val="00ED0AF7"/>
    <w:rsid w:val="00ED0B1B"/>
    <w:rsid w:val="00ED11C4"/>
    <w:rsid w:val="00ED13D8"/>
    <w:rsid w:val="00ED192D"/>
    <w:rsid w:val="00ED24A5"/>
    <w:rsid w:val="00ED272E"/>
    <w:rsid w:val="00ED2855"/>
    <w:rsid w:val="00ED30B4"/>
    <w:rsid w:val="00ED31F5"/>
    <w:rsid w:val="00ED322A"/>
    <w:rsid w:val="00ED362D"/>
    <w:rsid w:val="00ED3BE4"/>
    <w:rsid w:val="00ED3FD0"/>
    <w:rsid w:val="00ED4E21"/>
    <w:rsid w:val="00ED6072"/>
    <w:rsid w:val="00ED67D6"/>
    <w:rsid w:val="00ED6AF3"/>
    <w:rsid w:val="00ED726B"/>
    <w:rsid w:val="00ED79DC"/>
    <w:rsid w:val="00EE0CD8"/>
    <w:rsid w:val="00EE13DE"/>
    <w:rsid w:val="00EE1759"/>
    <w:rsid w:val="00EE281F"/>
    <w:rsid w:val="00EE2938"/>
    <w:rsid w:val="00EE358D"/>
    <w:rsid w:val="00EE54FF"/>
    <w:rsid w:val="00EE7274"/>
    <w:rsid w:val="00EF0AE0"/>
    <w:rsid w:val="00EF1541"/>
    <w:rsid w:val="00EF1C04"/>
    <w:rsid w:val="00EF2334"/>
    <w:rsid w:val="00EF2759"/>
    <w:rsid w:val="00EF3BBB"/>
    <w:rsid w:val="00EF3CBB"/>
    <w:rsid w:val="00EF45EB"/>
    <w:rsid w:val="00EF4A26"/>
    <w:rsid w:val="00EF4B65"/>
    <w:rsid w:val="00EF5099"/>
    <w:rsid w:val="00EF58F5"/>
    <w:rsid w:val="00EF5E33"/>
    <w:rsid w:val="00EF6F23"/>
    <w:rsid w:val="00EF7226"/>
    <w:rsid w:val="00EF7649"/>
    <w:rsid w:val="00EF7CFE"/>
    <w:rsid w:val="00F00075"/>
    <w:rsid w:val="00F0047C"/>
    <w:rsid w:val="00F01070"/>
    <w:rsid w:val="00F0123A"/>
    <w:rsid w:val="00F030E3"/>
    <w:rsid w:val="00F031CA"/>
    <w:rsid w:val="00F032BD"/>
    <w:rsid w:val="00F0477A"/>
    <w:rsid w:val="00F049B4"/>
    <w:rsid w:val="00F053D6"/>
    <w:rsid w:val="00F05C34"/>
    <w:rsid w:val="00F05E97"/>
    <w:rsid w:val="00F05F77"/>
    <w:rsid w:val="00F063BB"/>
    <w:rsid w:val="00F065C5"/>
    <w:rsid w:val="00F06FA2"/>
    <w:rsid w:val="00F0758D"/>
    <w:rsid w:val="00F0761C"/>
    <w:rsid w:val="00F07822"/>
    <w:rsid w:val="00F078A1"/>
    <w:rsid w:val="00F07CB3"/>
    <w:rsid w:val="00F10163"/>
    <w:rsid w:val="00F1057E"/>
    <w:rsid w:val="00F126B0"/>
    <w:rsid w:val="00F12765"/>
    <w:rsid w:val="00F1279B"/>
    <w:rsid w:val="00F127B4"/>
    <w:rsid w:val="00F1472D"/>
    <w:rsid w:val="00F14D05"/>
    <w:rsid w:val="00F156AA"/>
    <w:rsid w:val="00F15C95"/>
    <w:rsid w:val="00F163D0"/>
    <w:rsid w:val="00F1795F"/>
    <w:rsid w:val="00F200E2"/>
    <w:rsid w:val="00F20B1E"/>
    <w:rsid w:val="00F20E55"/>
    <w:rsid w:val="00F21435"/>
    <w:rsid w:val="00F21BE9"/>
    <w:rsid w:val="00F21DD7"/>
    <w:rsid w:val="00F22985"/>
    <w:rsid w:val="00F232C1"/>
    <w:rsid w:val="00F23CE2"/>
    <w:rsid w:val="00F241AB"/>
    <w:rsid w:val="00F249AA"/>
    <w:rsid w:val="00F2718A"/>
    <w:rsid w:val="00F275D9"/>
    <w:rsid w:val="00F27B3D"/>
    <w:rsid w:val="00F3070D"/>
    <w:rsid w:val="00F31318"/>
    <w:rsid w:val="00F31382"/>
    <w:rsid w:val="00F3256A"/>
    <w:rsid w:val="00F32D23"/>
    <w:rsid w:val="00F32DBD"/>
    <w:rsid w:val="00F32FAD"/>
    <w:rsid w:val="00F3318F"/>
    <w:rsid w:val="00F339D4"/>
    <w:rsid w:val="00F33C4E"/>
    <w:rsid w:val="00F35207"/>
    <w:rsid w:val="00F356AD"/>
    <w:rsid w:val="00F35829"/>
    <w:rsid w:val="00F35A3E"/>
    <w:rsid w:val="00F35BDB"/>
    <w:rsid w:val="00F35C72"/>
    <w:rsid w:val="00F36876"/>
    <w:rsid w:val="00F36DCC"/>
    <w:rsid w:val="00F36F2C"/>
    <w:rsid w:val="00F3799F"/>
    <w:rsid w:val="00F4073E"/>
    <w:rsid w:val="00F40FCA"/>
    <w:rsid w:val="00F41599"/>
    <w:rsid w:val="00F41945"/>
    <w:rsid w:val="00F41CB8"/>
    <w:rsid w:val="00F41D84"/>
    <w:rsid w:val="00F422C8"/>
    <w:rsid w:val="00F42868"/>
    <w:rsid w:val="00F4297D"/>
    <w:rsid w:val="00F42E17"/>
    <w:rsid w:val="00F430AA"/>
    <w:rsid w:val="00F43948"/>
    <w:rsid w:val="00F44153"/>
    <w:rsid w:val="00F4487F"/>
    <w:rsid w:val="00F44D93"/>
    <w:rsid w:val="00F44DB2"/>
    <w:rsid w:val="00F44F04"/>
    <w:rsid w:val="00F45445"/>
    <w:rsid w:val="00F45670"/>
    <w:rsid w:val="00F45FDB"/>
    <w:rsid w:val="00F4640A"/>
    <w:rsid w:val="00F465A7"/>
    <w:rsid w:val="00F46BFA"/>
    <w:rsid w:val="00F46C58"/>
    <w:rsid w:val="00F47F5A"/>
    <w:rsid w:val="00F50051"/>
    <w:rsid w:val="00F5056F"/>
    <w:rsid w:val="00F50665"/>
    <w:rsid w:val="00F50B7C"/>
    <w:rsid w:val="00F5202D"/>
    <w:rsid w:val="00F52CF6"/>
    <w:rsid w:val="00F53193"/>
    <w:rsid w:val="00F54459"/>
    <w:rsid w:val="00F54496"/>
    <w:rsid w:val="00F544D7"/>
    <w:rsid w:val="00F55C85"/>
    <w:rsid w:val="00F55D4F"/>
    <w:rsid w:val="00F561D9"/>
    <w:rsid w:val="00F56DB0"/>
    <w:rsid w:val="00F602FC"/>
    <w:rsid w:val="00F61082"/>
    <w:rsid w:val="00F61097"/>
    <w:rsid w:val="00F6179D"/>
    <w:rsid w:val="00F61A0C"/>
    <w:rsid w:val="00F62184"/>
    <w:rsid w:val="00F62928"/>
    <w:rsid w:val="00F64777"/>
    <w:rsid w:val="00F65194"/>
    <w:rsid w:val="00F65684"/>
    <w:rsid w:val="00F65974"/>
    <w:rsid w:val="00F65EEB"/>
    <w:rsid w:val="00F66407"/>
    <w:rsid w:val="00F66A9B"/>
    <w:rsid w:val="00F674D4"/>
    <w:rsid w:val="00F67611"/>
    <w:rsid w:val="00F73754"/>
    <w:rsid w:val="00F73CCA"/>
    <w:rsid w:val="00F7412B"/>
    <w:rsid w:val="00F74345"/>
    <w:rsid w:val="00F74430"/>
    <w:rsid w:val="00F74441"/>
    <w:rsid w:val="00F745C4"/>
    <w:rsid w:val="00F74809"/>
    <w:rsid w:val="00F74E74"/>
    <w:rsid w:val="00F7556A"/>
    <w:rsid w:val="00F75C60"/>
    <w:rsid w:val="00F75C6C"/>
    <w:rsid w:val="00F75EDA"/>
    <w:rsid w:val="00F762B5"/>
    <w:rsid w:val="00F76323"/>
    <w:rsid w:val="00F77360"/>
    <w:rsid w:val="00F775FB"/>
    <w:rsid w:val="00F77CCD"/>
    <w:rsid w:val="00F77F30"/>
    <w:rsid w:val="00F80C02"/>
    <w:rsid w:val="00F8105A"/>
    <w:rsid w:val="00F82589"/>
    <w:rsid w:val="00F82B19"/>
    <w:rsid w:val="00F831A6"/>
    <w:rsid w:val="00F87BA0"/>
    <w:rsid w:val="00F87F88"/>
    <w:rsid w:val="00F90AA7"/>
    <w:rsid w:val="00F9159E"/>
    <w:rsid w:val="00F9212D"/>
    <w:rsid w:val="00F92BA6"/>
    <w:rsid w:val="00F92C88"/>
    <w:rsid w:val="00F94635"/>
    <w:rsid w:val="00F94851"/>
    <w:rsid w:val="00F94940"/>
    <w:rsid w:val="00F94CD6"/>
    <w:rsid w:val="00F95445"/>
    <w:rsid w:val="00F9560A"/>
    <w:rsid w:val="00F970E7"/>
    <w:rsid w:val="00F975B0"/>
    <w:rsid w:val="00F97A50"/>
    <w:rsid w:val="00F97E88"/>
    <w:rsid w:val="00F97EB5"/>
    <w:rsid w:val="00FA03A5"/>
    <w:rsid w:val="00FA08A3"/>
    <w:rsid w:val="00FA1BC7"/>
    <w:rsid w:val="00FA1D53"/>
    <w:rsid w:val="00FA1E3F"/>
    <w:rsid w:val="00FA22B8"/>
    <w:rsid w:val="00FA2393"/>
    <w:rsid w:val="00FA301A"/>
    <w:rsid w:val="00FA310C"/>
    <w:rsid w:val="00FA3891"/>
    <w:rsid w:val="00FA3AB6"/>
    <w:rsid w:val="00FA406A"/>
    <w:rsid w:val="00FA445E"/>
    <w:rsid w:val="00FA512C"/>
    <w:rsid w:val="00FA53D2"/>
    <w:rsid w:val="00FA5A8E"/>
    <w:rsid w:val="00FA5CB6"/>
    <w:rsid w:val="00FA6192"/>
    <w:rsid w:val="00FA6972"/>
    <w:rsid w:val="00FA69C9"/>
    <w:rsid w:val="00FA6A6D"/>
    <w:rsid w:val="00FA718B"/>
    <w:rsid w:val="00FA7754"/>
    <w:rsid w:val="00FB0A56"/>
    <w:rsid w:val="00FB15BF"/>
    <w:rsid w:val="00FB1922"/>
    <w:rsid w:val="00FB2960"/>
    <w:rsid w:val="00FB2ADE"/>
    <w:rsid w:val="00FB33D0"/>
    <w:rsid w:val="00FB3486"/>
    <w:rsid w:val="00FB3649"/>
    <w:rsid w:val="00FB3969"/>
    <w:rsid w:val="00FB3BEF"/>
    <w:rsid w:val="00FB41D8"/>
    <w:rsid w:val="00FB4C11"/>
    <w:rsid w:val="00FB4F38"/>
    <w:rsid w:val="00FB517D"/>
    <w:rsid w:val="00FB52CA"/>
    <w:rsid w:val="00FB566B"/>
    <w:rsid w:val="00FB56D4"/>
    <w:rsid w:val="00FB5B97"/>
    <w:rsid w:val="00FB66B0"/>
    <w:rsid w:val="00FB675A"/>
    <w:rsid w:val="00FB67D7"/>
    <w:rsid w:val="00FB70C6"/>
    <w:rsid w:val="00FB72CF"/>
    <w:rsid w:val="00FC0E13"/>
    <w:rsid w:val="00FC16A1"/>
    <w:rsid w:val="00FC176F"/>
    <w:rsid w:val="00FC215F"/>
    <w:rsid w:val="00FC2E66"/>
    <w:rsid w:val="00FC3D19"/>
    <w:rsid w:val="00FC4B6E"/>
    <w:rsid w:val="00FC51D7"/>
    <w:rsid w:val="00FC5603"/>
    <w:rsid w:val="00FC58F5"/>
    <w:rsid w:val="00FC5CB6"/>
    <w:rsid w:val="00FC66AC"/>
    <w:rsid w:val="00FC6C4D"/>
    <w:rsid w:val="00FC6CF4"/>
    <w:rsid w:val="00FC6D96"/>
    <w:rsid w:val="00FC74D0"/>
    <w:rsid w:val="00FC7C3B"/>
    <w:rsid w:val="00FC7D28"/>
    <w:rsid w:val="00FD03CE"/>
    <w:rsid w:val="00FD0F9F"/>
    <w:rsid w:val="00FD16CF"/>
    <w:rsid w:val="00FD18F4"/>
    <w:rsid w:val="00FD1E19"/>
    <w:rsid w:val="00FD3AD3"/>
    <w:rsid w:val="00FD4037"/>
    <w:rsid w:val="00FD423D"/>
    <w:rsid w:val="00FD4D3D"/>
    <w:rsid w:val="00FD5A1E"/>
    <w:rsid w:val="00FD5B1A"/>
    <w:rsid w:val="00FD5D77"/>
    <w:rsid w:val="00FD61EC"/>
    <w:rsid w:val="00FD747D"/>
    <w:rsid w:val="00FD74B4"/>
    <w:rsid w:val="00FD7B2C"/>
    <w:rsid w:val="00FE00FE"/>
    <w:rsid w:val="00FE0740"/>
    <w:rsid w:val="00FE0AF2"/>
    <w:rsid w:val="00FE0C70"/>
    <w:rsid w:val="00FE13FD"/>
    <w:rsid w:val="00FE2320"/>
    <w:rsid w:val="00FE4886"/>
    <w:rsid w:val="00FE5434"/>
    <w:rsid w:val="00FE5AD0"/>
    <w:rsid w:val="00FE5D39"/>
    <w:rsid w:val="00FE5E2A"/>
    <w:rsid w:val="00FE6CD4"/>
    <w:rsid w:val="00FE6EF8"/>
    <w:rsid w:val="00FE76F0"/>
    <w:rsid w:val="00FF0990"/>
    <w:rsid w:val="00FF0BB0"/>
    <w:rsid w:val="00FF1C15"/>
    <w:rsid w:val="00FF23F9"/>
    <w:rsid w:val="00FF42BE"/>
    <w:rsid w:val="00FF4520"/>
    <w:rsid w:val="00FF4D27"/>
    <w:rsid w:val="00FF4E81"/>
    <w:rsid w:val="00FF4FC9"/>
    <w:rsid w:val="00FF5F8A"/>
    <w:rsid w:val="00FF5FA6"/>
    <w:rsid w:val="00FF65BD"/>
    <w:rsid w:val="00FF6FCE"/>
    <w:rsid w:val="00FF7518"/>
    <w:rsid w:val="00FF78BF"/>
    <w:rsid w:val="00FF7FD8"/>
    <w:rsid w:val="05616943"/>
    <w:rsid w:val="05742AC8"/>
    <w:rsid w:val="06352F05"/>
    <w:rsid w:val="063E7D85"/>
    <w:rsid w:val="070875E0"/>
    <w:rsid w:val="07293586"/>
    <w:rsid w:val="07295285"/>
    <w:rsid w:val="07770C56"/>
    <w:rsid w:val="092217DD"/>
    <w:rsid w:val="093A7294"/>
    <w:rsid w:val="095B5F8F"/>
    <w:rsid w:val="0BD27BF6"/>
    <w:rsid w:val="0E110D06"/>
    <w:rsid w:val="0F13775A"/>
    <w:rsid w:val="0F9A112B"/>
    <w:rsid w:val="106D2F64"/>
    <w:rsid w:val="10B63710"/>
    <w:rsid w:val="111C2F7A"/>
    <w:rsid w:val="113013DE"/>
    <w:rsid w:val="11F30AD5"/>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EDA1B32"/>
    <w:rsid w:val="1FE7539E"/>
    <w:rsid w:val="20963CB8"/>
    <w:rsid w:val="20B07FB6"/>
    <w:rsid w:val="213B74B1"/>
    <w:rsid w:val="215A2310"/>
    <w:rsid w:val="21DE318A"/>
    <w:rsid w:val="21EF5B80"/>
    <w:rsid w:val="22576990"/>
    <w:rsid w:val="229C4EAB"/>
    <w:rsid w:val="229E02DE"/>
    <w:rsid w:val="252D53FE"/>
    <w:rsid w:val="25EC2D81"/>
    <w:rsid w:val="264528BD"/>
    <w:rsid w:val="27D15DD1"/>
    <w:rsid w:val="28A76295"/>
    <w:rsid w:val="29206EB8"/>
    <w:rsid w:val="29841FA7"/>
    <w:rsid w:val="29E325E0"/>
    <w:rsid w:val="2A452503"/>
    <w:rsid w:val="2BA936A8"/>
    <w:rsid w:val="2C315A5A"/>
    <w:rsid w:val="2C391CD0"/>
    <w:rsid w:val="2D9E56F5"/>
    <w:rsid w:val="2DDF1B06"/>
    <w:rsid w:val="2E667F96"/>
    <w:rsid w:val="2E8226AB"/>
    <w:rsid w:val="2F832C79"/>
    <w:rsid w:val="2FEF2D58"/>
    <w:rsid w:val="30580BC9"/>
    <w:rsid w:val="311E2ED7"/>
    <w:rsid w:val="315C449C"/>
    <w:rsid w:val="31A467E0"/>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3734080"/>
    <w:rsid w:val="44CD14E0"/>
    <w:rsid w:val="458946E9"/>
    <w:rsid w:val="46D955A7"/>
    <w:rsid w:val="46FE58BA"/>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2F81398"/>
    <w:rsid w:val="53A039CC"/>
    <w:rsid w:val="53A1505A"/>
    <w:rsid w:val="54063E08"/>
    <w:rsid w:val="543437E8"/>
    <w:rsid w:val="559B174B"/>
    <w:rsid w:val="55CE0CF4"/>
    <w:rsid w:val="56B22A9C"/>
    <w:rsid w:val="57731C98"/>
    <w:rsid w:val="57B72A76"/>
    <w:rsid w:val="5A3C747D"/>
    <w:rsid w:val="5ABE2233"/>
    <w:rsid w:val="5B276D18"/>
    <w:rsid w:val="5BDF5D95"/>
    <w:rsid w:val="5DF87A0F"/>
    <w:rsid w:val="5F1A2B43"/>
    <w:rsid w:val="5FB837BB"/>
    <w:rsid w:val="5FEA7509"/>
    <w:rsid w:val="60B77FA4"/>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4768DE"/>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5"/>
    <w:basedOn w:val="1"/>
    <w:next w:val="1"/>
    <w:link w:val="58"/>
    <w:semiHidden/>
    <w:unhideWhenUsed/>
    <w:qFormat/>
    <w:locked/>
    <w:uiPriority w:val="0"/>
    <w:pPr>
      <w:keepNext/>
      <w:keepLines/>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7"/>
    <w:unhideWhenUsed/>
    <w:qFormat/>
    <w:uiPriority w:val="0"/>
    <w:pPr>
      <w:widowControl/>
      <w:spacing w:before="100" w:beforeAutospacing="1" w:after="100" w:afterAutospacing="1"/>
      <w:jc w:val="left"/>
    </w:pPr>
    <w:rPr>
      <w:rFonts w:ascii="宋体" w:hAnsi="宋体" w:cs="宋体"/>
      <w:kern w:val="0"/>
      <w:sz w:val="24"/>
    </w:rPr>
  </w:style>
  <w:style w:type="paragraph" w:styleId="5">
    <w:name w:val="annotation text"/>
    <w:basedOn w:val="1"/>
    <w:link w:val="28"/>
    <w:semiHidden/>
    <w:qFormat/>
    <w:uiPriority w:val="99"/>
    <w:pPr>
      <w:jc w:val="left"/>
    </w:pPr>
    <w:rPr>
      <w:kern w:val="0"/>
      <w:sz w:val="20"/>
    </w:rPr>
  </w:style>
  <w:style w:type="paragraph" w:styleId="6">
    <w:name w:val="Body Text"/>
    <w:basedOn w:val="1"/>
    <w:link w:val="29"/>
    <w:qFormat/>
    <w:uiPriority w:val="0"/>
    <w:pPr>
      <w:widowControl/>
      <w:snapToGrid w:val="0"/>
      <w:spacing w:before="60" w:after="160" w:line="259" w:lineRule="auto"/>
      <w:ind w:right="113"/>
    </w:pPr>
    <w:rPr>
      <w:kern w:val="0"/>
      <w:sz w:val="18"/>
      <w:szCs w:val="18"/>
    </w:rPr>
  </w:style>
  <w:style w:type="paragraph" w:styleId="7">
    <w:name w:val="Body Text Indent"/>
    <w:basedOn w:val="1"/>
    <w:link w:val="30"/>
    <w:semiHidden/>
    <w:qFormat/>
    <w:uiPriority w:val="0"/>
    <w:pPr>
      <w:spacing w:after="120"/>
      <w:ind w:left="420" w:leftChars="200"/>
    </w:pPr>
  </w:style>
  <w:style w:type="paragraph" w:styleId="8">
    <w:name w:val="Date"/>
    <w:basedOn w:val="1"/>
    <w:next w:val="1"/>
    <w:link w:val="31"/>
    <w:qFormat/>
    <w:uiPriority w:val="0"/>
    <w:pPr>
      <w:ind w:left="100" w:leftChars="2500"/>
    </w:pPr>
    <w:rPr>
      <w:kern w:val="0"/>
      <w:sz w:val="20"/>
    </w:rPr>
  </w:style>
  <w:style w:type="paragraph" w:styleId="9">
    <w:name w:val="Balloon Text"/>
    <w:basedOn w:val="1"/>
    <w:link w:val="32"/>
    <w:semiHidden/>
    <w:qFormat/>
    <w:uiPriority w:val="0"/>
    <w:rPr>
      <w:sz w:val="18"/>
      <w:szCs w:val="18"/>
    </w:rPr>
  </w:style>
  <w:style w:type="paragraph" w:styleId="10">
    <w:name w:val="footer"/>
    <w:basedOn w:val="1"/>
    <w:link w:val="33"/>
    <w:qFormat/>
    <w:uiPriority w:val="99"/>
    <w:pPr>
      <w:tabs>
        <w:tab w:val="center" w:pos="4153"/>
        <w:tab w:val="right" w:pos="8306"/>
      </w:tabs>
      <w:snapToGrid w:val="0"/>
      <w:jc w:val="left"/>
    </w:pPr>
    <w:rPr>
      <w:sz w:val="18"/>
      <w:szCs w:val="18"/>
    </w:rPr>
  </w:style>
  <w:style w:type="paragraph" w:styleId="11">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55"/>
    <w:qFormat/>
    <w:locked/>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3">
    <w:name w:val="Normal (Web)"/>
    <w:basedOn w:val="1"/>
    <w:link w:val="35"/>
    <w:qFormat/>
    <w:uiPriority w:val="0"/>
    <w:pPr>
      <w:widowControl/>
      <w:spacing w:before="100" w:beforeAutospacing="1" w:after="100" w:afterAutospacing="1"/>
      <w:jc w:val="left"/>
    </w:pPr>
    <w:rPr>
      <w:rFonts w:ascii="宋体" w:hAnsi="宋体"/>
      <w:kern w:val="0"/>
      <w:sz w:val="24"/>
    </w:rPr>
  </w:style>
  <w:style w:type="paragraph" w:styleId="14">
    <w:name w:val="annotation subject"/>
    <w:basedOn w:val="5"/>
    <w:next w:val="5"/>
    <w:link w:val="36"/>
    <w:semiHidden/>
    <w:qFormat/>
    <w:uiPriority w:val="0"/>
    <w:rPr>
      <w:b/>
      <w:bCs/>
    </w:rPr>
  </w:style>
  <w:style w:type="paragraph" w:styleId="15">
    <w:name w:val="Body Text First Indent 2"/>
    <w:basedOn w:val="7"/>
    <w:link w:val="48"/>
    <w:qFormat/>
    <w:uiPriority w:val="0"/>
    <w:pPr>
      <w:ind w:firstLine="420" w:firstLineChars="200"/>
    </w:p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unhideWhenUsed/>
    <w:qFormat/>
    <w:uiPriority w:val="99"/>
    <w:rPr>
      <w:color w:val="0000FF"/>
      <w:u w:val="single"/>
    </w:rPr>
  </w:style>
  <w:style w:type="character" w:styleId="21">
    <w:name w:val="annotation reference"/>
    <w:basedOn w:val="18"/>
    <w:semiHidden/>
    <w:qFormat/>
    <w:uiPriority w:val="0"/>
    <w:rPr>
      <w:sz w:val="21"/>
    </w:rPr>
  </w:style>
  <w:style w:type="paragraph" w:customStyle="1" w:styleId="22">
    <w:name w:val="环评表表头"/>
    <w:basedOn w:val="1"/>
    <w:link w:val="23"/>
    <w:qFormat/>
    <w:uiPriority w:val="0"/>
    <w:pPr>
      <w:adjustRightInd w:val="0"/>
      <w:snapToGrid w:val="0"/>
      <w:spacing w:before="100" w:beforeLines="100" w:after="50" w:afterLines="50"/>
      <w:jc w:val="left"/>
    </w:pPr>
    <w:rPr>
      <w:b/>
      <w:sz w:val="24"/>
    </w:rPr>
  </w:style>
  <w:style w:type="character" w:customStyle="1" w:styleId="23">
    <w:name w:val="环评表表头 Char"/>
    <w:basedOn w:val="18"/>
    <w:link w:val="22"/>
    <w:qFormat/>
    <w:uiPriority w:val="0"/>
    <w:rPr>
      <w:b/>
      <w:kern w:val="2"/>
      <w:sz w:val="24"/>
      <w:szCs w:val="24"/>
    </w:rPr>
  </w:style>
  <w:style w:type="paragraph" w:customStyle="1" w:styleId="24">
    <w:name w:val="环评表3级标题"/>
    <w:basedOn w:val="1"/>
    <w:link w:val="25"/>
    <w:qFormat/>
    <w:uiPriority w:val="0"/>
    <w:pPr>
      <w:adjustRightInd w:val="0"/>
      <w:snapToGrid w:val="0"/>
      <w:spacing w:line="360" w:lineRule="auto"/>
      <w:ind w:firstLine="200" w:firstLineChars="200"/>
      <w:outlineLvl w:val="2"/>
    </w:pPr>
    <w:rPr>
      <w:rFonts w:cs="Courier New"/>
      <w:b/>
      <w:snapToGrid w:val="0"/>
      <w:sz w:val="24"/>
      <w:szCs w:val="20"/>
    </w:rPr>
  </w:style>
  <w:style w:type="character" w:customStyle="1" w:styleId="25">
    <w:name w:val="环评表3级标题 字符"/>
    <w:link w:val="24"/>
    <w:qFormat/>
    <w:uiPriority w:val="0"/>
    <w:rPr>
      <w:rFonts w:cs="Courier New"/>
      <w:b/>
      <w:snapToGrid w:val="0"/>
      <w:kern w:val="2"/>
      <w:sz w:val="24"/>
    </w:rPr>
  </w:style>
  <w:style w:type="paragraph" w:customStyle="1" w:styleId="26">
    <w:name w:val="环评表4级标题"/>
    <w:basedOn w:val="24"/>
    <w:link w:val="27"/>
    <w:qFormat/>
    <w:uiPriority w:val="0"/>
    <w:pPr>
      <w:outlineLvl w:val="3"/>
    </w:pPr>
    <w:rPr>
      <w:b w:val="0"/>
    </w:rPr>
  </w:style>
  <w:style w:type="character" w:customStyle="1" w:styleId="27">
    <w:name w:val="环评表4级标题 字符"/>
    <w:link w:val="26"/>
    <w:qFormat/>
    <w:uiPriority w:val="0"/>
    <w:rPr>
      <w:rFonts w:cs="Courier New"/>
      <w:snapToGrid w:val="0"/>
      <w:kern w:val="2"/>
      <w:sz w:val="24"/>
    </w:rPr>
  </w:style>
  <w:style w:type="character" w:customStyle="1" w:styleId="28">
    <w:name w:val="批注文字 Char"/>
    <w:link w:val="5"/>
    <w:qFormat/>
    <w:locked/>
    <w:uiPriority w:val="99"/>
    <w:rPr>
      <w:rFonts w:ascii="Times New Roman" w:hAnsi="Times New Roman" w:eastAsia="宋体"/>
      <w:sz w:val="24"/>
    </w:rPr>
  </w:style>
  <w:style w:type="character" w:customStyle="1" w:styleId="29">
    <w:name w:val="正文文本 Char"/>
    <w:link w:val="6"/>
    <w:qFormat/>
    <w:locked/>
    <w:uiPriority w:val="0"/>
    <w:rPr>
      <w:sz w:val="18"/>
    </w:rPr>
  </w:style>
  <w:style w:type="character" w:customStyle="1" w:styleId="30">
    <w:name w:val="正文文本缩进 Char"/>
    <w:basedOn w:val="18"/>
    <w:link w:val="7"/>
    <w:semiHidden/>
    <w:qFormat/>
    <w:locked/>
    <w:uiPriority w:val="0"/>
    <w:rPr>
      <w:rFonts w:ascii="Times New Roman" w:hAnsi="Times New Roman" w:eastAsia="宋体" w:cs="Times New Roman"/>
      <w:sz w:val="24"/>
      <w:szCs w:val="24"/>
    </w:rPr>
  </w:style>
  <w:style w:type="character" w:customStyle="1" w:styleId="31">
    <w:name w:val="日期 Char"/>
    <w:link w:val="8"/>
    <w:qFormat/>
    <w:locked/>
    <w:uiPriority w:val="0"/>
    <w:rPr>
      <w:rFonts w:ascii="Times New Roman" w:hAnsi="Times New Roman" w:eastAsia="宋体"/>
      <w:sz w:val="24"/>
    </w:rPr>
  </w:style>
  <w:style w:type="character" w:customStyle="1" w:styleId="32">
    <w:name w:val="批注框文本 Char"/>
    <w:basedOn w:val="18"/>
    <w:link w:val="9"/>
    <w:semiHidden/>
    <w:qFormat/>
    <w:locked/>
    <w:uiPriority w:val="0"/>
    <w:rPr>
      <w:rFonts w:ascii="Times New Roman" w:hAnsi="Times New Roman" w:eastAsia="宋体" w:cs="Times New Roman"/>
      <w:sz w:val="18"/>
      <w:szCs w:val="18"/>
    </w:rPr>
  </w:style>
  <w:style w:type="character" w:customStyle="1" w:styleId="33">
    <w:name w:val="页脚 Char"/>
    <w:basedOn w:val="18"/>
    <w:link w:val="10"/>
    <w:qFormat/>
    <w:locked/>
    <w:uiPriority w:val="99"/>
    <w:rPr>
      <w:rFonts w:cs="Times New Roman"/>
      <w:sz w:val="18"/>
      <w:szCs w:val="18"/>
    </w:rPr>
  </w:style>
  <w:style w:type="character" w:customStyle="1" w:styleId="34">
    <w:name w:val="页眉 Char"/>
    <w:basedOn w:val="18"/>
    <w:link w:val="11"/>
    <w:qFormat/>
    <w:locked/>
    <w:uiPriority w:val="0"/>
    <w:rPr>
      <w:rFonts w:cs="Times New Roman"/>
      <w:sz w:val="18"/>
      <w:szCs w:val="18"/>
    </w:rPr>
  </w:style>
  <w:style w:type="character" w:customStyle="1" w:styleId="35">
    <w:name w:val="普通(网站) Char1"/>
    <w:link w:val="13"/>
    <w:qFormat/>
    <w:locked/>
    <w:uiPriority w:val="0"/>
    <w:rPr>
      <w:rFonts w:ascii="宋体" w:hAnsi="宋体" w:eastAsia="宋体"/>
      <w:sz w:val="24"/>
    </w:rPr>
  </w:style>
  <w:style w:type="character" w:customStyle="1" w:styleId="36">
    <w:name w:val="批注主题 Char"/>
    <w:basedOn w:val="28"/>
    <w:link w:val="14"/>
    <w:semiHidden/>
    <w:qFormat/>
    <w:locked/>
    <w:uiPriority w:val="0"/>
    <w:rPr>
      <w:rFonts w:ascii="Times New Roman" w:hAnsi="Times New Roman" w:eastAsia="宋体" w:cs="Times New Roman"/>
      <w:b/>
      <w:bCs/>
      <w:kern w:val="2"/>
      <w:sz w:val="24"/>
      <w:szCs w:val="24"/>
    </w:rPr>
  </w:style>
  <w:style w:type="character" w:customStyle="1" w:styleId="37">
    <w:name w:val="日期 字符"/>
    <w:basedOn w:val="18"/>
    <w:semiHidden/>
    <w:qFormat/>
    <w:uiPriority w:val="0"/>
    <w:rPr>
      <w:rFonts w:ascii="Times New Roman" w:hAnsi="Times New Roman" w:eastAsia="宋体" w:cs="Times New Roman"/>
      <w:sz w:val="24"/>
      <w:szCs w:val="24"/>
    </w:rPr>
  </w:style>
  <w:style w:type="character" w:customStyle="1" w:styleId="38">
    <w:name w:val="正文文本 字符1"/>
    <w:basedOn w:val="18"/>
    <w:semiHidden/>
    <w:qFormat/>
    <w:uiPriority w:val="0"/>
    <w:rPr>
      <w:rFonts w:ascii="Times New Roman" w:hAnsi="Times New Roman" w:eastAsia="宋体" w:cs="Times New Roman"/>
      <w:sz w:val="24"/>
      <w:szCs w:val="24"/>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 w:val="20"/>
      <w:szCs w:val="21"/>
    </w:rPr>
  </w:style>
  <w:style w:type="character" w:customStyle="1" w:styleId="42">
    <w:name w:val="批注文字 字符1"/>
    <w:basedOn w:val="18"/>
    <w:semiHidden/>
    <w:qFormat/>
    <w:uiPriority w:val="0"/>
    <w:rPr>
      <w:rFonts w:ascii="Times New Roman" w:hAnsi="Times New Roman" w:eastAsia="宋体" w:cs="Times New Roman"/>
      <w:sz w:val="24"/>
      <w:szCs w:val="24"/>
    </w:rPr>
  </w:style>
  <w:style w:type="character" w:customStyle="1" w:styleId="43">
    <w:name w:val="普通(网站) Char"/>
    <w:qFormat/>
    <w:locked/>
    <w:uiPriority w:val="0"/>
    <w:rPr>
      <w:rFonts w:ascii="宋体" w:hAnsi="宋体" w:eastAsia="宋体"/>
      <w:sz w:val="24"/>
    </w:rPr>
  </w:style>
  <w:style w:type="paragraph" w:customStyle="1" w:styleId="44">
    <w:name w:val="环评表2级标题"/>
    <w:basedOn w:val="1"/>
    <w:link w:val="45"/>
    <w:qFormat/>
    <w:uiPriority w:val="0"/>
    <w:pPr>
      <w:shd w:val="clear" w:color="auto" w:fill="FFFFFF"/>
      <w:adjustRightInd w:val="0"/>
      <w:snapToGrid w:val="0"/>
      <w:spacing w:before="50" w:beforeLines="50" w:line="360" w:lineRule="auto"/>
      <w:outlineLvl w:val="1"/>
    </w:pPr>
    <w:rPr>
      <w:rFonts w:cs="Courier New"/>
      <w:b/>
      <w:color w:val="000000"/>
      <w:sz w:val="28"/>
      <w:szCs w:val="28"/>
    </w:rPr>
  </w:style>
  <w:style w:type="character" w:customStyle="1" w:styleId="45">
    <w:name w:val="环评表2级标题 字符"/>
    <w:link w:val="44"/>
    <w:qFormat/>
    <w:uiPriority w:val="0"/>
    <w:rPr>
      <w:rFonts w:cs="Courier New"/>
      <w:b/>
      <w:color w:val="000000"/>
      <w:kern w:val="2"/>
      <w:sz w:val="28"/>
      <w:szCs w:val="28"/>
      <w:shd w:val="clear" w:color="auto" w:fill="FFFFFF"/>
    </w:rPr>
  </w:style>
  <w:style w:type="paragraph" w:customStyle="1" w:styleId="46">
    <w:name w:val="环评正文"/>
    <w:basedOn w:val="1"/>
    <w:link w:val="47"/>
    <w:qFormat/>
    <w:uiPriority w:val="0"/>
    <w:pPr>
      <w:adjustRightInd w:val="0"/>
      <w:snapToGrid w:val="0"/>
      <w:spacing w:line="360" w:lineRule="auto"/>
      <w:ind w:firstLine="200" w:firstLineChars="200"/>
    </w:pPr>
    <w:rPr>
      <w:rFonts w:cs="Courier New"/>
      <w:snapToGrid w:val="0"/>
      <w:sz w:val="24"/>
      <w:szCs w:val="20"/>
    </w:rPr>
  </w:style>
  <w:style w:type="character" w:customStyle="1" w:styleId="47">
    <w:name w:val="环评正文 字符"/>
    <w:link w:val="46"/>
    <w:qFormat/>
    <w:uiPriority w:val="0"/>
    <w:rPr>
      <w:rFonts w:cs="Courier New"/>
      <w:snapToGrid w:val="0"/>
      <w:kern w:val="2"/>
      <w:sz w:val="24"/>
    </w:rPr>
  </w:style>
  <w:style w:type="character" w:customStyle="1" w:styleId="48">
    <w:name w:val="正文首行缩进 2 Char"/>
    <w:basedOn w:val="30"/>
    <w:link w:val="15"/>
    <w:qFormat/>
    <w:uiPriority w:val="0"/>
    <w:rPr>
      <w:rFonts w:ascii="Times New Roman" w:hAnsi="Times New Roman" w:eastAsia="宋体" w:cs="Times New Roman"/>
      <w:kern w:val="2"/>
      <w:sz w:val="21"/>
      <w:szCs w:val="24"/>
    </w:rPr>
  </w:style>
  <w:style w:type="paragraph" w:customStyle="1" w:styleId="49">
    <w:name w:val="内容"/>
    <w:basedOn w:val="1"/>
    <w:next w:val="1"/>
    <w:qFormat/>
    <w:uiPriority w:val="0"/>
    <w:pPr>
      <w:autoSpaceDE w:val="0"/>
      <w:autoSpaceDN w:val="0"/>
      <w:adjustRightInd w:val="0"/>
      <w:spacing w:before="100" w:beforeAutospacing="1" w:line="408" w:lineRule="auto"/>
      <w:ind w:firstLine="200" w:firstLineChars="200"/>
      <w:jc w:val="left"/>
    </w:pPr>
    <w:rPr>
      <w:rFonts w:ascii="宋体" w:hAnsi="宋体" w:cs="MS Gothic"/>
      <w:color w:val="000000"/>
      <w:kern w:val="0"/>
      <w:sz w:val="24"/>
    </w:rPr>
  </w:style>
  <w:style w:type="paragraph" w:customStyle="1" w:styleId="50">
    <w:name w:val="DTX-WZ"/>
    <w:basedOn w:val="1"/>
    <w:qFormat/>
    <w:uiPriority w:val="0"/>
    <w:pPr>
      <w:adjustRightInd w:val="0"/>
      <w:snapToGrid w:val="0"/>
      <w:spacing w:line="500" w:lineRule="exact"/>
      <w:ind w:firstLine="200" w:firstLineChars="200"/>
    </w:pPr>
    <w:rPr>
      <w:sz w:val="24"/>
    </w:rPr>
  </w:style>
  <w:style w:type="paragraph" w:customStyle="1" w:styleId="51">
    <w:name w:val="样式5"/>
    <w:basedOn w:val="1"/>
    <w:qFormat/>
    <w:uiPriority w:val="0"/>
    <w:pPr>
      <w:snapToGrid w:val="0"/>
      <w:spacing w:line="360" w:lineRule="auto"/>
      <w:ind w:firstLine="480" w:firstLineChars="200"/>
    </w:pPr>
    <w:rPr>
      <w:rFonts w:ascii="宋体" w:hAnsi="宋体" w:cs="宋体"/>
      <w:color w:val="51585D"/>
      <w:kern w:val="0"/>
      <w:sz w:val="24"/>
    </w:rPr>
  </w:style>
  <w:style w:type="paragraph" w:customStyle="1" w:styleId="52">
    <w:name w:val="正文首行缩进 21"/>
    <w:basedOn w:val="7"/>
    <w:next w:val="1"/>
    <w:qFormat/>
    <w:uiPriority w:val="0"/>
    <w:pPr>
      <w:spacing w:before="100" w:beforeAutospacing="1"/>
      <w:ind w:firstLine="420" w:firstLineChars="200"/>
    </w:pPr>
    <w:rPr>
      <w:szCs w:val="21"/>
    </w:rPr>
  </w:style>
  <w:style w:type="paragraph" w:customStyle="1" w:styleId="53">
    <w:name w:val="环评表格文字"/>
    <w:basedOn w:val="1"/>
    <w:link w:val="54"/>
    <w:qFormat/>
    <w:uiPriority w:val="0"/>
    <w:pPr>
      <w:adjustRightInd w:val="0"/>
      <w:snapToGrid w:val="0"/>
      <w:ind w:firstLine="200" w:firstLineChars="200"/>
    </w:pPr>
    <w:rPr>
      <w:rFonts w:cstheme="minorBidi"/>
      <w:snapToGrid w:val="0"/>
      <w:szCs w:val="21"/>
    </w:rPr>
  </w:style>
  <w:style w:type="character" w:customStyle="1" w:styleId="54">
    <w:name w:val="环评表格文字 字符"/>
    <w:basedOn w:val="18"/>
    <w:link w:val="53"/>
    <w:qFormat/>
    <w:uiPriority w:val="0"/>
    <w:rPr>
      <w:rFonts w:cstheme="minorBidi"/>
      <w:snapToGrid w:val="0"/>
      <w:kern w:val="2"/>
      <w:sz w:val="21"/>
      <w:szCs w:val="21"/>
    </w:rPr>
  </w:style>
  <w:style w:type="character" w:customStyle="1" w:styleId="55">
    <w:name w:val="副标题 Char"/>
    <w:basedOn w:val="18"/>
    <w:link w:val="12"/>
    <w:qFormat/>
    <w:uiPriority w:val="0"/>
    <w:rPr>
      <w:rFonts w:asciiTheme="minorHAnsi" w:hAnsiTheme="minorHAnsi" w:eastAsiaTheme="minorEastAsia" w:cstheme="minorBidi"/>
      <w:b/>
      <w:bCs/>
      <w:kern w:val="28"/>
      <w:sz w:val="32"/>
      <w:szCs w:val="32"/>
    </w:rPr>
  </w:style>
  <w:style w:type="paragraph" w:customStyle="1" w:styleId="56">
    <w:name w:val="表格内容"/>
    <w:basedOn w:val="1"/>
    <w:qFormat/>
    <w:uiPriority w:val="0"/>
    <w:pPr>
      <w:jc w:val="center"/>
    </w:pPr>
    <w:rPr>
      <w:kern w:val="0"/>
      <w:sz w:val="20"/>
      <w:szCs w:val="20"/>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58">
    <w:name w:val="标题 5 Char"/>
    <w:basedOn w:val="18"/>
    <w:link w:val="3"/>
    <w:semiHidden/>
    <w:qFormat/>
    <w:uiPriority w:val="0"/>
    <w:rPr>
      <w:b/>
      <w:bCs/>
      <w:kern w:val="2"/>
      <w:sz w:val="28"/>
      <w:szCs w:val="28"/>
    </w:rPr>
  </w:style>
  <w:style w:type="paragraph" w:customStyle="1" w:styleId="59">
    <w:name w:val="TX-表头"/>
    <w:basedOn w:val="1"/>
    <w:qFormat/>
    <w:uiPriority w:val="0"/>
    <w:pPr>
      <w:widowControl/>
      <w:jc w:val="center"/>
    </w:pPr>
    <w:rPr>
      <w:rFonts w:eastAsia="仿宋"/>
      <w:b/>
      <w:sz w:val="24"/>
    </w:rPr>
  </w:style>
  <w:style w:type="paragraph" w:customStyle="1" w:styleId="60">
    <w:name w:val="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2"/>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样式 正文缩进正文缩进2正文缩进 Char Char正文缩进 Char Char Char Char正文缩进 Char ..."/>
    <w:basedOn w:val="4"/>
    <w:qFormat/>
    <w:uiPriority w:val="0"/>
    <w:pPr>
      <w:widowControl w:val="0"/>
      <w:spacing w:before="0" w:beforeAutospacing="0" w:after="0" w:afterAutospacing="0" w:line="360" w:lineRule="auto"/>
      <w:ind w:firstLine="200"/>
      <w:jc w:val="both"/>
    </w:pPr>
    <w:rPr>
      <w:rFonts w:ascii="Times New Roman" w:hAnsi="Times New Roman"/>
      <w:kern w:val="2"/>
    </w:rPr>
  </w:style>
  <w:style w:type="paragraph" w:customStyle="1" w:styleId="65">
    <w:name w:val="dy表格"/>
    <w:basedOn w:val="1"/>
    <w:qFormat/>
    <w:uiPriority w:val="0"/>
    <w:pPr>
      <w:tabs>
        <w:tab w:val="left" w:pos="567"/>
      </w:tabs>
      <w:adjustRightInd w:val="0"/>
      <w:snapToGrid w:val="0"/>
      <w:textAlignment w:val="baseline"/>
    </w:pPr>
    <w:rPr>
      <w:rFonts w:asciiTheme="minorHAnsi" w:hAnsiTheme="minorHAnsi" w:eastAsiaTheme="minorEastAsia" w:cstheme="minorBidi"/>
      <w:snapToGrid w:val="0"/>
      <w:kern w:val="0"/>
      <w:lang w:val="zh-CN"/>
    </w:rPr>
  </w:style>
  <w:style w:type="paragraph" w:customStyle="1" w:styleId="66">
    <w:name w:val="TIE-表格内容"/>
    <w:basedOn w:val="1"/>
    <w:qFormat/>
    <w:uiPriority w:val="0"/>
    <w:pPr>
      <w:topLinePunct/>
      <w:autoSpaceDE w:val="0"/>
      <w:spacing w:line="360" w:lineRule="exact"/>
      <w:jc w:val="center"/>
      <w:textAlignment w:val="center"/>
    </w:pPr>
    <w:rPr>
      <w:szCs w:val="22"/>
    </w:rPr>
  </w:style>
  <w:style w:type="character" w:customStyle="1" w:styleId="67">
    <w:name w:val="正文缩进 Char"/>
    <w:link w:val="4"/>
    <w:qFormat/>
    <w:uiPriority w:val="0"/>
    <w:rPr>
      <w:rFonts w:ascii="宋体" w:hAnsi="宋体" w:cs="宋体"/>
      <w:sz w:val="24"/>
      <w:szCs w:val="24"/>
    </w:rPr>
  </w:style>
  <w:style w:type="paragraph" w:styleId="68">
    <w:name w:val="List Paragraph"/>
    <w:basedOn w:val="1"/>
    <w:qFormat/>
    <w:uiPriority w:val="99"/>
    <w:pPr>
      <w:ind w:firstLine="420" w:firstLineChars="200"/>
    </w:pPr>
  </w:style>
  <w:style w:type="character" w:styleId="69">
    <w:name w:val="Placeholder Text"/>
    <w:basedOn w:val="18"/>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2.jpe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emf"/><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oleObject" Target="embeddings/oleObject1.bin"/><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3EE63E-CCC8-48ED-BD93-C3AAFCA3D22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7992</Words>
  <Characters>45560</Characters>
  <Lines>379</Lines>
  <Paragraphs>106</Paragraphs>
  <TotalTime>3568</TotalTime>
  <ScaleCrop>false</ScaleCrop>
  <LinksUpToDate>false</LinksUpToDate>
  <CharactersWithSpaces>53446</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2023-02-22T07:06:00Z</dcterms:created>
  <dc:creator>lhj</dc:creator>
  <cp:lastModifiedBy>WPS_%!s(int64=1477355898)</cp:lastModifiedBy>
  <cp:lastPrinted>2022-05-18T07:06:00Z</cp:lastPrinted>
  <dcterms:modified xsi:type="dcterms:W3CDTF">2023-04-20T02:35:20Z</dcterms:modified>
  <cp:revision>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4C6C5A40F20E4E7FA4EF0272070221C0</vt:lpwstr>
  </property>
</Properties>
</file>